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Test Doc</w:t>
      </w:r>
    </w:p>
    <w:p>
      <w:pPr>
        <w:pStyle w:val="Heading1"/>
      </w:pPr>
      <w:r>
        <w:rPr>
          <w:sz w:val="32"/>
        </w:rPr>
        <w:t>Intro</w:t>
      </w:r>
    </w:p>
    <w:p>
      <w:r>
        <w:rPr>
          <w:sz w:val="24"/>
        </w:rPr>
        <w:t>```json</w:t>
      </w:r>
    </w:p>
    <w:p>
      <w:r>
        <w:rPr>
          <w:sz w:val="24"/>
        </w:rPr>
        <w:t>[</w:t>
      </w:r>
    </w:p>
    <w:p>
      <w:r>
        <w:rPr>
          <w:sz w:val="24"/>
        </w:rPr>
        <w:t>{</w:t>
      </w:r>
    </w:p>
    <w:p>
      <w:r>
        <w:rPr>
          <w:sz w:val="24"/>
        </w:rPr>
        <w:t>"heading": "Intro",</w:t>
      </w:r>
    </w:p>
    <w:p>
      <w:r>
        <w:rPr>
          <w:sz w:val="24"/>
        </w:rPr>
        <w:t>"order_index": 1,</w:t>
      </w:r>
    </w:p>
    <w:p>
      <w:r>
        <w:rPr>
          <w:sz w:val="24"/>
        </w:rPr>
        <w:t>"content": "This document serves as a quick demonstration and UI validation tool. Its primary purpose is not to showcase extensive functionality, but rather to provide a basic visual representation of various UI elements and their expected behavior within the application. The aim is to confirm that the implemented user interface aligns with the design specifications and that all components render correctly across different browsers and screen resolutions. This demo includes examples of common form elements, data displays, and interactive components such as buttons, dropdowns, and simple charts.</w:t>
      </w:r>
    </w:p>
    <w:p>
      <w:r>
        <w:br w:type="page"/>
      </w:r>
    </w:p>
    <w:p>
      <w:pPr>
        <w:pStyle w:val="Heading1"/>
      </w:pPr>
      <w:r>
        <w:rPr>
          <w:sz w:val="32"/>
        </w:rPr>
        <w:t>Conclusion</w:t>
      </w:r>
    </w:p>
    <w:p>
      <w:r>
        <w:rPr>
          <w:sz w:val="24"/>
        </w:rPr>
        <w:t>By navigating through the document, testers and developers can quickly verify that the font styles, color schemes, spacing, and overall layout are consistent with the defined UI guidelines. The content within each section is deliberately concise to focus attention on the visual presentation rather than the underlying functionality. This allows for a streamlined testing process, enabling faster identification and resolution of any UI-related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