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9C"/>
          <w:sz w:val="52"/>
          <w:szCs w:val="52"/>
        </w:rPr>
        <w:t xml:space="preserve">Cyber Security Assessment Report</w:t>
      </w:r>
    </w:p>
    <w:p>
      <w:pPr>
        <w:spacing w:after="100"/>
      </w:pPr>
      <w:r>
        <w:rPr>
          <w:sz w:val="32"/>
          <w:szCs w:val="32"/>
        </w:rPr>
        <w:t xml:space="preserve">IT PMO Control Room (index.html)</w:t>
      </w:r>
    </w:p>
    <w:p>
      <w:pPr>
        <w:pBdr>
          <w:bottom w:val="single" w:color="1F4E9C" w:sz="12" w:space="4"/>
        </w:pBdr>
        <w:spacing w:after="300"/>
      </w:pPr>
    </w:p>
    <w:p>
      <w:pPr>
        <w:spacing w:after="100"/>
      </w:pPr>
      <w:r>
        <w:rPr>
          <w:b/>
          <w:bCs/>
        </w:rPr>
        <w:t xml:space="preserve">Report date: </w:t>
      </w:r>
      <w:r>
        <w:t xml:space="preserve">14 October 2026 (re-scanned after UI revamp)</w:t>
      </w:r>
    </w:p>
    <w:p>
      <w:pPr>
        <w:spacing w:after="100"/>
      </w:pPr>
      <w:r>
        <w:rPr>
          <w:b/>
          <w:bCs/>
        </w:rPr>
        <w:t xml:space="preserve">Target: </w:t>
      </w:r>
      <w:r>
        <w:t xml:space="preserve">Repository ClaudecodeTest: index.html, .github/workflows, .mcp.json, .claude, .agents, git history</w:t>
      </w:r>
    </w:p>
    <w:p>
      <w:pPr>
        <w:spacing w:after="100"/>
      </w:pPr>
      <w:r>
        <w:rPr>
          <w:b/>
          <w:bCs/>
        </w:rPr>
        <w:t xml:space="preserve">Method: </w:t>
      </w:r>
      <w:r>
        <w:t xml:space="preserve">Static code review, regex bypass testing, git history secret search, configuration and supply-chain review</w:t>
      </w:r>
    </w:p>
    <w:p>
      <w:pPr>
        <w:spacing w:after="100"/>
      </w:pPr>
      <w:r>
        <w:rPr>
          <w:b/>
          <w:bCs/>
        </w:rPr>
        <w:t xml:space="preserve">Scanner: </w:t>
      </w:r>
      <w:r>
        <w:t xml:space="preserve">security-scanner agent (.claude/agents/security-scanner.md)</w:t>
      </w:r>
    </w:p>
    <w:p>
      <w:pPr>
        <w:spacing w:after="100"/>
      </w:pPr>
      <w:r>
        <w:rPr>
          <w:b/>
          <w:bCs/>
        </w:rPr>
        <w:t xml:space="preserve">Classification: </w:t>
      </w:r>
      <w:r>
        <w:t xml:space="preserve">Internal. Contains no secret values.</w:t>
      </w:r>
    </w:p>
    <w:p>
      <w:r>
        <w:br w:type="page"/>
      </w:r>
    </w:p>
    <w:p>
      <w:pPr>
        <w:pStyle w:val="Heading1"/>
      </w:pPr>
      <w:r>
        <w:t xml:space="preserve">1. Executive summary</w:t>
      </w:r>
    </w:p>
    <w:p>
      <w:pPr>
        <w:spacing w:after="100"/>
      </w:pPr>
      <w:r>
        <w:t xml:space="preserve">This report was refreshed after the UI revamp (grouped navigation, KPI groups, sensitivity badges, name auto-hide). The revamp added no new vulnerabilities, and one earlier finding (real bank prefix) is now resolved. The application is a single-file, client-side training demo with no backend, no stored data, no secrets in the code or in git history, and consistent output escaping. No Critical issues and no directly exploitable vulnerabilities (XSS, injection, secret leakage) were found in the current build. The main risks come from what the app is designed to do with data (sending it to an external relay), the weak best-effort sensitive-data filter, missing browser hardening, and unpinned development and CI dependencies.</w:t>
      </w:r>
    </w:p>
    <w:p>
      <w:pPr>
        <w:spacing w:after="100"/>
      </w:pPr>
      <w:r>
        <w:rPr>
          <w:b/>
          <w:bCs/>
        </w:rPr>
        <w:t xml:space="preserve">Overall risk for the demo as deployed: </w:t>
      </w:r>
      <w:r>
        <w:t xml:space="preserve">LOW to MEDIUM. </w:t>
      </w:r>
      <w:r>
        <w:rPr>
          <w:b/>
          <w:bCs/>
        </w:rPr>
        <w:t xml:space="preserve">If used with real data without the changes in section 7: </w:t>
      </w:r>
      <w:r>
        <w:t xml:space="preserve">HIGH.</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tblGrid>
      <w:tr>
        <w:trPr>
          <w:tblHeader/>
        </w:trPr>
        <w:tc>
          <w:tcPr>
            <w:tcW w:type="dxa" w:w="26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Severity</w:t>
            </w:r>
          </w:p>
        </w:tc>
        <w:tc>
          <w:tcPr>
            <w:tcW w:type="dxa" w:w="14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Findings</w:t>
            </w:r>
          </w:p>
        </w:tc>
      </w:tr>
      <w:tr>
        <w:tc>
          <w:tcPr>
            <w:tcW w:type="dxa" w:w="2600"/>
            <w:tcBorders>
              <w:top w:val="single" w:color="BFBFBF" w:sz="4"/>
              <w:left w:val="single" w:color="BFBFBF" w:sz="4"/>
              <w:bottom w:val="single" w:color="BFBFBF" w:sz="4"/>
              <w:right w:val="single" w:color="BFBFBF" w:sz="4"/>
            </w:tcBorders>
            <w:shd w:fill="7B1FA2" w:color="auto" w:val="clear"/>
            <w:tcMar>
              <w:top w:type="dxa" w:w="60"/>
              <w:left w:type="dxa" w:w="100"/>
              <w:bottom w:type="dxa" w:w="60"/>
              <w:right w:type="dxa" w:w="100"/>
            </w:tcMar>
          </w:tcPr>
          <w:p>
            <w:r>
              <w:rPr>
                <w:b/>
                <w:bCs/>
                <w:color w:val="FFFFFF"/>
                <w:sz w:val="20"/>
                <w:szCs w:val="20"/>
              </w:rPr>
              <w:t xml:space="preserve">Critical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r>
      <w:tr>
        <w:tc>
          <w:tcPr>
            <w:tcW w:type="dxa" w:w="26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c>
          <w:tcPr>
            <w:tcW w:type="dxa" w:w="26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c>
          <w:tcPr>
            <w:tcW w:type="dxa" w:w="26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c>
          <w:tcPr>
            <w:tcW w:type="dxa" w:w="26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Total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12</w:t>
            </w:r>
          </w:p>
        </w:tc>
      </w:tr>
    </w:tbl>
    <w:p>
      <w:pPr>
        <w:spacing w:after="100"/>
      </w:pPr>
      <w:r>
        <w:t xml:space="preserve"/>
      </w:r>
    </w:p>
    <w:p>
      <w:pPr>
        <w:pStyle w:val="Heading1"/>
      </w:pPr>
      <w:r>
        <w:t xml:space="preserve">2. Scope and method</w:t>
      </w:r>
    </w:p>
    <w:p>
      <w:pPr>
        <w:pStyle w:val="ListParagraph"/>
        <w:numPr>
          <w:ilvl w:val="0"/>
          <w:numId w:val="2"/>
        </w:numPr>
        <w:spacing w:after="60"/>
      </w:pPr>
      <w:r>
        <w:t xml:space="preserve">In scope: index.html (about 1,830 lines: markup, CSS, JavaScript), .github/workflows/pages.yml, .mcp.json, .claude/ (commands, skills, agents), .agents/, skills-lock.json, .gitignore, README.md, CLAUDE.md and the full git history (all commits).</w:t>
      </w:r>
    </w:p>
    <w:p>
      <w:pPr>
        <w:pStyle w:val="ListParagraph"/>
        <w:numPr>
          <w:ilvl w:val="0"/>
          <w:numId w:val="2"/>
        </w:numPr>
        <w:spacing w:after="60"/>
      </w:pPr>
      <w:r>
        <w:t xml:space="preserve">Techniques: manual review of every innerHTML sink and data flow; search for eval, document.write, external scripts, storage APIs and target=_blank; execution of the sensitive-data regexes against bypass samples in Node; regex search of history for keys, tokens and emails; review of CI permissions and action pinning; review of vendored skill scripts.</w:t>
      </w:r>
    </w:p>
    <w:p>
      <w:pPr>
        <w:pStyle w:val="ListParagraph"/>
        <w:numPr>
          <w:ilvl w:val="0"/>
          <w:numId w:val="2"/>
        </w:numPr>
        <w:spacing w:after="60"/>
      </w:pPr>
      <w:r>
        <w:t xml:space="preserve">Out of scope: FormSubmit's own security, GitHub Pages infrastructure, browser vulnerabilities, penetration testing of live infrastructure. No dynamic attack traffic was sent anywhere.</w:t>
      </w:r>
    </w:p>
    <w:p>
      <w:pPr>
        <w:pStyle w:val="Heading1"/>
      </w:pPr>
      <w:r>
        <w:t xml:space="preserve">3. Classification method</w:t>
      </w:r>
    </w:p>
    <w:p>
      <w:pPr>
        <w:spacing w:after="100"/>
      </w:pPr>
      <w:r>
        <w:t xml:space="preserve">Severity reflects likelihood multiplied by impact for the application as deployed (a public training demo with fictitious data). A second rating shows the severity if the same weakness existed in a deployment using real data. Each finding is tagged with an OWASP Top 10 (2021) category and CWE.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Severity</w:t>
            </w:r>
          </w:p>
        </w:tc>
        <w:tc>
          <w:tcPr>
            <w:tcW w:type="dxa" w:w="766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Meaning</w:t>
            </w:r>
          </w:p>
        </w:tc>
      </w:tr>
      <w:tr>
        <w:tc>
          <w:tcPr>
            <w:tcW w:type="dxa" w:w="1700"/>
            <w:tcBorders>
              <w:top w:val="single" w:color="BFBFBF" w:sz="4"/>
              <w:left w:val="single" w:color="BFBFBF" w:sz="4"/>
              <w:bottom w:val="single" w:color="BFBFBF" w:sz="4"/>
              <w:right w:val="single" w:color="BFBFBF" w:sz="4"/>
            </w:tcBorders>
            <w:shd w:fill="7B1FA2" w:color="auto" w:val="clear"/>
            <w:tcMar>
              <w:top w:type="dxa" w:w="60"/>
              <w:left w:type="dxa" w:w="100"/>
              <w:bottom w:type="dxa" w:w="60"/>
              <w:right w:type="dxa" w:w="100"/>
            </w:tcMar>
          </w:tcPr>
          <w:p>
            <w:r>
              <w:rPr>
                <w:b/>
                <w:bCs/>
                <w:color w:val="FFFFFF"/>
                <w:sz w:val="20"/>
                <w:szCs w:val="20"/>
              </w:rPr>
              <w:t xml:space="preserve">Critical</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Direct compromise or large data breach; fix immediately.</w:t>
            </w:r>
          </w:p>
        </w:tc>
      </w:tr>
      <w:tr>
        <w:tc>
          <w:tcPr>
            <w:tcW w:type="dxa" w:w="17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Serious weakness likely to be exploited or to cause data exposure; fix before real use.</w:t>
            </w:r>
          </w:p>
        </w:tc>
      </w:tr>
      <w:tr>
        <w:tc>
          <w:tcPr>
            <w:tcW w:type="dxa" w:w="17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Weakness that needs a specific condition or that weakens a defence; fix in the next cycle.</w:t>
            </w:r>
          </w:p>
        </w:tc>
      </w:tr>
      <w:tr>
        <w:tc>
          <w:tcPr>
            <w:tcW w:type="dxa" w:w="17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Minor weakness or hardening gap with limited impact.</w:t>
            </w:r>
          </w:p>
        </w:tc>
      </w:tr>
      <w:tr>
        <w:tc>
          <w:tcPr>
            <w:tcW w:type="dxa" w:w="17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Observation, good practice or process note; no direct risk.</w:t>
            </w:r>
          </w:p>
        </w:tc>
      </w:tr>
    </w:tbl>
    <w:p>
      <w:r>
        <w:br w:type="page"/>
      </w:r>
    </w:p>
    <w:p>
      <w:pPr>
        <w:pStyle w:val="Heading1"/>
      </w:pPr>
      <w:r>
        <w:t xml:space="preserve">4. Findings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760"/>
        <w:gridCol w:w="1500"/>
        <w:gridCol w:w="1600"/>
      </w:tblGrid>
      <w:tr>
        <w:trPr>
          <w:tblHeader/>
        </w:trPr>
        <w:tc>
          <w:tcPr>
            <w:tcW w:type="dxa" w:w="10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ID</w:t>
            </w:r>
          </w:p>
        </w:tc>
        <w:tc>
          <w:tcPr>
            <w:tcW w:type="dxa" w:w="15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Severity</w:t>
            </w:r>
          </w:p>
        </w:tc>
        <w:tc>
          <w:tcPr>
            <w:tcW w:type="dxa" w:w="376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Title</w:t>
            </w:r>
          </w:p>
        </w:tc>
        <w:tc>
          <w:tcPr>
            <w:tcW w:type="dxa" w:w="15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If real data</w:t>
            </w:r>
          </w:p>
        </w:tc>
        <w:tc>
          <w:tcPr>
            <w:tcW w:type="dxa" w:w="16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Effort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SEC-01</w:t>
            </w:r>
          </w:p>
        </w:tc>
        <w:tc>
          <w:tcPr>
            <w:tcW w:type="dxa" w:w="15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data and staff names are sent to a third-party service</w:t>
            </w:r>
          </w:p>
        </w:tc>
        <w:tc>
          <w:tcPr>
            <w:tcW w:type="dxa" w:w="15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Medium</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SEC-02</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Public email relay can be abused (spam, spoofed subject, no bot control)</w:t>
            </w:r>
          </w:p>
        </w:tc>
        <w:tc>
          <w:tcPr>
            <w:tcW w:type="dxa" w:w="15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SEC-03</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Sensitive-data filter is easy to bypass and skips the Assignee field</w:t>
            </w:r>
          </w:p>
        </w:tc>
        <w:tc>
          <w:tcPr>
            <w:tcW w:type="dxa" w:w="150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SEC-04</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Content-Security-Policy or other browser hardening</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Medium</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SEC-05</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Unpinned Playwright MCP server executed via npx at @latest</w:t>
            </w:r>
          </w:p>
        </w:tc>
        <w:tc>
          <w:tcPr>
            <w:tcW w:type="dxa" w:w="150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SEC-06</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GitHub Actions pinned to mutable tags; broad workflow-level permissions</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SEC-07</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Vendored third-party agent skills include executable scripts</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SEC-08</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authentication, authorisation or audit trail</w:t>
            </w:r>
          </w:p>
        </w:tc>
        <w:tc>
          <w:tcPr>
            <w:tcW w:type="dxa" w:w="1500"/>
            <w:tcBorders>
              <w:top w:val="single" w:color="BFBFBF" w:sz="4"/>
              <w:left w:val="single" w:color="BFBFBF" w:sz="4"/>
              <w:bottom w:val="single" w:color="BFBFBF" w:sz="4"/>
              <w:right w:val="single" w:color="BFBFBF" w:sz="4"/>
            </w:tcBorders>
            <w:shd w:fill="7B1FA2" w:color="auto" w:val="clear"/>
            <w:tcMar>
              <w:top w:type="dxa" w:w="60"/>
              <w:left w:type="dxa" w:w="100"/>
              <w:bottom w:type="dxa" w:w="60"/>
              <w:right w:type="dxa" w:w="100"/>
            </w:tcMar>
          </w:tcPr>
          <w:p>
            <w:r>
              <w:rPr>
                <w:b/>
                <w:bCs/>
                <w:color w:val="FFFFFF"/>
                <w:sz w:val="20"/>
                <w:szCs w:val="20"/>
              </w:rPr>
              <w:t xml:space="preserve">Critical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High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SEC-09</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 bank prefix "UOB" in IDs and email subject (resolved)</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SEC-10</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Card descriptions and full names visible on the board</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SEC-11</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Validation is client-side only; no cap on task count</w:t>
            </w:r>
          </w:p>
        </w:tc>
        <w:tc>
          <w:tcPr>
            <w:tcW w:type="dxa" w:w="150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SEC-12</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Dev tooling: publish command pushes to a public repo</w:t>
            </w:r>
          </w:p>
        </w:tc>
        <w:tc>
          <w:tcPr>
            <w:tcW w:type="dxa" w:w="150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r>
        <w:br w:type="page"/>
      </w:r>
    </w:p>
    <w:p>
      <w:pPr>
        <w:pStyle w:val="Heading1"/>
      </w:pPr>
      <w:r>
        <w:t xml:space="preserve">5. Detailed findings</w:t>
      </w:r>
    </w:p>
    <w:p>
      <w:pPr>
        <w:pStyle w:val="Heading2"/>
      </w:pPr>
      <w:r>
        <w:t xml:space="preserve">SEC-01  Task data and staff names are sent to a third-party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C62828" w:color="auto"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A04 Insecure Design / A02 Cryptographic Failures (data exposure)</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CWE-359, CWE-201</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index.html:1539-1563 (notifyNewTask), :777</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new task posts Title, Description, Assignee, Project, Priority and Due Date as JSON to formsubmit.co, an external email relay outside the organisation. The Add Task form warns the user, but the data still leaves the browser and is held by the relay and the mailbox.</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real data, confidential project details and personal data (staff names) would be disclosed to a third party with no data-processing agreement, retention control or audit trail.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Keep the demo as is but never enter real data. For production replace FormSubmit with an approved internal mail or API route, send only the task ID and a link, and remove Assignee from the payload.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Medium</w:t>
            </w:r>
          </w:p>
        </w:tc>
      </w:tr>
    </w:tbl>
    <w:p>
      <w:pPr>
        <w:spacing w:after="100"/>
      </w:pPr>
      <w:r>
        <w:t xml:space="preserve"/>
      </w:r>
    </w:p>
    <w:p>
      <w:pPr>
        <w:pStyle w:val="Heading2"/>
      </w:pPr>
      <w:r>
        <w:t xml:space="preserve">SEC-02  Public email relay can be abused (spam, spoofed subject, no bot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  (if real data: High)</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A04 Insecure Design</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CWE-770, CWE-799</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index.html:777, :1544-1546</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recipient address sits in public page source, so once a real address is set anyone can read it. The request sets _captcha to "false" and has no honeypot (_honey) or rate limit. The email subject includes the user-typed task title, so any visitor can post arbitrary text into the owner's inbox, bypassing the UI entirely by calling the endpoint directly.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Mailbox flooding, phishing text delivered from a trusted sender name, and exhaustion of the free FormSubmit quota. The placeholder YOUR_EMAIL@example.com is currently in place, so there is no live exposure today.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 not commit a real address; use a FormSubmit hashed endpoint or a server-side relay. Re-enable captcha or add a _honey field, and keep the subject static (task ID only).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SEC-03  Sensitive-data filter is easy to bypass and skips the Assignee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  (if real data: High)</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A04 Insecure Design</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CWE-184, CWE-20</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index.html:957-967, :1588-1604</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Tested with the app's own regexes. Blocked: "4111 1111 1111 1111", "4111-1111-1111-1111", "S1234567D". Not blocked: "4111.1111.1111.1111", "password is Hunter2!", "pwd Hunter2", "apikey sk-abc123", a GitHub-style token, an IBAN, an 8-digit account number, and obfuscated emails such as "john at bank dot com". Only Title and Description are scanned; Assignee (sent in the email) and Project/Category are not. National ID format covers one country only.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user can unintentionally send credentials or account data to the external relay while believing the form protected them (false sense of assurance).</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Broaden patterns (dot separators, key=value and "is" phrasing, common token prefixes, IBAN), add a Luhn check for card numbers, scan Assignee, and describe the filter as a best-effort guard rather than a control.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SEC-04  No Content-Security-Policy or other browser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A05 Security Misconfiguration</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CWE-693, CWE-1021</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index.html:3-6 (head)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page has no CSP meta tag, no referrer policy and no frame protection. All code is inline, so a CSP would need script/style hashes. The only XSS defence is escapeHtml(), which is applied correctly today (all 25 innerHTML/outerHTML sinks re-checked after the UI revamp: each takes escaped values or built-in constants), but there is no second layer.</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future unescaped field would become exploitable XSS with full access to the board; the page can be framed (clickjacking) on GitHub Pages; the fetch sends the full page URL as Referer to formsubmit.co.</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Add a meta CSP: default-src 'none'; script-src and style-src with sha256 hashes; connect-src https://formsubmit.co; base-uri 'none'; form-action 'none'. Add &lt;meta name="referrer" content="no-referrer"&gt; and referrerPolicy on fetch. Note frame-ancestors cannot be set by meta; use a framebuster or host behind a proxy that sends headers.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Medium</w:t>
            </w:r>
          </w:p>
        </w:tc>
      </w:tr>
    </w:tbl>
    <w:p>
      <w:pPr>
        <w:spacing w:after="100"/>
      </w:pPr>
      <w:r>
        <w:t xml:space="preserve"/>
      </w:r>
    </w:p>
    <w:p>
      <w:pPr>
        <w:pStyle w:val="Heading2"/>
      </w:pPr>
      <w:r>
        <w:t xml:space="preserve">SEC-05  Unpinned Playwright MCP server executed via npx at @latest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EF6C00" w:color="auto"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A06 Vulnerable and Outdated Components / A08 Integrity Failures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CWE-829, CWE-1357</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.mcp.json:4-8</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project registers an MCP server with command "npx -y @playwright/mcp@latest". Each session downloads and runs whatever version is current, with no integrity check, and the server can drive a browser and read local files.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compromised or typosquatted release would run code on every developer's machine and in cloud sessions that open this repo.</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Pin an exact reviewed version (for example @playwright/mcp@x.y.z), review upgrades like any dependency, and consider a lockfile or vendored copy.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SEC-06  GitHub Actions pinned to mutable tags; broad workflow-level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A08 Software and Data Integrity Failures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CWE-829</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.github/workflows/pages.yml:8-12, :24-35</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actions/checkout@v4, configure-pages@v5, upload-pages-artifact@v3 and deploy-pages@v4 use movable tags. pages: write and id-token: write are granted to the whole workflow. The job publishes only index.html, which is good (CLAUDE.md, .claude and .github are not shipped).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hijacked tag would run in a job that holds a deploy token and could publish altered pages.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Pin each action to a full commit SHA with a version comment, move the write permissions to the job, and enable Dependabot for actions.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SEC-07  Vendored third-party agent skills include executable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A08 Software and Data Integrity Failures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CWE-494</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.claude/skills/*, .agents/skills/*, skills-lock.json</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Four skills from public GitHub repos are copied into the project twice (.agents and .claude) and loaded as instructions. ui-ux-pro-max includes Python scripts. I reviewed them: no network, shell or eval use outside test files, and no prompt-injection phrases. skills-lock.json records hashes, but nothing verifies them automatically.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later update from an upstream author could add malicious instructions or scripts that an agent would follow.</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Verify hashes against skills-lock.json in CI or before updates, review diffs on update, and keep a single copy.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SEC-08  No authentication, authorisation or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F9A825" w:color="auto" w:val="clear"/>
            <w:tcMar>
              <w:top w:type="dxa" w:w="60"/>
              <w:left w:type="dxa" w:w="100"/>
              <w:bottom w:type="dxa" w:w="60"/>
              <w:right w:type="dxa" w:w="100"/>
            </w:tcMar>
          </w:tcPr>
          <w:p>
            <w:r>
              <w:rPr>
                <w:b/>
                <w:bCs/>
                <w:color w:val="000000"/>
                <w:sz w:val="20"/>
                <w:szCs w:val="20"/>
              </w:rPr>
              <w:t xml:space="preserve">Low  (if real data: Critical)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A01 Broken Access Control / A07 Identification and Authentication Failures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CWE-306, CWE-862, CWE-778</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 (whole app); Data privacy view, "Before using real data"</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Anyone with the URL can see, move, add and delete every card and reveal full staff names. Nothing is recorded against a person. The app discloses this itself on the Data privacy page.</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Acceptable for a public training demo with fictitious data. Unacceptable with real data.</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any real use put the app behind SSO with roles, move data to a server with access control and write an audit log.</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High</w:t>
            </w:r>
          </w:p>
        </w:tc>
      </w:tr>
    </w:tbl>
    <w:p>
      <w:pPr>
        <w:spacing w:after="100"/>
      </w:pPr>
      <w:r>
        <w:t xml:space="preserve"/>
      </w:r>
    </w:p>
    <w:p>
      <w:pPr>
        <w:pStyle w:val="Heading2"/>
      </w:pPr>
      <w:r>
        <w:t xml:space="preserve">SEC-09  Real bank prefix "UOB" in IDs and email subject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Compliance / Branding (project rule)</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index.html:906, :1544 (previously)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CLAUDE.md requires no real bank trademarks. The earlier build used UOB-ITPM-#### task IDs and a [UOB IT PMO] email subject. Re-scan confirms the prefix is now DEMO-ITPM and the subject is [IT PMO Demo]; no real bank name remains in index.html, README.md or CLAUDE.md.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now. Listed for traceability.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action. Keep the neutral prefix.</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w:t>
            </w:r>
          </w:p>
        </w:tc>
      </w:tr>
    </w:tbl>
    <w:p>
      <w:pPr>
        <w:spacing w:after="100"/>
      </w:pPr>
      <w:r>
        <w:t xml:space="preserve"/>
      </w:r>
    </w:p>
    <w:p>
      <w:pPr>
        <w:pStyle w:val="Heading2"/>
      </w:pPr>
      <w:r>
        <w:t xml:space="preserve">SEC-10  Card descriptions and full names visible on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  (if real data: Low)</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A01 Broken Access Control (privacy)</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CWE-200</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index.html:1002, :1010</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description is exposed as a hover tooltip (title attribute) and staff names are always shown in full on cards; masking applies only to analytics tables.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Shoulder-surfing or screen-share exposure of confidential text.</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Show descriptions on demand and apply the name-masking toggle to cards as well.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SEC-11  Validation is client-side only; no cap on task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  (if real data: Low)</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A04 Insecure Design</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CWE-602</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index.html:1588-1604</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maxlength and date minimums can be bypassed from the console. Because state is local and nothing is persisted, impact is limited to the user's own tab.</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today. Becomes relevant if a backend is added.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Re-validate on the server and cap collection sizes when a backend exists.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2"/>
      </w:pPr>
      <w:r>
        <w:t xml:space="preserve">SEC-12  Dev tooling: publish command pushes to a public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Severity</w:t>
            </w:r>
          </w:p>
        </w:tc>
        <w:tc>
          <w:tcPr>
            <w:tcW w:type="dxa" w:w="7360"/>
            <w:tcBorders>
              <w:top w:val="single" w:color="BFBFBF" w:sz="4"/>
              <w:left w:val="single" w:color="BFBFBF" w:sz="4"/>
              <w:bottom w:val="single" w:color="BFBFBF" w:sz="4"/>
              <w:right w:val="single" w:color="BFBFBF" w:sz="4"/>
            </w:tcBorders>
            <w:shd w:fill="546E7A" w:color="auto" w:val="clear"/>
            <w:tcMar>
              <w:top w:type="dxa" w:w="60"/>
              <w:left w:type="dxa" w:w="100"/>
              <w:bottom w:type="dxa" w:w="60"/>
              <w:right w:type="dxa" w:w="100"/>
            </w:tcMar>
          </w:tcPr>
          <w:p>
            <w:r>
              <w:rPr>
                <w:b/>
                <w:bCs/>
                <w:color w:val="FFFFFF"/>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OWASP 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Process</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CWE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Location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.claude/commands/publish.md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Evidence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/publish command includes a blocking secret-scan gate and warns about a real FormSubmit address, which is good. It still creates or pushes to a public repository when approved.</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Impact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Human approval is the final control.</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Recommendation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Keep the gate; add this scanning agent as an extra step before publish.</w:t>
            </w:r>
          </w:p>
        </w:tc>
      </w:tr>
      <w:tr>
        <w:tc>
          <w:tcPr>
            <w:tcW w:type="dxa" w:w="20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r>
              <w:rPr>
                <w:b/>
                <w:bCs/>
                <w:sz w:val="20"/>
                <w:szCs w:val="20"/>
              </w:rPr>
              <w:t xml:space="preserve">Fix effort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w:t>
            </w:r>
          </w:p>
        </w:tc>
      </w:tr>
    </w:tbl>
    <w:p>
      <w:pPr>
        <w:spacing w:after="100"/>
      </w:pPr>
      <w:r>
        <w:t xml:space="preserve"/>
      </w:r>
    </w:p>
    <w:p>
      <w:pPr>
        <w:pStyle w:val="Heading1"/>
      </w:pPr>
      <w:r>
        <w:t xml:space="preserve">6. Positive controls observed</w:t>
      </w:r>
    </w:p>
    <w:p>
      <w:pPr>
        <w:pStyle w:val="ListParagraph"/>
        <w:numPr>
          <w:ilvl w:val="0"/>
          <w:numId w:val="2"/>
        </w:numPr>
        <w:spacing w:after="60"/>
      </w:pPr>
      <w:r>
        <w:t xml:space="preserve">No secrets, tokens, keys or credentials in the working tree or in any commit; the only email is the placeholder YOUR_EMAIL@example.com. .gitignore excludes .env, keys and local settings.</w:t>
      </w:r>
    </w:p>
    <w:p>
      <w:pPr>
        <w:pStyle w:val="ListParagraph"/>
        <w:numPr>
          <w:ilvl w:val="0"/>
          <w:numId w:val="2"/>
        </w:numPr>
        <w:spacing w:after="60"/>
      </w:pPr>
      <w:r>
        <w:t xml:space="preserve">Every user-controlled value is passed through escapeHtml() before it reaches innerHTML (cards, tables, activity log, options). No eval, new Function, document.write or inline event handlers.</w:t>
      </w:r>
    </w:p>
    <w:p>
      <w:pPr>
        <w:pStyle w:val="ListParagraph"/>
        <w:numPr>
          <w:ilvl w:val="0"/>
          <w:numId w:val="2"/>
        </w:numPr>
        <w:spacing w:after="60"/>
      </w:pPr>
      <w:r>
        <w:t xml:space="preserve">Only one outbound network call (FormSubmit). No external scripts, fonts, images or CDNs. No localStorage, sessionStorage, IndexedDB or cookies.</w:t>
      </w:r>
    </w:p>
    <w:p>
      <w:pPr>
        <w:pStyle w:val="ListParagraph"/>
        <w:numPr>
          <w:ilvl w:val="0"/>
          <w:numId w:val="2"/>
        </w:numPr>
        <w:spacing w:after="60"/>
      </w:pPr>
      <w:r>
        <w:t xml:space="preserve">View routing from the URL hash is whitelisted against the VIEWS list.</w:t>
      </w:r>
    </w:p>
    <w:p>
      <w:pPr>
        <w:pStyle w:val="ListParagraph"/>
        <w:numPr>
          <w:ilvl w:val="0"/>
          <w:numId w:val="2"/>
        </w:numPr>
        <w:spacing w:after="60"/>
      </w:pPr>
      <w:r>
        <w:t xml:space="preserve">Analytics use counts and IDs only; names are masked to initials by default; delete uses an inline confirm rather than a dialog.</w:t>
      </w:r>
    </w:p>
    <w:p>
      <w:pPr>
        <w:pStyle w:val="ListParagraph"/>
        <w:numPr>
          <w:ilvl w:val="0"/>
          <w:numId w:val="2"/>
        </w:numPr>
        <w:spacing w:after="60"/>
      </w:pPr>
      <w:r>
        <w:t xml:space="preserve">Pages workflow publishes only index.html, not repository internals. The /publish command has a blocking secret-scan gate.</w:t>
      </w:r>
    </w:p>
    <w:p>
      <w:pPr>
        <w:pStyle w:val="Heading1"/>
      </w:pPr>
      <w:r>
        <w:t xml:space="preserve">7.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Priority</w:t>
            </w:r>
          </w:p>
        </w:tc>
        <w:tc>
          <w:tcPr>
            <w:tcW w:type="dxa" w:w="586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4E9C" w:color="auto" w:val="clear"/>
            <w:tcMar>
              <w:top w:type="dxa" w:w="60"/>
              <w:left w:type="dxa" w:w="100"/>
              <w:bottom w:type="dxa" w:w="60"/>
              <w:right w:type="dxa" w:w="100"/>
            </w:tcMar>
          </w:tcPr>
          <w:p>
            <w:r>
              <w:rPr>
                <w:b/>
                <w:bCs/>
                <w:color w:val="FFFFFF"/>
                <w:sz w:val="20"/>
                <w:szCs w:val="20"/>
              </w:rPr>
              <w:t xml:space="preserve">Findings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Now (quick wins)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Pin @playwright/mcp version; pin Actions to SHAs; keep the placeholder email and add _honey / static subject.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SEC-02, 05, 06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Next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Add meta CSP and referrer policy; strengthen and extend the sensitive-data filter (Luhn, more patterns, Assignee).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SEC-03, 04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Before real data</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Replace FormSubmit with an approved internal channel; add SSO, roles, server validation and an audit log.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SEC-01, 08, 11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Ongoing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 the security-scanner agent before each /publish; verify skill hashes; Dependabot for Actions.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SEC-07, 12</w:t>
            </w:r>
          </w:p>
        </w:tc>
      </w:tr>
    </w:tbl>
    <w:p>
      <w:pPr>
        <w:pStyle w:val="Heading1"/>
      </w:pPr>
      <w:r>
        <w:t xml:space="preserve">8. Limitations</w:t>
      </w:r>
    </w:p>
    <w:p>
      <w:pPr>
        <w:spacing w:after="100"/>
      </w:pPr>
      <w:r>
        <w:t xml:space="preserve">This is a point-in-time static review by an automated agent and does not replace a penetration test or manual review by a qualified security professional. FormSubmit, GitHub and browser behaviour were assessed from documentation and code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Cyber Security Assessment Report - Internal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9C"/>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4E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2026-10-14T07:59:50.516Z</dcterms:created>
  <dcterms:modified xsi:type="dcterms:W3CDTF">2026-10-14T07:59:50.516Z</dcterms:modified>
</cp:coreProperties>
</file>

<file path=docProps/custom.xml><?xml version="1.0" encoding="utf-8"?>
<Properties xmlns="http://schemas.openxmlformats.org/officeDocument/2006/custom-properties" xmlns:vt="http://schemas.openxmlformats.org/officeDocument/2006/docPropsVTypes"/>
</file>