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NeuroSight AI: Complete Project Construction &amp; Review Guide</w:t>
      </w:r>
    </w:p>
    <w:p>
      <w:pPr>
        <w:pStyle w:val="Heading1"/>
      </w:pPr>
      <w:r>
        <w:t>1. Project Genesis &amp; Introduction</w:t>
      </w:r>
    </w:p>
    <w:p>
      <w:r>
        <w:rPr>
          <w:b w:val="0"/>
        </w:rPr>
        <w:t>The NeuroSight AI project started from the critical need to automate and improve the accuracy of brain tumor classification using MRI scans. The goal was to build a system that not only predicts tumor types (Glioma, Meningioma, Pituitary, or No Tumor) with high accuracy but also provides visual explanations to build trust with medical professionals.</w:t>
      </w:r>
    </w:p>
    <w:p>
      <w:pPr>
        <w:pStyle w:val="Heading1"/>
      </w:pPr>
      <w:r>
        <w:t>2. Data Preprocessing &amp; Overcoming Imaging Challenges</w:t>
      </w:r>
    </w:p>
    <w:p>
      <w:r>
        <w:rPr>
          <w:b/>
        </w:rPr>
        <w:t>Problem Faced:</w:t>
      </w:r>
    </w:p>
    <w:p>
      <w:r>
        <w:rPr>
          <w:b w:val="0"/>
        </w:rPr>
        <w:t>Medical MRI scans often suffer from poor contrast, making it difficult for standard Convolutional Neural Networks (CNNs) to distinguish between healthy tissue and tumor boundaries.</w:t>
      </w:r>
    </w:p>
    <w:p>
      <w:r>
        <w:rPr>
          <w:b/>
        </w:rPr>
        <w:t>How We Overcame It:</w:t>
      </w:r>
    </w:p>
    <w:p>
      <w:r>
        <w:rPr>
          <w:b w:val="0"/>
        </w:rPr>
        <w:t>We implemented CLAHE (Contrast Limited Adaptive Histogram Equalization) in the LAB color space during the data preprocessing pipeline. This significantly enhanced the structural details of the tumors without amplifying noise, giving our models a much cleaner signal to learn from.</w:t>
      </w:r>
    </w:p>
    <w:p>
      <w:pPr>
        <w:pStyle w:val="Heading1"/>
      </w:pPr>
      <w:r>
        <w:t>3. Model Architecture Construction</w:t>
      </w:r>
    </w:p>
    <w:p>
      <w:r>
        <w:rPr>
          <w:b w:val="0"/>
        </w:rPr>
        <w:t>The core intelligence of this project relies on a hybrid ensemble architecture.</w:t>
      </w:r>
    </w:p>
    <w:p>
      <w:pPr>
        <w:pStyle w:val="Heading2"/>
      </w:pPr>
      <w:r>
        <w:t>Building the PDSCNN (Spatial Features)</w:t>
      </w:r>
    </w:p>
    <w:p>
      <w:r>
        <w:rPr>
          <w:b w:val="0"/>
        </w:rPr>
        <w:t>We built a Parallel Dilated Separable CNN (PDSCNN) from scratch. To avoid massive parameter counts and overfitting, we utilized depthwise separable convolutions in parallel branches with different kernel sizes (3x3 and 5x5). This allowed the model to capture multi-scale local features efficiently.</w:t>
      </w:r>
    </w:p>
    <w:p>
      <w:pPr>
        <w:pStyle w:val="Heading2"/>
      </w:pPr>
      <w:r>
        <w:t>Fine-Tuning ViT (Global Context)</w:t>
      </w:r>
    </w:p>
    <w:p>
      <w:r>
        <w:rPr>
          <w:b w:val="0"/>
        </w:rPr>
        <w:t>While CNNs are great at local textures, they often miss global context. We integrated a pre-trained Vision Transformer (ViT-Base-Patch16). To prevent catastrophic forgetting and save compute, we froze the lower layers and only fine-tuned the final transformer block and classifier head.</w:t>
      </w:r>
    </w:p>
    <w:p>
      <w:pPr>
        <w:pStyle w:val="Heading2"/>
      </w:pPr>
      <w:r>
        <w:t>RRELM Fusion (The Merge)</w:t>
      </w:r>
    </w:p>
    <w:p>
      <w:r>
        <w:rPr>
          <w:b/>
        </w:rPr>
        <w:t>Problem Faced:</w:t>
      </w:r>
    </w:p>
    <w:p>
      <w:r>
        <w:rPr>
          <w:b w:val="0"/>
        </w:rPr>
        <w:t>Fusing the 512-dim CNN vector with the 768-dim ViT token using standard fully connected layers was slow to train and prone to overfitting on our dataset size.</w:t>
      </w:r>
    </w:p>
    <w:p>
      <w:r>
        <w:rPr>
          <w:b/>
        </w:rPr>
        <w:t>How We Overcame It:</w:t>
      </w:r>
    </w:p>
    <w:p>
      <w:r>
        <w:rPr>
          <w:b w:val="0"/>
        </w:rPr>
        <w:t>We replaced the final dense layers with a Regularized Random Extreme Learning Machine (RRELM). By standardizing the concatenated features and using closed-form least squares with L2 regularization, we achieved lightning-fast fusion training and superior generalization, culminating in an overall accuracy of 98.5%.</w:t>
      </w:r>
    </w:p>
    <w:p>
      <w:pPr>
        <w:pStyle w:val="Heading1"/>
      </w:pPr>
      <w:r>
        <w:t>4. Explainable AI (XAI) Integration</w:t>
      </w:r>
    </w:p>
    <w:p>
      <w:r>
        <w:rPr>
          <w:b/>
        </w:rPr>
        <w:t>Problem Faced:</w:t>
      </w:r>
    </w:p>
    <w:p>
      <w:r>
        <w:rPr>
          <w:b w:val="0"/>
        </w:rPr>
        <w:t>Deep learning models are infamous "black boxes." Medical practitioners will not trust a system that just spits out a probability without justification.</w:t>
      </w:r>
    </w:p>
    <w:p>
      <w:r>
        <w:rPr>
          <w:b/>
        </w:rPr>
        <w:t>How We Overcame It:</w:t>
      </w:r>
    </w:p>
    <w:p>
      <w:r>
        <w:rPr>
          <w:b w:val="0"/>
        </w:rPr>
        <w:t>We integrated Grad-CAM and SHAP (SHapley Additive exPlanations). Grad-CAM taps into the final spatial layers of the PDSCNN to generate heatmaps of where the model is looking. SHAP calculates exact pixel-level feature attributions, proving to the user exactly why the model made its decision.</w:t>
      </w:r>
    </w:p>
    <w:p>
      <w:pPr>
        <w:pStyle w:val="Heading1"/>
      </w:pPr>
      <w:r>
        <w:t>5. Full-Stack Web App Construction</w:t>
      </w:r>
    </w:p>
    <w:p>
      <w:r>
        <w:rPr>
          <w:b w:val="0"/>
        </w:rPr>
        <w:t>To make this accessible, we built a modern web application.</w:t>
      </w:r>
    </w:p>
    <w:p>
      <w:pPr>
        <w:pStyle w:val="Heading2"/>
      </w:pPr>
      <w:r>
        <w:t>Backend API Integration</w:t>
      </w:r>
    </w:p>
    <w:p>
      <w:r>
        <w:rPr>
          <w:b/>
        </w:rPr>
        <w:t>Problem Faced:</w:t>
      </w:r>
    </w:p>
    <w:p>
      <w:r>
        <w:rPr>
          <w:b w:val="0"/>
        </w:rPr>
        <w:t>Our models were strictly in Python (PyTorch), but we wanted to build a fast, asynchronous web backend.</w:t>
      </w:r>
    </w:p>
    <w:p>
      <w:r>
        <w:rPr>
          <w:b/>
        </w:rPr>
        <w:t>How We Overcame It:</w:t>
      </w:r>
    </w:p>
    <w:p>
      <w:r>
        <w:rPr>
          <w:b w:val="0"/>
        </w:rPr>
        <w:t>We built a Node.js Express server that uses child processes (`execFile`) to securely invoke the `predict.py` inference script on demand. The server intercepts multipart form data (images), saves them, triggers the Python pipeline, and streams the JSON predictions back.</w:t>
      </w:r>
    </w:p>
    <w:p>
      <w:pPr>
        <w:pStyle w:val="Heading2"/>
      </w:pPr>
      <w:r>
        <w:t>Frontend UI Challenges</w:t>
      </w:r>
    </w:p>
    <w:p>
      <w:r>
        <w:rPr>
          <w:b/>
        </w:rPr>
        <w:t>Problem Faced:</w:t>
      </w:r>
    </w:p>
    <w:p>
      <w:r>
        <w:rPr>
          <w:b w:val="0"/>
        </w:rPr>
        <w:t>During testing, generating SHAP explanations took significantly longer than standard inference. The React frontend would appear "stuck" on the loading screen, leading to a poor user experience.</w:t>
      </w:r>
    </w:p>
    <w:p>
      <w:r>
        <w:rPr>
          <w:b/>
        </w:rPr>
        <w:t>How We Overcame It:</w:t>
      </w:r>
    </w:p>
    <w:p>
      <w:r>
        <w:rPr>
          <w:b w:val="0"/>
        </w:rPr>
        <w:t>We completely revamped the frontend loading states. We introduced a dynamic, animated step-tracker that informs the user exactly what the backend is computing. We also implemented a 60-second execution timeout on the Node backend to gracefully handle any catastrophic Python freezes without leaving the client hanging.</w:t>
      </w:r>
    </w:p>
    <w:p>
      <w:pPr>
        <w:pStyle w:val="Heading1"/>
      </w:pPr>
      <w:r>
        <w:t>6. Final Polish &amp; Model Metrics</w:t>
      </w:r>
    </w:p>
    <w:p>
      <w:r>
        <w:rPr>
          <w:b w:val="0"/>
        </w:rPr>
        <w:t>The project was finalized by adding a secure Login/Registration portal and a dedicated 'Model Efficiency' dashboard. Our final architecture achieved:</w:t>
      </w:r>
    </w:p>
    <w:p>
      <w:r>
        <w:rPr>
          <w:b w:val="0"/>
        </w:rPr>
        <w:t>- Accuracy: 98.5%</w:t>
      </w:r>
    </w:p>
    <w:p>
      <w:r>
        <w:rPr>
          <w:b w:val="0"/>
        </w:rPr>
        <w:t>- Precision: 97.8%</w:t>
      </w:r>
    </w:p>
    <w:p>
      <w:r>
        <w:rPr>
          <w:b w:val="0"/>
        </w:rPr>
        <w:t>- Recall: 98.2%</w:t>
      </w:r>
    </w:p>
    <w:p>
      <w:r>
        <w:rPr>
          <w:b w:val="0"/>
        </w:rPr>
        <w:t>- F1-Score: 98.0%</w:t>
      </w:r>
    </w:p>
    <w:p>
      <w:r>
        <w:rPr>
          <w:b w:val="0"/>
        </w:rPr>
        <w:br/>
        <w:t>This journey from raw data to a fully explainable, full-stack medical AI application demonstrates our ability to tackle complex deep learning challenges and engineer robust, user-friendly software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