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DRUG STUDY</w:t>
      </w:r>
    </w:p>
    <w:p>
      <w:pPr>
        <w:spacing w:after="80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Not verified against live sources. Doses omitted. References are source names only (no edition or page numbers verified); replace with your textbook's exact citation. UNKNOWN items need checking in the AMH.</w:t>
      </w:r>
    </w:p>
    <w:p>
      <w:pPr>
        <w:pStyle w:val="Heading1"/>
        <w:spacing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ANALGESICS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000"/>
        <w:gridCol w:w="1150"/>
        <w:gridCol w:w="1600"/>
        <w:gridCol w:w="1150"/>
        <w:gridCol w:w="1250"/>
        <w:gridCol w:w="1700"/>
        <w:gridCol w:w="1150"/>
        <w:gridCol w:w="1700"/>
        <w:gridCol w:w="1450"/>
        <w:gridCol w:w="1300"/>
        <w:gridCol w:w="1438"/>
      </w:tblGrid>
      <w:tr>
        <w:trPr>
          <w:tblHeader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Generic name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Brand name (AU)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Classification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Mechanism of action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References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Indications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Contraindications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Side effects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Adverse effects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Nursing: BEFORE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Nursing: DURING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Nursing: AFTER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Paracetamol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Panadol, Panadol Osteo, Panadol Rapid; IV: Perfalgan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Non-opioid analgesic and antipyretic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Inhibits prostaglandin synthesis in the CNS (central COX inhibition) and acts on the hypothalamic heat-regulating centre. Little peripheral anti-inflammatory action. Exact mechanism not fully understood.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Panadol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Mild to moderate pain; fever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Hypersensitivity; severe hepatic impairment or active liver disease. Caution: chronic alcohol use, malnutrition, low body weight, renal impairment.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Rare at therapeutic doses: nausea, rash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Hepatotoxicity or acute liver failure in overdose (antidote: acetylcysteine); hypersensitivity or anaphylaxis; rare SJS/TEN; hypotension with IV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allergies, liver history and alcohol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total paracetamol from all sources, including combination and cold and flu products.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Baseline pain score and temperature.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time of last dose.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Give at the prescribed interval, with or without food.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IV: give by infusion over the stated time; check line and patient weight.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pain and temperature in 30 to 60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Document.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Teach the daily maximum and to report jaundice, dark urine or abdominal pain.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Ibuprofen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Nurofen, Advil, Brufen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NSAID (propionic acid derivative); non-opioid analgesic, antipyretic, anti-inflammatory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Reversibly inhibits COX-1 and COX-2, reducing prostaglandin synthesis. Gives analgesia, antipyresis and anti-inflammatory effect. Also reduces platelet aggregation, gastric mucosal protection and renal blood flow.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Nurofen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Mild to moderate pain; fever; dysmenorrhoea; musculoskeletal and arthritic inflammation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Active peptic ulcer or GI bleed; hypersensitivity to aspirin or NSAIDs (including NSAID-sensitive asthma); severe renal, hepatic or heart failure; third trimester of pregnancy; peri-CABG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Dyspepsia, nausea, heartburn, headache, dizziness, fluid retention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 bleeding or perforation; acute kidney injury; hypertension; MI and stroke; bronchospasm; hyperkalaemia; hepatotoxicity; SJS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aspirin and NSAID allergy, GI bleed or ulcer history, renal function, hydration, BP, pregnancy.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ACE inhibitors or ARBs plus diuretics ("triple whammy" kidney risk), anticoagulants, SSRIs, corticosteroids.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Give with food or milk.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Use the lowest effective dose for the shortest time.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pain.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for black stools, haematemesis, reduced urine output, oedema, raised BP.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Teach the patient to stop and report bleeding signs.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Morphine (Schedule 8)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MS Contin, Kapanol (modified release); Sevredol (immediate release); Ordine (oral solution); morphine sulfate injection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Opioid agonist analgesic; controlled drug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Binds mu-opioid receptors in the brain and spinal cord, altering pain perception and response and inhibiting ascending pain pathways. Also slows GI motility and depresses respiration and the cough reflex.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MS Contin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Moderate to severe acute pain; cancer and palliative pain; MI pain; palliative dyspnoea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Significant respiratory depression; acute or severe asthma; paralytic ileus; raised ICP or head injury; MAOI use within 14 days; hypersensitivity. Caution: renal impairment (active metabolites accumulate), elderly, COPD.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Constipation, nausea and vomiting, sedation, dizziness, itch, urinary retention, sweating, miosis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Respiratory depression (reverse with naloxone); hypotension; tolerance, dependence and withdrawal; opioid-induced hyperalgesia; biliary spasm; seizures at toxic levels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Independent two-nurse S8 check per policy; allergies; 5 rights.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Baseline pain score, RR, SpO2, BP, HR, sedation score.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Confirm naloxone order and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other CNS depressants and renal function.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Do not crush modified-release forms.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Give IV slowly.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RR, sedation and BP.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Hold and escalate per local policy if RR or sedation criteria are breached.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pain and sedation at the time set by policy.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Start a bowel regimen.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Falls precautions.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Record in the drug register; witnessed wastage.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Teach about drowsiness, no alcohol, no driving.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Oxycodone (Schedule 8)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OxyNorm, Endone (immediate release); OxyContin (modified release); Targin (with naloxone)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Opioid agonist analgesic; controlled drug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Mu-opioid receptor agonist in the CNS, altering pain perception and response. Same class effects on respiration and the gut as morphine.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OxyNorm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Moderate to severe pain not controlled by non-opioids; cancer pain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Significant respiratory depression; acute or severe asthma; paralytic ileus; raised ICP; hypersensitivity; MAOI use. Targin: also moderate to severe hepatic impairment.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Constipation, nausea, drowsiness, dizziness, itch, dry mouth, sweating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Respiratory depression; hypotension; dependence and withdrawal; misuse and diversion potential; raised levels with CYP3A4 inhibitors (e.g. clarithromycin, azole antifungals)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S8 checks; allergies; confirm product (immediate vs modified release).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Baseline pain, RR, sedation, BP.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CYP3A4 inhibitors and other sedatives.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Assess liver function.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Modified release: swallow whole, never crush or chew.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RR and sedation.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pain and sedation.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Give laxatives.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Document in the register.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Teach safe storage, no driving, and not to stop abruptly if on long-term therapy.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Tramadol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Tramal, Zydol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Centrally acting synthetic (atypical) opioid analgesic. UNKNOWN: believed Schedule 4 in Australia; check current scheduling in the AMH.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Weak mu-opioid agonist, mainly via its active metabolite (O-desmethyltramadol, formed by CYP2D6). Also inhibits reuptake of serotonin and noradrenaline.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Tramal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Moderate to severe pain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Hypersensitivity; acute intoxication with alcohol, opioids or sedatives; MAOI use within 14 days; uncontrolled epilepsy; severe respiratory depression; children under 12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Nausea, dizziness, drowsiness, constipation, headache, dry mouth, sweating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Seizures (higher risk with seizure history or other seizure-lowering drugs); serotonin syndrome (with SSRIs, SNRIs, TCAs, MAOIs); respiratory depression; hyponatraemia; hypoglycaemia; dependence and withdrawal; unpredictable response in CYP2D6 ultrarapid or poor metabolisers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seizure history.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List serotonergic drugs and MAOIs.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renal and hepatic function, alcohol use, 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Baseline pain, RR, sedation.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Give IV slowly (rapid injection increases nausea and dizziness).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sedation and RR.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pain.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Watch for serotonin syndrome (agitation, tremor, clonus, sweating, hyperthermia, tachycardia) and seizures.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Falls precautions.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Teach about drowsiness, no alcohol, no driving.</w:t>
            </w:r>
          </w:p>
        </w:tc>
      </w:tr>
    </w:tbl>
    <w:p>
      <w:pPr>
        <w:pStyle w:val="Heading1"/>
        <w:pageBreakBefore/>
        <w:spacing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ANTICHOLINERGICS</w:t>
      </w:r>
    </w:p>
    <w:p>
      <w:pPr>
        <w:spacing w:after="80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Class MOA: competitive antagonists of acetylcholine at muscarinic receptors.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000"/>
        <w:gridCol w:w="1150"/>
        <w:gridCol w:w="1600"/>
        <w:gridCol w:w="1150"/>
        <w:gridCol w:w="1250"/>
        <w:gridCol w:w="1700"/>
        <w:gridCol w:w="1150"/>
        <w:gridCol w:w="1700"/>
        <w:gridCol w:w="1450"/>
        <w:gridCol w:w="1300"/>
        <w:gridCol w:w="1438"/>
      </w:tblGrid>
      <w:tr>
        <w:trPr>
          <w:tblHeader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Generic name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Brand name (AU)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Classification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Mechanism of action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References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Indications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Contraindications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Side effects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Adverse effects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Nursing: BEFORE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Nursing: DURING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Nursing: AFTER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Atropine sulfate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Atropine sulfate injection (various suppliers); ophthalmic atropine drops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Antimuscarinic (belladonna alkaloid); antivagal; antidote for organophosphate poisoning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Blocks muscarinic receptors: blocks vagal tone at the SA and AV nodes (heart rate rises), reduces secretions, relaxes bronchial and GI smooth muscle, dilates the pupil (mydriasis and cycloplegia).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Atropine sulfate injection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Symptomatic bradycardia; reduce secretions pre-operatively; organophosphate or anticholinesterase poisoning; reversal of muscarinic effects of neostigmine; mydriasis and cycloplegia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Narrow-angle glaucoma; paralytic ileus or GI obstruction; urinary retention or obstructive uropathy; myasthenia gravis; toxic megacolon. In life-threatening bradycardia or poisoning these become relative.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Dry mouth, blurred vision, photophobia, tachycardia, flushing, dry skin, constipation, urinary hesitancy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Tachyarrhythmias; delirium or hallucinations; hyperthermia; paralytic ileus; acute angle-closure glaucoma; paradoxical bradycardia with low doses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HR, rhythm, BP, IV access, glaucoma history, urine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Have continuous ECG monitoring in place for emergencies.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Give as a rapid IV push per protocol.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HR, rhythm and BP continuously.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HR, urine output, bowel sounds, temperature, mental status.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Mouth care and falls precautions.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Keep the patient cool.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Eye drops: sunglasses for photophobia.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Hyoscine butylbromide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Buscopan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Antispasmodic; quaternary ammonium antimuscarinic (does not cross the blood-brain barrier well)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Blocks muscarinic receptors on GI, biliary and urinary smooth muscle, relieving spasm. Also reduces secretions.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Buscopan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Abdominal cramps and spasm; IBS; biliary and renal colic; dysmenorrhoea; palliative care (bowel obstruction, respiratory secretions)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Untreated narrow-angle glaucoma; mechanical GI stenosis; paralytic ileus; megacolon; tachycardia; urinary retention (e.g. BPH); myasthenia gravis; hypersensitivity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Dry mouth, constipation, blurred vision, urinary hesitancy, flushing, tachycardia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Anaphylaxis; tachyarrhythmia; acute angle-closure glaucoma; urinary retention. May mask an acute abdomen.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Assess pain (site, character, severity); exclude acute abdomen or obstruction.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vitals, glaucoma and prostate history, allergies.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Give IV slowly.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HR and for allergic reaction.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pain, HR, bladder and bowel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Teach the patient to report eye pain, inability to void or worsening pain.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Mouth care; caution with driving if vision is blurred.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Ipratropium bromide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Atrovent, Ipratrin (nebules), Duolin (with salbutamol)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Short-acting muscarinic antagonist (SAMA); inhaled bronchodilator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Blocks muscarinic M3 receptors on airway smooth muscle, preventing vagally mediated bronchoconstriction: airways dilate and mucus secretion falls.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Atrovent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COPD maintenance; adjunct in acute asthma with a short-acting beta-agonist; rhinorrhoea (nasal spray)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Hypersensitivity to ipratropium, atropine or derivatives. Caution: narrow-angle glaucoma, BPH, bladder neck obstruction.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Dry mouth, cough, throat irritation, headache, bitter taste, nausea, dizziness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Paradoxical bronchospasm; anaphylaxis or angioedema; acute angle-closure glaucoma (nebuliser mist in the eyes); tachycardia; urinary retention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Respiratory assessment: RR, SpO2, work of breathing, breath sounds, peak flow if applicable.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allergies and glaucoma or prostate history.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inhaler or nebuliser technique.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Use a spacer if prescribed.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Nebuliser: use a mouthpiece or well-fitted mask so the drug stays out of the eyes.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SpO2 and RR.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breath sounds and work of breathing.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Rinse mouth and offer a drink for dry mouth.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for paradoxical bronchospasm.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Clean the device.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Teach correct technique; it is not interchangeable with salbutamol.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Oxybutynin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Ditropan; generic oxybutynin tablets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Antimuscarinic urinary antispasmodic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Competitively blocks muscarinic (mainly M3) receptors on the detrusor muscle, reducing involuntary bladder contractions and increasing bladder capacity. Also a direct antispasmodic effect.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Ditropan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Overactive bladder (urgency, frequency, urge incontinence); neurogenic bladder; nocturnal enuresis in children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Uncontrolled narrow-angle glaucoma; urinary retention; gastric retention; GI obstruction; paralytic ileus; toxic megacolon; severe ulcerative colitis; myasthenia gravis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Dry mouth, constipation, blurred vision, drowsiness, dizziness, decreased sweating, urinary hesitancy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Urinary retention; heat prostration or hyperthermia; confusion, delirium and cognitive impairment (especially in the elderly); angioedema; tachycardia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Baseline bladder diary, voiding pattern and post-void residual if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glaucoma, bowel function, cognitive status, 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other anticholinergic drugs.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Give with water.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Do not crush modified-release forms.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urine output and retention, bowels, mental status, temperature.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urgency and incontinence episodes.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Mouth care, fluids and fibre.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Teach heat avoidance and to report inability to void.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Benztropine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Cogentin (injection). UNKNOWN: oral brand availability in Australia; check the AMH.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Centrally acting anticholinergic; antiparkinsonian agent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Blocks central muscarinic receptors in the striatum, restoring the balance between dopamine and acetylcholine and reducing tremor, rigidity and drug-induced dystonia.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Cogentin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Parkinsonism; drug-induced extrapyramidal symptoms (e.g. from antipsychotics); acute dystonic reactions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Narrow-angle glaucoma; GI obstruction; urinary retention; tardive dyskinesia (can worsen); myasthenia gravis; young children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Dry mouth, blurred vision, constipation, urinary retention, tachycardia, drowsiness, dizziness, nausea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Confusion, hallucinations and delirium (especially in the elderly); hyperthermia and heat stroke; paralytic ileus; tachyarrhythmia; worsened tardive dyskinesia; misuse potential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Baseline neurological and extrapyramidal assessment (tremor, rigidity, dystonia).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mental status, glaucoma, bladder and bowel function, current antipsychotics.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Give IM or IV for acute dystonia, with observation.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HR, BP and mental status.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symptoms (dystonia usually improves within minutes after IM or IV).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for anticholinergic toxicity, temperature, bowel and bladder function, falls risk.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Do not stop abruptly in long-term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Mouth care and hydration.</w:t>
            </w:r>
          </w:p>
        </w:tc>
      </w:tr>
    </w:tbl>
    <w:p>
      <w:pPr>
        <w:pStyle w:val="Heading1"/>
        <w:pageBreakBefore/>
        <w:spacing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PROTON PUMP INHIBITORS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000"/>
        <w:gridCol w:w="1150"/>
        <w:gridCol w:w="1600"/>
        <w:gridCol w:w="1150"/>
        <w:gridCol w:w="1250"/>
        <w:gridCol w:w="1700"/>
        <w:gridCol w:w="1150"/>
        <w:gridCol w:w="1700"/>
        <w:gridCol w:w="1450"/>
        <w:gridCol w:w="1300"/>
        <w:gridCol w:w="1438"/>
      </w:tblGrid>
      <w:tr>
        <w:trPr>
          <w:tblHeader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Generic name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Brand name (AU)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Classification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Mechanism of action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References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Indications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Contraindications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Side effects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Adverse effects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Nursing: BEFORE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Nursing: DURING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Nursing: AFTER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Omeprazole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Losec, Losec MUPS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Proton pump inhibitor (substituted benzimidazole); gastric acid suppressant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Irreversibly inhibits the H+/K+ ATPase (proton pump) in gastric parietal cells, blocking the final step of acid secretion and reducing basal and stimulated acid.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Losec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GORD and reflux oesophagitis; peptic (duodenal and gastric) ulcer; H. pylori eradication (with antibiotics); prevention and treatment of NSAID-related ulcers; Zollinger-Ellison syndrome. IV forms used for bleeding ulcers.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Hypersensitivity to the drug or other benzimidazoles. Some PPIs are contraindicated with rilpivirine and nelfinavir. Caution: hepatic impairment, osteoporosis, long-term use.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Headache, diarrhoea or constipation, nausea, abdominal pain, flatulence, dizziness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C. difficile infection; pneumonia; hypomagnesaemia; vitamin B12 deficiency; fractures with long-term use; interstitial nephritis; rebound acid hypersecretion on stopping; rarely cutaneous lupus; may mask gastric cancer symptoms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allergies; confirm the indication.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Assess GI symptoms and screen for red flags (dysphagia, unintentional weight loss, melaena, vomiting blood, persistent vomiting), which need medical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interacting drugs (clopidogrel with omeprazole or esomeprazole, methotrexate, warfarin, HIV antivirals).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magnesium in long-term use.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Give 30 to 60 minutes before a meal, usually before breakfast.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Delayed-release forms: swallow whole, do not crush or chew unless the product allows dispersal.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IV forms: give per the product label; flush the line.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symptom relief.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for diarrhoea (C. difficile) and signs of GI bleeding; in long-term therapy monitor magnesium, B12 and bone health.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Teach lifestyle measures (smaller meals, avoid late meals, trigger foods, alcohol and smoking; elevate head of bed) and to complete the full H. pylori antibiotic course.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whether ongoing use is still needed.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Esomeprazole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Nexium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Proton pump inhibitor (substituted benzimidazole); gastric acid suppressant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Irreversibly inhibits the H+/K+ ATPase (proton pump) in gastric parietal cells, blocking the final step of acid secretion and reducing basal and stimulated acid.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Nexium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GORD and reflux oesophagitis; peptic (duodenal and gastric) ulcer; H. pylori eradication (with antibiotics); prevention and treatment of NSAID-related ulcers; Zollinger-Ellison syndrome. IV forms used for bleeding ulcers.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Hypersensitivity to the drug or other benzimidazoles. Some PPIs are contraindicated with rilpivirine and nelfinavir. Caution: hepatic impairment, osteoporosis, long-term use.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Headache, diarrhoea or constipation, nausea, abdominal pain, flatulence, dizziness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C. difficile infection; pneumonia; hypomagnesaemia; vitamin B12 deficiency; fractures with long-term use; interstitial nephritis; rebound acid hypersecretion on stopping; rarely cutaneous lupus; may mask gastric cancer symptoms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allergies; confirm the indication.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Assess GI symptoms and screen for red flags (dysphagia, unintentional weight loss, melaena, vomiting blood, persistent vomiting), which need medical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interacting drugs (clopidogrel with omeprazole or esomeprazole, methotrexate, warfarin, HIV antivirals).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magnesium in long-term use.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Give 30 to 60 minutes before a meal, usually before breakfast.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Delayed-release forms: swallow whole, do not crush or chew unless the product allows dispersal.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IV forms: give per the product label; flush the line.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symptom relief.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for diarrhoea (C. difficile) and signs of GI bleeding; in long-term therapy monitor magnesium, B12 and bone health.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Teach lifestyle measures (smaller meals, avoid late meals, trigger foods, alcohol and smoking; elevate head of bed) and to complete the full H. pylori antibiotic course.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whether ongoing use is still needed.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Pantoprazole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Somac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Proton pump inhibitor (substituted benzimidazole); gastric acid suppressant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Irreversibly inhibits the H+/K+ ATPase (proton pump) in gastric parietal cells, blocking the final step of acid secretion and reducing basal and stimulated acid.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Somac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GORD and reflux oesophagitis; peptic (duodenal and gastric) ulcer; H. pylori eradication (with antibiotics); prevention and treatment of NSAID-related ulcers; Zollinger-Ellison syndrome. IV forms used for bleeding ulcers.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Hypersensitivity to the drug or other benzimidazoles. Some PPIs are contraindicated with rilpivirine and nelfinavir. Caution: hepatic impairment, osteoporosis, long-term use.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Headache, diarrhoea or constipation, nausea, abdominal pain, flatulence, dizziness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C. difficile infection; pneumonia; hypomagnesaemia; vitamin B12 deficiency; fractures with long-term use; interstitial nephritis; rebound acid hypersecretion on stopping; rarely cutaneous lupus; may mask gastric cancer symptoms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allergies; confirm the indication.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Assess GI symptoms and screen for red flags (dysphagia, unintentional weight loss, melaena, vomiting blood, persistent vomiting), which need medical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interacting drugs (clopidogrel with omeprazole or esomeprazole, methotrexate, warfarin, HIV antivirals).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magnesium in long-term use.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Give 30 to 60 minutes before a meal, usually before breakfast.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Delayed-release forms: swallow whole, do not crush or chew unless the product allows dispersal.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IV forms: give per the product label; flush the line.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symptom relief.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for diarrhoea (C. difficile) and signs of GI bleeding; in long-term therapy monitor magnesium, B12 and bone health.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Teach lifestyle measures (smaller meals, avoid late meals, trigger foods, alcohol and smoking; elevate head of bed) and to complete the full H. pylori antibiotic course.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whether ongoing use is still needed.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Lansoprazole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Zoton, Zoton FasTab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Proton pump inhibitor (substituted benzimidazole); gastric acid suppressant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Irreversibly inhibits the H+/K+ ATPase (proton pump) in gastric parietal cells, blocking the final step of acid secretion and reducing basal and stimulated acid.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Zoton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GORD and reflux oesophagitis; peptic (duodenal and gastric) ulcer; H. pylori eradication (with antibiotics); prevention and treatment of NSAID-related ulcers; Zollinger-Ellison syndrome. IV forms used for bleeding ulcers.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Hypersensitivity to the drug or other benzimidazoles. Some PPIs are contraindicated with rilpivirine and nelfinavir. Caution: hepatic impairment, osteoporosis, long-term use.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Headache, diarrhoea or constipation, nausea, abdominal pain, flatulence, dizziness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C. difficile infection; pneumonia; hypomagnesaemia; vitamin B12 deficiency; fractures with long-term use; interstitial nephritis; rebound acid hypersecretion on stopping; rarely cutaneous lupus; may mask gastric cancer symptoms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allergies; confirm the indication.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Assess GI symptoms and screen for red flags (dysphagia, unintentional weight loss, melaena, vomiting blood, persistent vomiting), which need medical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interacting drugs (clopidogrel with omeprazole or esomeprazole, methotrexate, warfarin, HIV antivirals).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magnesium in long-term use.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Give 30 to 60 minutes before a meal, usually before breakfast.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Delayed-release forms: swallow whole, do not crush or chew unless the product allows dispersal.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IV forms: give per the product label; flush the line.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symptom relief.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for diarrhoea (C. difficile) and signs of GI bleeding; in long-term therapy monitor magnesium, B12 and bone health.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Teach lifestyle measures (smaller meals, avoid late meals, trigger foods, alcohol and smoking; elevate head of bed) and to complete the full H. pylori antibiotic course.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whether ongoing use is still needed.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Rabeprazole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Pariet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Proton pump inhibitor (substituted benzimidazole); gastric acid suppressant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Irreversibly inhibits the H+/K+ ATPase (proton pump) in gastric parietal cells, blocking the final step of acid secretion and reducing basal and stimulated acid.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Australian Medicines Handbook (current online ed.)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TGA Product Information / MIMS: Pariet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Tiziani, Havard's Nursing Guide to Drugs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GORD and reflux oesophagitis; peptic (duodenal and gastric) ulcer; H. pylori eradication (with antibiotics); prevention and treatment of NSAID-related ulcers; Zollinger-Ellison syndrome. IV forms used for bleeding ulcers.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Hypersensitivity to the drug or other benzimidazoles. Some PPIs are contraindicated with rilpivirine and nelfinavir. Caution: hepatic impairment, osteoporosis, long-term use.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Headache, diarrhoea or constipation, nausea, abdominal pain, flatulence, dizziness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C. difficile infection; pneumonia; hypomagnesaemia; vitamin B12 deficiency; fractures with long-term use; interstitial nephritis; rebound acid hypersecretion on stopping; rarely cutaneous lupus; may mask gastric cancer symptoms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allergies; confirm the indication.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Assess GI symptoms and screen for red flags (dysphagia, unintentional weight loss, melaena, vomiting blood, persistent vomiting), which need medical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interacting drugs (clopidogrel with omeprazole or esomeprazole, methotrexate, warfarin, HIV antivirals).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magnesium in long-term use.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Give 30 to 60 minutes before a meal, usually before breakfast.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Delayed-release forms: swallow whole, do not crush or chew unless the product allows dispersal.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IV forms: give per the product label; flush the line.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Reassess symptom relief.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Monitor for diarrhoea (C. difficile) and signs of GI bleeding; in long-term therapy monitor magnesium, B12 and bone health.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Teach lifestyle measures (smaller meals, avoid late meals, trigger foods, alcohol and smoking; elevate head of bed) and to complete the full H. pylori antibiotic course.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whether ongoing use is still needed.</w:t>
            </w:r>
          </w:p>
        </w:tc>
      </w:tr>
    </w:tbl>
    <w:p>
      <w:pPr>
        <w:pStyle w:val="Heading1"/>
        <w:pageBreakBefore/>
        <w:spacing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PPI DRUG-SPECIFIC NOTES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Omeprazole: </w:t>
      </w:r>
      <w:r>
        <w:rPr>
          <w:rFonts w:ascii="Arial" w:cs="Arial" w:eastAsia="Arial" w:hAnsi="Arial"/>
          <w:sz w:val="15"/>
          <w:szCs w:val="15"/>
        </w:rPr>
        <w:t xml:space="preserve">Inhibits CYP2C19, which can reduce clopidogrel activation. MUPS tablets can be dispersed in water; capsules and tablets are swallowed whole.</w:t>
      </w:r>
    </w:p>
    <w:p>
      <w:pPr>
        <w:spacing w:after="6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Esomeprazole: </w:t>
      </w:r>
      <w:r>
        <w:rPr>
          <w:rFonts w:ascii="Arial" w:cs="Arial" w:eastAsia="Arial" w:hAnsi="Arial"/>
          <w:sz w:val="15"/>
          <w:szCs w:val="15"/>
        </w:rPr>
        <w:t xml:space="preserve">S-isomer of omeprazole. Oral and IV forms. Same clopidogrel concern. IV is used for patients who cannot take oral or after endoscopic treatment of a bleeding ulcer.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Pantoprazole: </w:t>
      </w:r>
      <w:r>
        <w:rPr>
          <w:rFonts w:ascii="Arial" w:cs="Arial" w:eastAsia="Arial" w:hAnsi="Arial"/>
          <w:sz w:val="15"/>
          <w:szCs w:val="15"/>
        </w:rPr>
        <w:t xml:space="preserve">Fewer CYP interactions. Delayed-release tablets swallowed whole. IV form available (typically given over about 15 minutes; check the label).</w:t>
      </w:r>
    </w:p>
    <w:p>
      <w:pPr>
        <w:spacing w:after="6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Lansoprazole: </w:t>
      </w:r>
      <w:r>
        <w:rPr>
          <w:rFonts w:ascii="Arial" w:cs="Arial" w:eastAsia="Arial" w:hAnsi="Arial"/>
          <w:sz w:val="15"/>
          <w:szCs w:val="15"/>
        </w:rPr>
        <w:t xml:space="preserve">FasTab dissolves on the tongue. Capsules swallowed whole or opened per product guidance.</w:t>
      </w:r>
    </w:p>
    <w:p>
      <w:pPr>
        <w:spacing w:after="6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Rabeprazole: </w:t>
      </w:r>
      <w:r>
        <w:rPr>
          <w:rFonts w:ascii="Arial" w:cs="Arial" w:eastAsia="Arial" w:hAnsi="Arial"/>
          <w:sz w:val="15"/>
          <w:szCs w:val="15"/>
        </w:rPr>
        <w:t xml:space="preserve">Delayed-release tablets swallowed whole. Timing with food varies by indication; check the label.</w:t>
      </w:r>
    </w:p>
    <w:sectPr>
      <w:footerReference w:type="default" r:id="rId7"/>
      <w:pgSz w:w="16838" w:h="11906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2"/>
        <w:szCs w:val="12"/>
      </w:rPr>
      <w:t xml:space="preserve">Drug Study - page </w:t>
    </w:r>
    <w:r>
      <w:rPr>
        <w:rFonts w:ascii="Arial" w:cs="Arial" w:eastAsia="Arial" w:hAnsi="Arial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50" w:hanging="1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2026-10-04T03:51:19.204Z</dcterms:created>
  <dcterms:modified xsi:type="dcterms:W3CDTF">2026-10-04T03:51:19.204Z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