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DRUG STUDY</w:t>
      </w:r>
    </w:p>
    <w:p>
      <w:pPr>
        <w:spacing w:after="200"/>
      </w:pPr>
      <w:r>
        <w:rPr>
          <w:rFonts w:ascii="Arial" w:cs="Arial" w:eastAsia="Arial" w:hAnsi="Arial"/>
          <w:sz w:val="24"/>
          <w:szCs w:val="24"/>
        </w:rPr>
        <w:t xml:space="preserve">Analgesics, Anticholinergics and Proton Pump Inhibitors (5 drugs each)</w:t>
      </w:r>
    </w:p>
    <w:p>
      <w:pPr>
        <w:spacing w:after="100"/>
      </w:pPr>
      <w:r>
        <w:rPr>
          <w:rFonts w:ascii="Arial" w:cs="Arial" w:eastAsia="Arial" w:hAnsi="Arial"/>
          <w:i/>
          <w:iCs/>
          <w:sz w:val="18"/>
          <w:szCs w:val="18"/>
        </w:rPr>
        <w:t xml:space="preserve">Verification note: this content was written from general pharmacology knowledge and was not checked against live sources. Doses are deliberately omitted. Brand availability and drug scheduling change, so confirm them in the AMH or MIMS before submitting. Check edition and page numbers against your own textbook before citing. Items marked UNKNOWN need checking.</w:t>
      </w:r>
    </w:p>
    <w:p>
      <w:pPr>
        <w:pStyle w:val="Heading2"/>
        <w:spacing w:after="100" w:before="240"/>
      </w:pPr>
      <w:r>
        <w:rPr>
          <w:rFonts w:ascii="Arial" w:cs="Arial" w:eastAsia="Arial" w:hAnsi="Arial"/>
          <w:b/>
          <w:bCs/>
          <w:color w:val="1F4E79"/>
          <w:sz w:val="22"/>
          <w:szCs w:val="22"/>
        </w:rPr>
        <w:t xml:space="preserve">Contents</w:t>
      </w:r>
    </w:p>
    <w:p>
      <w:pPr>
        <w:pStyle w:val="ListParagraph"/>
        <w:numPr>
          <w:ilvl w:val="0"/>
          <w:numId w:val="2"/>
        </w:numPr>
        <w:spacing w:after="60"/>
      </w:pPr>
      <w:r>
        <w:rPr>
          <w:rFonts w:ascii="Arial" w:cs="Arial" w:eastAsia="Arial" w:hAnsi="Arial"/>
          <w:sz w:val="18"/>
          <w:szCs w:val="18"/>
        </w:rPr>
        <w:t xml:space="preserve">1. Analgesics: paracetamol, ibuprofen, morphine, oxycodone, tramadol</w:t>
      </w:r>
    </w:p>
    <w:p>
      <w:pPr>
        <w:pStyle w:val="ListParagraph"/>
        <w:numPr>
          <w:ilvl w:val="0"/>
          <w:numId w:val="2"/>
        </w:numPr>
        <w:spacing w:after="60"/>
      </w:pPr>
      <w:r>
        <w:rPr>
          <w:rFonts w:ascii="Arial" w:cs="Arial" w:eastAsia="Arial" w:hAnsi="Arial"/>
          <w:sz w:val="18"/>
          <w:szCs w:val="18"/>
        </w:rPr>
        <w:t xml:space="preserve">2. Anticholinergics: atropine, hyoscine butylbromide, ipratropium, oxybutynin, benztropine</w:t>
      </w:r>
    </w:p>
    <w:p>
      <w:pPr>
        <w:pStyle w:val="ListParagraph"/>
        <w:numPr>
          <w:ilvl w:val="0"/>
          <w:numId w:val="2"/>
        </w:numPr>
        <w:spacing w:after="60"/>
      </w:pPr>
      <w:r>
        <w:rPr>
          <w:rFonts w:ascii="Arial" w:cs="Arial" w:eastAsia="Arial" w:hAnsi="Arial"/>
          <w:sz w:val="18"/>
          <w:szCs w:val="18"/>
        </w:rPr>
        <w:t xml:space="preserve">3. Proton pump inhibitors: omeprazole, esomeprazole, pantoprazole, lansoprazole, rabeprazole</w:t>
      </w:r>
    </w:p>
    <w:p>
      <w:pPr>
        <w:pStyle w:val="ListParagraph"/>
        <w:numPr>
          <w:ilvl w:val="0"/>
          <w:numId w:val="2"/>
        </w:numPr>
        <w:spacing w:after="60"/>
      </w:pPr>
      <w:r>
        <w:rPr>
          <w:rFonts w:ascii="Arial" w:cs="Arial" w:eastAsia="Arial" w:hAnsi="Arial"/>
          <w:sz w:val="18"/>
          <w:szCs w:val="18"/>
        </w:rPr>
        <w:t xml:space="preserve">References</w:t>
      </w:r>
    </w:p>
    <w:p>
      <w:pPr>
        <w:pStyle w:val="Heading1"/>
        <w:pageBreakBefore/>
        <w:spacing w:after="120" w:before="0"/>
      </w:pPr>
      <w:r>
        <w:rPr>
          <w:rFonts w:ascii="Arial" w:cs="Arial" w:eastAsia="Arial" w:hAnsi="Arial"/>
          <w:b/>
          <w:bCs/>
          <w:color w:val="1F4E79"/>
          <w:sz w:val="30"/>
          <w:szCs w:val="30"/>
        </w:rPr>
        <w:t xml:space="preserve">1. ANALGESICS</w:t>
      </w:r>
    </w:p>
    <w:p>
      <w:pPr>
        <w:pStyle w:val="Heading2"/>
        <w:spacing w:after="100" w:before="240"/>
      </w:pPr>
      <w:r>
        <w:rPr>
          <w:rFonts w:ascii="Arial" w:cs="Arial" w:eastAsia="Arial" w:hAnsi="Arial"/>
          <w:b/>
          <w:bCs/>
          <w:color w:val="1F4E79"/>
          <w:sz w:val="22"/>
          <w:szCs w:val="22"/>
        </w:rPr>
        <w:t xml:space="preserve">Drug profile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500"/>
        <w:gridCol w:w="2400"/>
        <w:gridCol w:w="1800"/>
        <w:gridCol w:w="2400"/>
        <w:gridCol w:w="1700"/>
        <w:gridCol w:w="3298"/>
      </w:tblGrid>
      <w:tr>
        <w:trPr>
          <w:tblHeader/>
        </w:trPr>
        <w:tc>
          <w:tcPr>
            <w:tcW w:type="dxa" w:w="12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Generic name</w:t>
            </w:r>
          </w:p>
        </w:tc>
        <w:tc>
          <w:tcPr>
            <w:tcW w:type="dxa" w:w="11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Brand name (AU)</w:t>
            </w:r>
          </w:p>
        </w:tc>
        <w:tc>
          <w:tcPr>
            <w:tcW w:type="dxa" w:w="15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Classification</w:t>
            </w:r>
          </w:p>
        </w:tc>
        <w:tc>
          <w:tcPr>
            <w:tcW w:type="dxa" w:w="2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Mechanism of action</w:t>
            </w:r>
          </w:p>
        </w:tc>
        <w:tc>
          <w:tcPr>
            <w:tcW w:type="dxa" w:w="18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Indications</w:t>
            </w:r>
          </w:p>
        </w:tc>
        <w:tc>
          <w:tcPr>
            <w:tcW w:type="dxa" w:w="2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Contraindications</w:t>
            </w:r>
          </w:p>
        </w:tc>
        <w:tc>
          <w:tcPr>
            <w:tcW w:type="dxa" w:w="1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Side effects</w:t>
            </w:r>
          </w:p>
        </w:tc>
        <w:tc>
          <w:tcPr>
            <w:tcW w:type="dxa" w:w="329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Adverse effects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Paracetamol</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Panadol, Panadol Osteo, Panadol Rapid; IV: Perfalgan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Non-opioid analgesic and antipyretic</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Inhibits prostaglandin synthesis in the CNS (central COX inhibition) and acts on the hypothalamic heat-regulating centre. Little peripheral anti-inflammatory action. Exact mechanism not fully understood.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Mild to moderate pain; fever</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Hypersensitivity; severe hepatic impairment or active liver disease. Caution: chronic alcohol use, malnutrition, low body weight, renal impairment.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Rare at therapeutic doses: nausea, rash</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Hepatotoxicity or acute liver failure in overdose (antidote: acetylcysteine); hypersensitivity or anaphylaxis; rare SJS/TEN; hypotension with IV</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Ibuprofen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Nurofen, Advil, Brufen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NSAID (propionic acid derivative); non-opioid analgesic, antipyretic, anti-inflammatory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Reversibly inhibits COX-1 and COX-2, reducing prostaglandin synthesis. Gives analgesia, antipyresis and anti-inflammatory effect. Also reduces platelet aggregation, gastric mucosal protection and renal blood flow.</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Mild to moderate pain; fever; dysmenorrhoea; musculoskeletal and arthritic inflammation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Active peptic ulcer or GI bleed; hypersensitivity to aspirin or NSAIDs (including NSAID-sensitive asthma); severe renal, hepatic or heart failure; third trimester of pregnancy; peri-CABG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Dyspepsia, nausea, heartburn, headache, dizziness, fluid retention</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 bleeding or perforation; acute kidney injury; hypertension; MI and stroke; bronchospasm; hyperkalaemia; hepatotoxicity; SJS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Morphine (Schedule 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MS Contin, Kapanol (modified release); Sevredol (immediate release); Ordine (oral solution); morphine sulfate injection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Opioid agonist analgesic; controlled drug</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Binds mu-opioid receptors in the brain and spinal cord, altering pain perception and response and inhibiting ascending pain pathways. Also slows GI motility and depresses respiration and the cough reflex.</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Moderate to severe acute pain; cancer and palliative pain; MI pain; palliative dyspnoea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Significant respiratory depression; acute or severe asthma; paralytic ileus; raised ICP or head injury; MAOI use within 14 days; hypersensitivity. Caution: renal impairment (active metabolites accumulate), elderly, COPD.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Constipation, nausea and vomiting, sedation, dizziness, itch, urinary retention, sweating, miosis</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Respiratory depression (reverse with naloxone); hypotension; tolerance, dependence and withdrawal; opioid-induced hyperalgesia; biliary spasm; seizures at toxic levels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Oxycodone (Schedule 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OxyNorm, Endone (immediate release); OxyContin (modified release); Targin (with naloxone)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Opioid agonist analgesic; controlled drug</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Mu-opioid receptor agonist in the CNS, altering pain perception and response. Same class effects on respiration and the gut as morphine.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Moderate to severe pain not controlled by non-opioids; cancer pain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Significant respiratory depression; acute or severe asthma; paralytic ileus; raised ICP; hypersensitivity; MAOI use. Targin: also moderate to severe hepatic impairment.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Constipation, nausea, drowsiness, dizziness, itch, dry mouth, sweating</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Respiratory depression; hypotension; dependence and withdrawal; misuse and diversion potential; raised levels with CYP3A4 inhibitors (e.g. clarithromycin, azole antifungals)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Tramadol</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Tramal, Zydol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Centrally acting synthetic (atypical) opioid analgesic. UNKNOWN: believed Schedule 4 in Australia; check current scheduling in the AMH.</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Weak mu-opioid agonist, mainly via its active metabolite (O-desmethyltramadol, formed by CYP2D6). Also inhibits reuptake of serotonin and noradrenaline.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Moderate to severe pain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Hypersensitivity; acute intoxication with alcohol, opioids or sedatives; MAOI use within 14 days; uncontrolled epilepsy; severe respiratory depression; children under 12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Nausea, dizziness, drowsiness, constipation, headache, dry mouth, sweating</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Seizures (higher risk with seizure history or other seizure-lowering drugs); serotonin syndrome (with SSRIs, SNRIs, TCAs, MAOIs); respiratory depression; hyponatraemia; hypoglycaemia; dependence and withdrawal; unpredictable response in CYP2D6 ultrarapid or poor metabolisers</w:t>
            </w:r>
          </w:p>
        </w:tc>
      </w:tr>
    </w:tbl>
    <w:p>
      <w:pPr>
        <w:pStyle w:val="Heading2"/>
        <w:spacing w:after="100" w:before="240"/>
      </w:pPr>
      <w:r>
        <w:rPr>
          <w:rFonts w:ascii="Arial" w:cs="Arial" w:eastAsia="Arial" w:hAnsi="Arial"/>
          <w:b/>
          <w:bCs/>
          <w:color w:val="1F4E79"/>
          <w:sz w:val="22"/>
          <w:szCs w:val="22"/>
        </w:rPr>
        <w:t xml:space="preserve">Nursing responsibilities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4300"/>
        <w:gridCol w:w="5098"/>
      </w:tblGrid>
      <w:tr>
        <w:trPr>
          <w:tblHeader/>
        </w:trPr>
        <w:tc>
          <w:tcPr>
            <w:tcW w:type="dxa" w:w="13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Generic name</w:t>
            </w:r>
          </w:p>
        </w:tc>
        <w:tc>
          <w:tcPr>
            <w:tcW w:type="dxa" w:w="4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Nursing responsibilities: BEFORE</w:t>
            </w:r>
          </w:p>
        </w:tc>
        <w:tc>
          <w:tcPr>
            <w:tcW w:type="dxa" w:w="43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DURING</w:t>
            </w:r>
          </w:p>
        </w:tc>
        <w:tc>
          <w:tcPr>
            <w:tcW w:type="dxa" w:w="509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AFTER</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Paracetamol</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Check allergies, liver history and alcohol use.</w:t>
            </w:r>
          </w:p>
          <w:p>
            <w:pPr>
              <w:spacing w:after="40"/>
            </w:pPr>
            <w:r>
              <w:rPr>
                <w:rFonts w:ascii="Arial" w:cs="Arial" w:eastAsia="Arial" w:hAnsi="Arial"/>
                <w:b w:val="false"/>
                <w:bCs w:val="false"/>
                <w:sz w:val="16"/>
                <w:szCs w:val="16"/>
              </w:rPr>
              <w:t xml:space="preserve">Check total paracetamol from all sources, including combination and cold and flu products.</w:t>
            </w:r>
          </w:p>
          <w:p>
            <w:pPr>
              <w:spacing w:after="40"/>
            </w:pPr>
            <w:r>
              <w:rPr>
                <w:rFonts w:ascii="Arial" w:cs="Arial" w:eastAsia="Arial" w:hAnsi="Arial"/>
                <w:b w:val="false"/>
                <w:bCs w:val="false"/>
                <w:sz w:val="16"/>
                <w:szCs w:val="16"/>
              </w:rPr>
              <w:t xml:space="preserve">Baseline pain score and temperature.</w:t>
            </w:r>
          </w:p>
          <w:p>
            <w:pPr>
              <w:spacing w:after="40"/>
            </w:pPr>
            <w:r>
              <w:rPr>
                <w:rFonts w:ascii="Arial" w:cs="Arial" w:eastAsia="Arial" w:hAnsi="Arial"/>
                <w:b w:val="false"/>
                <w:bCs w:val="false"/>
                <w:sz w:val="16"/>
                <w:szCs w:val="16"/>
              </w:rPr>
              <w:t xml:space="preserve">Check time of last dose.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at the prescribed interval, with or without food.</w:t>
            </w:r>
          </w:p>
          <w:p>
            <w:pPr>
              <w:spacing w:after="40"/>
            </w:pPr>
            <w:r>
              <w:rPr>
                <w:rFonts w:ascii="Arial" w:cs="Arial" w:eastAsia="Arial" w:hAnsi="Arial"/>
                <w:b w:val="false"/>
                <w:bCs w:val="false"/>
                <w:sz w:val="16"/>
                <w:szCs w:val="16"/>
              </w:rPr>
              <w:t xml:space="preserve">IV: give by infusion over the stated time; check line and patient weight.</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pain and temperature in 30 to 60 minutes.</w:t>
            </w:r>
          </w:p>
          <w:p>
            <w:pPr>
              <w:spacing w:after="40"/>
            </w:pPr>
            <w:r>
              <w:rPr>
                <w:rFonts w:ascii="Arial" w:cs="Arial" w:eastAsia="Arial" w:hAnsi="Arial"/>
                <w:b w:val="false"/>
                <w:bCs w:val="false"/>
                <w:sz w:val="16"/>
                <w:szCs w:val="16"/>
              </w:rPr>
              <w:t xml:space="preserve">Document.</w:t>
            </w:r>
          </w:p>
          <w:p>
            <w:pPr>
              <w:spacing w:after="40"/>
            </w:pPr>
            <w:r>
              <w:rPr>
                <w:rFonts w:ascii="Arial" w:cs="Arial" w:eastAsia="Arial" w:hAnsi="Arial"/>
                <w:b w:val="false"/>
                <w:bCs w:val="false"/>
                <w:sz w:val="16"/>
                <w:szCs w:val="16"/>
              </w:rPr>
              <w:t xml:space="preserve">Teach the daily maximum and to report jaundice, dark urine or abdominal pain.</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Ibuprofen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Check aspirin and NSAID allergy, GI bleed or ulcer history, renal function, hydration, BP, pregnancy.</w:t>
            </w:r>
          </w:p>
          <w:p>
            <w:pPr>
              <w:spacing w:after="40"/>
            </w:pPr>
            <w:r>
              <w:rPr>
                <w:rFonts w:ascii="Arial" w:cs="Arial" w:eastAsia="Arial" w:hAnsi="Arial"/>
                <w:b w:val="false"/>
                <w:bCs w:val="false"/>
                <w:sz w:val="16"/>
                <w:szCs w:val="16"/>
              </w:rPr>
              <w:t xml:space="preserve">Review ACE inhibitors or ARBs plus diuretics ("triple whammy" kidney risk), anticoagulants, SSRIs, corticosteroids.</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with food or milk.</w:t>
            </w:r>
          </w:p>
          <w:p>
            <w:pPr>
              <w:spacing w:after="40"/>
            </w:pPr>
            <w:r>
              <w:rPr>
                <w:rFonts w:ascii="Arial" w:cs="Arial" w:eastAsia="Arial" w:hAnsi="Arial"/>
                <w:b w:val="false"/>
                <w:bCs w:val="false"/>
                <w:sz w:val="16"/>
                <w:szCs w:val="16"/>
              </w:rPr>
              <w:t xml:space="preserve">Use the lowest effective dose for the shortest time.</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pain.</w:t>
            </w:r>
          </w:p>
          <w:p>
            <w:pPr>
              <w:spacing w:after="40"/>
            </w:pPr>
            <w:r>
              <w:rPr>
                <w:rFonts w:ascii="Arial" w:cs="Arial" w:eastAsia="Arial" w:hAnsi="Arial"/>
                <w:b w:val="false"/>
                <w:bCs w:val="false"/>
                <w:sz w:val="16"/>
                <w:szCs w:val="16"/>
              </w:rPr>
              <w:t xml:space="preserve">Monitor for black stools, haematemesis, reduced urine output, oedema, raised BP.</w:t>
            </w:r>
          </w:p>
          <w:p>
            <w:pPr>
              <w:spacing w:after="40"/>
            </w:pPr>
            <w:r>
              <w:rPr>
                <w:rFonts w:ascii="Arial" w:cs="Arial" w:eastAsia="Arial" w:hAnsi="Arial"/>
                <w:b w:val="false"/>
                <w:bCs w:val="false"/>
                <w:sz w:val="16"/>
                <w:szCs w:val="16"/>
              </w:rPr>
              <w:t xml:space="preserve">Teach the patient to stop and report bleeding signs.</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Morphine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Independent two-nurse S8 check per policy; allergies; 5 rights.</w:t>
            </w:r>
          </w:p>
          <w:p>
            <w:pPr>
              <w:spacing w:after="40"/>
            </w:pPr>
            <w:r>
              <w:rPr>
                <w:rFonts w:ascii="Arial" w:cs="Arial" w:eastAsia="Arial" w:hAnsi="Arial"/>
                <w:b w:val="false"/>
                <w:bCs w:val="false"/>
                <w:sz w:val="16"/>
                <w:szCs w:val="16"/>
              </w:rPr>
              <w:t xml:space="preserve">Baseline pain score, RR, SpO2, BP, HR, sedation score.</w:t>
            </w:r>
          </w:p>
          <w:p>
            <w:pPr>
              <w:spacing w:after="40"/>
            </w:pPr>
            <w:r>
              <w:rPr>
                <w:rFonts w:ascii="Arial" w:cs="Arial" w:eastAsia="Arial" w:hAnsi="Arial"/>
                <w:b w:val="false"/>
                <w:bCs w:val="false"/>
                <w:sz w:val="16"/>
                <w:szCs w:val="16"/>
              </w:rPr>
              <w:t xml:space="preserve">Confirm naloxone order and availability.</w:t>
            </w:r>
          </w:p>
          <w:p>
            <w:pPr>
              <w:spacing w:after="40"/>
            </w:pPr>
            <w:r>
              <w:rPr>
                <w:rFonts w:ascii="Arial" w:cs="Arial" w:eastAsia="Arial" w:hAnsi="Arial"/>
                <w:b w:val="false"/>
                <w:bCs w:val="false"/>
                <w:sz w:val="16"/>
                <w:szCs w:val="16"/>
              </w:rPr>
              <w:t xml:space="preserve">Review other CNS depressants and renal function.</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Do not crush modified-release forms.</w:t>
            </w:r>
          </w:p>
          <w:p>
            <w:pPr>
              <w:spacing w:after="40"/>
            </w:pPr>
            <w:r>
              <w:rPr>
                <w:rFonts w:ascii="Arial" w:cs="Arial" w:eastAsia="Arial" w:hAnsi="Arial"/>
                <w:b w:val="false"/>
                <w:bCs w:val="false"/>
                <w:sz w:val="16"/>
                <w:szCs w:val="16"/>
              </w:rPr>
              <w:t xml:space="preserve">Give IV slowly.</w:t>
            </w:r>
          </w:p>
          <w:p>
            <w:pPr>
              <w:spacing w:after="40"/>
            </w:pPr>
            <w:r>
              <w:rPr>
                <w:rFonts w:ascii="Arial" w:cs="Arial" w:eastAsia="Arial" w:hAnsi="Arial"/>
                <w:b w:val="false"/>
                <w:bCs w:val="false"/>
                <w:sz w:val="16"/>
                <w:szCs w:val="16"/>
              </w:rPr>
              <w:t xml:space="preserve">Monitor RR, sedation and BP.</w:t>
            </w:r>
          </w:p>
          <w:p>
            <w:pPr>
              <w:spacing w:after="40"/>
            </w:pPr>
            <w:r>
              <w:rPr>
                <w:rFonts w:ascii="Arial" w:cs="Arial" w:eastAsia="Arial" w:hAnsi="Arial"/>
                <w:b w:val="false"/>
                <w:bCs w:val="false"/>
                <w:sz w:val="16"/>
                <w:szCs w:val="16"/>
              </w:rPr>
              <w:t xml:space="preserve">Hold and escalate per local policy if RR or sedation criteria are breached.</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pain and sedation at the time set by policy.</w:t>
            </w:r>
          </w:p>
          <w:p>
            <w:pPr>
              <w:spacing w:after="40"/>
            </w:pPr>
            <w:r>
              <w:rPr>
                <w:rFonts w:ascii="Arial" w:cs="Arial" w:eastAsia="Arial" w:hAnsi="Arial"/>
                <w:b w:val="false"/>
                <w:bCs w:val="false"/>
                <w:sz w:val="16"/>
                <w:szCs w:val="16"/>
              </w:rPr>
              <w:t xml:space="preserve">Start a bowel regimen.</w:t>
            </w:r>
          </w:p>
          <w:p>
            <w:pPr>
              <w:spacing w:after="40"/>
            </w:pPr>
            <w:r>
              <w:rPr>
                <w:rFonts w:ascii="Arial" w:cs="Arial" w:eastAsia="Arial" w:hAnsi="Arial"/>
                <w:b w:val="false"/>
                <w:bCs w:val="false"/>
                <w:sz w:val="16"/>
                <w:szCs w:val="16"/>
              </w:rPr>
              <w:t xml:space="preserve">Falls precautions.</w:t>
            </w:r>
          </w:p>
          <w:p>
            <w:pPr>
              <w:spacing w:after="40"/>
            </w:pPr>
            <w:r>
              <w:rPr>
                <w:rFonts w:ascii="Arial" w:cs="Arial" w:eastAsia="Arial" w:hAnsi="Arial"/>
                <w:b w:val="false"/>
                <w:bCs w:val="false"/>
                <w:sz w:val="16"/>
                <w:szCs w:val="16"/>
              </w:rPr>
              <w:t xml:space="preserve">Record in the drug register; witnessed wastage.</w:t>
            </w:r>
          </w:p>
          <w:p>
            <w:pPr>
              <w:spacing w:after="40"/>
            </w:pPr>
            <w:r>
              <w:rPr>
                <w:rFonts w:ascii="Arial" w:cs="Arial" w:eastAsia="Arial" w:hAnsi="Arial"/>
                <w:b w:val="false"/>
                <w:bCs w:val="false"/>
                <w:sz w:val="16"/>
                <w:szCs w:val="16"/>
              </w:rPr>
              <w:t xml:space="preserve">Teach about drowsiness, no alcohol, no driving.</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Oxycodone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S8 checks; allergies; confirm product (immediate vs modified release).</w:t>
            </w:r>
          </w:p>
          <w:p>
            <w:pPr>
              <w:spacing w:after="40"/>
            </w:pPr>
            <w:r>
              <w:rPr>
                <w:rFonts w:ascii="Arial" w:cs="Arial" w:eastAsia="Arial" w:hAnsi="Arial"/>
                <w:b w:val="false"/>
                <w:bCs w:val="false"/>
                <w:sz w:val="16"/>
                <w:szCs w:val="16"/>
              </w:rPr>
              <w:t xml:space="preserve">Baseline pain, RR, sedation, BP.</w:t>
            </w:r>
          </w:p>
          <w:p>
            <w:pPr>
              <w:spacing w:after="40"/>
            </w:pPr>
            <w:r>
              <w:rPr>
                <w:rFonts w:ascii="Arial" w:cs="Arial" w:eastAsia="Arial" w:hAnsi="Arial"/>
                <w:b w:val="false"/>
                <w:bCs w:val="false"/>
                <w:sz w:val="16"/>
                <w:szCs w:val="16"/>
              </w:rPr>
              <w:t xml:space="preserve">Review CYP3A4 inhibitors and other sedatives.</w:t>
            </w:r>
          </w:p>
          <w:p>
            <w:pPr>
              <w:spacing w:after="40"/>
            </w:pPr>
            <w:r>
              <w:rPr>
                <w:rFonts w:ascii="Arial" w:cs="Arial" w:eastAsia="Arial" w:hAnsi="Arial"/>
                <w:b w:val="false"/>
                <w:bCs w:val="false"/>
                <w:sz w:val="16"/>
                <w:szCs w:val="16"/>
              </w:rPr>
              <w:t xml:space="preserve">Assess liver function.</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Modified release: swallow whole, never crush or chew.</w:t>
            </w:r>
          </w:p>
          <w:p>
            <w:pPr>
              <w:spacing w:after="40"/>
            </w:pPr>
            <w:r>
              <w:rPr>
                <w:rFonts w:ascii="Arial" w:cs="Arial" w:eastAsia="Arial" w:hAnsi="Arial"/>
                <w:b w:val="false"/>
                <w:bCs w:val="false"/>
                <w:sz w:val="16"/>
                <w:szCs w:val="16"/>
              </w:rPr>
              <w:t xml:space="preserve">Monitor RR and sedation.</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pain and sedation.</w:t>
            </w:r>
          </w:p>
          <w:p>
            <w:pPr>
              <w:spacing w:after="40"/>
            </w:pPr>
            <w:r>
              <w:rPr>
                <w:rFonts w:ascii="Arial" w:cs="Arial" w:eastAsia="Arial" w:hAnsi="Arial"/>
                <w:b w:val="false"/>
                <w:bCs w:val="false"/>
                <w:sz w:val="16"/>
                <w:szCs w:val="16"/>
              </w:rPr>
              <w:t xml:space="preserve">Give laxatives.</w:t>
            </w:r>
          </w:p>
          <w:p>
            <w:pPr>
              <w:spacing w:after="40"/>
            </w:pPr>
            <w:r>
              <w:rPr>
                <w:rFonts w:ascii="Arial" w:cs="Arial" w:eastAsia="Arial" w:hAnsi="Arial"/>
                <w:b w:val="false"/>
                <w:bCs w:val="false"/>
                <w:sz w:val="16"/>
                <w:szCs w:val="16"/>
              </w:rPr>
              <w:t xml:space="preserve">Document in the register.</w:t>
            </w:r>
          </w:p>
          <w:p>
            <w:pPr>
              <w:spacing w:after="40"/>
            </w:pPr>
            <w:r>
              <w:rPr>
                <w:rFonts w:ascii="Arial" w:cs="Arial" w:eastAsia="Arial" w:hAnsi="Arial"/>
                <w:b w:val="false"/>
                <w:bCs w:val="false"/>
                <w:sz w:val="16"/>
                <w:szCs w:val="16"/>
              </w:rPr>
              <w:t xml:space="preserve">Teach safe storage, no driving, and not to stop abruptly if on long-term therapy.</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Tramadol</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Check seizure history.</w:t>
            </w:r>
          </w:p>
          <w:p>
            <w:pPr>
              <w:spacing w:after="40"/>
            </w:pPr>
            <w:r>
              <w:rPr>
                <w:rFonts w:ascii="Arial" w:cs="Arial" w:eastAsia="Arial" w:hAnsi="Arial"/>
                <w:b w:val="false"/>
                <w:bCs w:val="false"/>
                <w:sz w:val="16"/>
                <w:szCs w:val="16"/>
              </w:rPr>
              <w:t xml:space="preserve">List serotonergic drugs and MAOIs.</w:t>
            </w:r>
          </w:p>
          <w:p>
            <w:pPr>
              <w:spacing w:after="40"/>
            </w:pPr>
            <w:r>
              <w:rPr>
                <w:rFonts w:ascii="Arial" w:cs="Arial" w:eastAsia="Arial" w:hAnsi="Arial"/>
                <w:b w:val="false"/>
                <w:bCs w:val="false"/>
                <w:sz w:val="16"/>
                <w:szCs w:val="16"/>
              </w:rPr>
              <w:t xml:space="preserve">Check renal and hepatic function, alcohol use, age.</w:t>
            </w:r>
          </w:p>
          <w:p>
            <w:pPr>
              <w:spacing w:after="40"/>
            </w:pPr>
            <w:r>
              <w:rPr>
                <w:rFonts w:ascii="Arial" w:cs="Arial" w:eastAsia="Arial" w:hAnsi="Arial"/>
                <w:b w:val="false"/>
                <w:bCs w:val="false"/>
                <w:sz w:val="16"/>
                <w:szCs w:val="16"/>
              </w:rPr>
              <w:t xml:space="preserve">Baseline pain, RR, sedation.</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IV slowly (rapid injection increases nausea and dizziness).</w:t>
            </w:r>
          </w:p>
          <w:p>
            <w:pPr>
              <w:spacing w:after="40"/>
            </w:pPr>
            <w:r>
              <w:rPr>
                <w:rFonts w:ascii="Arial" w:cs="Arial" w:eastAsia="Arial" w:hAnsi="Arial"/>
                <w:b w:val="false"/>
                <w:bCs w:val="false"/>
                <w:sz w:val="16"/>
                <w:szCs w:val="16"/>
              </w:rPr>
              <w:t xml:space="preserve">Monitor sedation and RR.</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pain.</w:t>
            </w:r>
          </w:p>
          <w:p>
            <w:pPr>
              <w:spacing w:after="40"/>
            </w:pPr>
            <w:r>
              <w:rPr>
                <w:rFonts w:ascii="Arial" w:cs="Arial" w:eastAsia="Arial" w:hAnsi="Arial"/>
                <w:b w:val="false"/>
                <w:bCs w:val="false"/>
                <w:sz w:val="16"/>
                <w:szCs w:val="16"/>
              </w:rPr>
              <w:t xml:space="preserve">Watch for serotonin syndrome (agitation, tremor, clonus, sweating, hyperthermia, tachycardia) and seizures.</w:t>
            </w:r>
          </w:p>
          <w:p>
            <w:pPr>
              <w:spacing w:after="40"/>
            </w:pPr>
            <w:r>
              <w:rPr>
                <w:rFonts w:ascii="Arial" w:cs="Arial" w:eastAsia="Arial" w:hAnsi="Arial"/>
                <w:b w:val="false"/>
                <w:bCs w:val="false"/>
                <w:sz w:val="16"/>
                <w:szCs w:val="16"/>
              </w:rPr>
              <w:t xml:space="preserve">Falls precautions.</w:t>
            </w:r>
          </w:p>
          <w:p>
            <w:pPr>
              <w:spacing w:after="40"/>
            </w:pPr>
            <w:r>
              <w:rPr>
                <w:rFonts w:ascii="Arial" w:cs="Arial" w:eastAsia="Arial" w:hAnsi="Arial"/>
                <w:b w:val="false"/>
                <w:bCs w:val="false"/>
                <w:sz w:val="16"/>
                <w:szCs w:val="16"/>
              </w:rPr>
              <w:t xml:space="preserve">Teach about drowsiness, no alcohol, no driving.</w:t>
            </w:r>
          </w:p>
        </w:tc>
      </w:tr>
    </w:tbl>
    <w:p>
      <w:pPr>
        <w:pStyle w:val="Heading1"/>
        <w:pageBreakBefore/>
        <w:spacing w:after="120" w:before="0"/>
      </w:pPr>
      <w:r>
        <w:rPr>
          <w:rFonts w:ascii="Arial" w:cs="Arial" w:eastAsia="Arial" w:hAnsi="Arial"/>
          <w:b/>
          <w:bCs/>
          <w:color w:val="1F4E79"/>
          <w:sz w:val="30"/>
          <w:szCs w:val="30"/>
        </w:rPr>
        <w:t xml:space="preserve">2. ANTICHOLINERGICS</w:t>
      </w:r>
    </w:p>
    <w:p>
      <w:pPr>
        <w:spacing w:after="100"/>
      </w:pPr>
      <w:r>
        <w:rPr>
          <w:rFonts w:ascii="Arial" w:cs="Arial" w:eastAsia="Arial" w:hAnsi="Arial"/>
          <w:b/>
          <w:bCs/>
          <w:sz w:val="18"/>
          <w:szCs w:val="18"/>
        </w:rPr>
        <w:t xml:space="preserve">Class MOA: competitive antagonists of acetylcholine at muscarinic receptors, reducing parasympathetic ("rest and digest") activity. Toxicity picture: hot as a hare, dry as a bone, red as a beet, blind as a bat, mad as a hatter.</w:t>
      </w:r>
    </w:p>
    <w:p>
      <w:pPr>
        <w:pStyle w:val="Heading2"/>
        <w:spacing w:after="100" w:before="240"/>
      </w:pPr>
      <w:r>
        <w:rPr>
          <w:rFonts w:ascii="Arial" w:cs="Arial" w:eastAsia="Arial" w:hAnsi="Arial"/>
          <w:b/>
          <w:bCs/>
          <w:color w:val="1F4E79"/>
          <w:sz w:val="22"/>
          <w:szCs w:val="22"/>
        </w:rPr>
        <w:t xml:space="preserve">Drug profile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500"/>
        <w:gridCol w:w="2400"/>
        <w:gridCol w:w="1800"/>
        <w:gridCol w:w="2400"/>
        <w:gridCol w:w="1700"/>
        <w:gridCol w:w="3298"/>
      </w:tblGrid>
      <w:tr>
        <w:trPr>
          <w:tblHeader/>
        </w:trPr>
        <w:tc>
          <w:tcPr>
            <w:tcW w:type="dxa" w:w="12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Generic name</w:t>
            </w:r>
          </w:p>
        </w:tc>
        <w:tc>
          <w:tcPr>
            <w:tcW w:type="dxa" w:w="11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Brand name (AU)</w:t>
            </w:r>
          </w:p>
        </w:tc>
        <w:tc>
          <w:tcPr>
            <w:tcW w:type="dxa" w:w="15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Classification</w:t>
            </w:r>
          </w:p>
        </w:tc>
        <w:tc>
          <w:tcPr>
            <w:tcW w:type="dxa" w:w="2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Mechanism of action</w:t>
            </w:r>
          </w:p>
        </w:tc>
        <w:tc>
          <w:tcPr>
            <w:tcW w:type="dxa" w:w="18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Indications</w:t>
            </w:r>
          </w:p>
        </w:tc>
        <w:tc>
          <w:tcPr>
            <w:tcW w:type="dxa" w:w="2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Contraindications</w:t>
            </w:r>
          </w:p>
        </w:tc>
        <w:tc>
          <w:tcPr>
            <w:tcW w:type="dxa" w:w="1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Side effects</w:t>
            </w:r>
          </w:p>
        </w:tc>
        <w:tc>
          <w:tcPr>
            <w:tcW w:type="dxa" w:w="329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Adverse effects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Atropine sulfate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Atropine sulfate injection (various suppliers); ophthalmic atropine drops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Antimuscarinic (belladonna alkaloid); antivagal; antidote for organophosphate poisoning</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Blocks muscarinic receptors: blocks vagal tone at the SA and AV nodes (heart rate rises), reduces secretions, relaxes bronchial and GI smooth muscle, dilates the pupil (mydriasis and cycloplegia).</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Symptomatic bradycardia; reduce secretions pre-operatively; organophosphate or anticholinesterase poisoning; reversal of muscarinic effects of neostigmine; mydriasis and cycloplegia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Narrow-angle glaucoma; paralytic ileus or GI obstruction; urinary retention or obstructive uropathy; myasthenia gravis; toxic megacolon. In life-threatening bradycardia or poisoning these become relative.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Dry mouth, blurred vision, photophobia, tachycardia, flushing, dry skin, constipation, urinary hesitancy</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Tachyarrhythmias; delirium or hallucinations; hyperthermia; paralytic ileus; acute angle-closure glaucoma; paradoxical bradycardia with low doses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Hyoscine butylbromide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Buscopan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Antispasmodic; quaternary ammonium antimuscarinic (does not cross the blood-brain barrier well)</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Blocks muscarinic receptors on GI, biliary and urinary smooth muscle, relieving spasm. Also reduces secretions.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Abdominal cramps and spasm; IBS; biliary and renal colic; dysmenorrhoea; palliative care (bowel obstruction, respiratory secretions)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Untreated narrow-angle glaucoma; mechanical GI stenosis; paralytic ileus; megacolon; tachycardia; urinary retention (e.g. BPH); myasthenia gravis; hypersensitivity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Dry mouth, constipation, blurred vision, urinary hesitancy, flushing, tachycardia</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Anaphylaxis; tachyarrhythmia; acute angle-closure glaucoma; urinary retention. May mask an acute abdomen.</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Ipratropium bromide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Atrovent, Ipratrin (nebules), Duolin (with salbutamol)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Short-acting muscarinic antagonist (SAMA); inhaled bronchodilator</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Blocks muscarinic M3 receptors on airway smooth muscle, preventing vagally mediated bronchoconstriction: airways dilate and mucus secretion falls.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COPD maintenance; adjunct in acute asthma with a short-acting beta-agonist; rhinorrhoea (nasal spray)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Hypersensitivity to ipratropium, atropine or derivatives. Caution: narrow-angle glaucoma, BPH, bladder neck obstruction.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Dry mouth, cough, throat irritation, headache, bitter taste, nausea, dizziness</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Paradoxical bronchospasm; anaphylaxis or angioedema; acute angle-closure glaucoma (nebuliser mist in the eyes); tachycardia; urinary retention</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Oxybutynin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Ditropan; generic oxybutynin tablets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Antimuscarinic urinary antispasmodic</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Competitively blocks muscarinic (mainly M3) receptors on the detrusor muscle, reducing involuntary bladder contractions and increasing bladder capacity. Also a direct antispasmodic effect.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Overactive bladder (urgency, frequency, urge incontinence); neurogenic bladder; nocturnal enuresis in children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Uncontrolled narrow-angle glaucoma; urinary retention; gastric retention; GI obstruction; paralytic ileus; toxic megacolon; severe ulcerative colitis; myasthenia gravis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Dry mouth, constipation, blurred vision, drowsiness, dizziness, decreased sweating, urinary hesitancy</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Urinary retention; heat prostration or hyperthermia; confusion, delirium and cognitive impairment (especially in the elderly); angioedema; tachycardia</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Benztropine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Cogentin (injection). UNKNOWN: oral brand availability in Australia; check the AMH.</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Centrally acting anticholinergic; antiparkinsonian agent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Blocks central muscarinic receptors in the striatum, restoring the balance between dopamine and acetylcholine and reducing tremor, rigidity and drug-induced dystonia.</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Parkinsonism; drug-induced extrapyramidal symptoms (e.g. from antipsychotics); acute dystonic reactions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Narrow-angle glaucoma; GI obstruction; urinary retention; tardive dyskinesia (can worsen); myasthenia gravis; young children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Dry mouth, blurred vision, constipation, urinary retention, tachycardia, drowsiness, dizziness, nausea</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Confusion, hallucinations and delirium (especially in the elderly); hyperthermia and heat stroke; paralytic ileus; tachyarrhythmia; worsened tardive dyskinesia; misuse potential</w:t>
            </w:r>
          </w:p>
        </w:tc>
      </w:tr>
    </w:tbl>
    <w:p>
      <w:pPr>
        <w:pStyle w:val="Heading2"/>
        <w:spacing w:after="100" w:before="240"/>
      </w:pPr>
      <w:r>
        <w:rPr>
          <w:rFonts w:ascii="Arial" w:cs="Arial" w:eastAsia="Arial" w:hAnsi="Arial"/>
          <w:b/>
          <w:bCs/>
          <w:color w:val="1F4E79"/>
          <w:sz w:val="22"/>
          <w:szCs w:val="22"/>
        </w:rPr>
        <w:t xml:space="preserve">Nursing responsibilities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4300"/>
        <w:gridCol w:w="5098"/>
      </w:tblGrid>
      <w:tr>
        <w:trPr>
          <w:tblHeader/>
        </w:trPr>
        <w:tc>
          <w:tcPr>
            <w:tcW w:type="dxa" w:w="13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Generic name</w:t>
            </w:r>
          </w:p>
        </w:tc>
        <w:tc>
          <w:tcPr>
            <w:tcW w:type="dxa" w:w="4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Nursing responsibilities: BEFORE</w:t>
            </w:r>
          </w:p>
        </w:tc>
        <w:tc>
          <w:tcPr>
            <w:tcW w:type="dxa" w:w="43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DURING</w:t>
            </w:r>
          </w:p>
        </w:tc>
        <w:tc>
          <w:tcPr>
            <w:tcW w:type="dxa" w:w="509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AFTER</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Atropine sulfate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Check HR, rhythm, BP, IV access, glaucoma history, urine output.</w:t>
            </w:r>
          </w:p>
          <w:p>
            <w:pPr>
              <w:spacing w:after="40"/>
            </w:pPr>
            <w:r>
              <w:rPr>
                <w:rFonts w:ascii="Arial" w:cs="Arial" w:eastAsia="Arial" w:hAnsi="Arial"/>
                <w:b w:val="false"/>
                <w:bCs w:val="false"/>
                <w:sz w:val="16"/>
                <w:szCs w:val="16"/>
              </w:rPr>
              <w:t xml:space="preserve">Have continuous ECG monitoring in place for emergencies.</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as a rapid IV push per protocol.</w:t>
            </w:r>
          </w:p>
          <w:p>
            <w:pPr>
              <w:spacing w:after="40"/>
            </w:pPr>
            <w:r>
              <w:rPr>
                <w:rFonts w:ascii="Arial" w:cs="Arial" w:eastAsia="Arial" w:hAnsi="Arial"/>
                <w:b w:val="false"/>
                <w:bCs w:val="false"/>
                <w:sz w:val="16"/>
                <w:szCs w:val="16"/>
              </w:rPr>
              <w:t xml:space="preserve">Monitor HR, rhythm and BP continuously.</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HR, urine output, bowel sounds, temperature, mental status.</w:t>
            </w:r>
          </w:p>
          <w:p>
            <w:pPr>
              <w:spacing w:after="40"/>
            </w:pPr>
            <w:r>
              <w:rPr>
                <w:rFonts w:ascii="Arial" w:cs="Arial" w:eastAsia="Arial" w:hAnsi="Arial"/>
                <w:b w:val="false"/>
                <w:bCs w:val="false"/>
                <w:sz w:val="16"/>
                <w:szCs w:val="16"/>
              </w:rPr>
              <w:t xml:space="preserve">Mouth care and falls precautions.</w:t>
            </w:r>
          </w:p>
          <w:p>
            <w:pPr>
              <w:spacing w:after="40"/>
            </w:pPr>
            <w:r>
              <w:rPr>
                <w:rFonts w:ascii="Arial" w:cs="Arial" w:eastAsia="Arial" w:hAnsi="Arial"/>
                <w:b w:val="false"/>
                <w:bCs w:val="false"/>
                <w:sz w:val="16"/>
                <w:szCs w:val="16"/>
              </w:rPr>
              <w:t xml:space="preserve">Keep the patient cool.</w:t>
            </w:r>
          </w:p>
          <w:p>
            <w:pPr>
              <w:spacing w:after="40"/>
            </w:pPr>
            <w:r>
              <w:rPr>
                <w:rFonts w:ascii="Arial" w:cs="Arial" w:eastAsia="Arial" w:hAnsi="Arial"/>
                <w:b w:val="false"/>
                <w:bCs w:val="false"/>
                <w:sz w:val="16"/>
                <w:szCs w:val="16"/>
              </w:rPr>
              <w:t xml:space="preserve">Eye drops: sunglasses for photophobia.</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Hyoscine butylbromide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Assess pain (site, character, severity); exclude acute abdomen or obstruction.</w:t>
            </w:r>
          </w:p>
          <w:p>
            <w:pPr>
              <w:spacing w:after="40"/>
            </w:pPr>
            <w:r>
              <w:rPr>
                <w:rFonts w:ascii="Arial" w:cs="Arial" w:eastAsia="Arial" w:hAnsi="Arial"/>
                <w:b w:val="false"/>
                <w:bCs w:val="false"/>
                <w:sz w:val="16"/>
                <w:szCs w:val="16"/>
              </w:rPr>
              <w:t xml:space="preserve">Check vitals, glaucoma and prostate history, allergies.</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IV slowly.</w:t>
            </w:r>
          </w:p>
          <w:p>
            <w:pPr>
              <w:spacing w:after="40"/>
            </w:pPr>
            <w:r>
              <w:rPr>
                <w:rFonts w:ascii="Arial" w:cs="Arial" w:eastAsia="Arial" w:hAnsi="Arial"/>
                <w:b w:val="false"/>
                <w:bCs w:val="false"/>
                <w:sz w:val="16"/>
                <w:szCs w:val="16"/>
              </w:rPr>
              <w:t xml:space="preserve">Monitor HR and for allergic reaction.</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pain, HR, bladder and bowel function.</w:t>
            </w:r>
          </w:p>
          <w:p>
            <w:pPr>
              <w:spacing w:after="40"/>
            </w:pPr>
            <w:r>
              <w:rPr>
                <w:rFonts w:ascii="Arial" w:cs="Arial" w:eastAsia="Arial" w:hAnsi="Arial"/>
                <w:b w:val="false"/>
                <w:bCs w:val="false"/>
                <w:sz w:val="16"/>
                <w:szCs w:val="16"/>
              </w:rPr>
              <w:t xml:space="preserve">Teach the patient to report eye pain, inability to void or worsening pain.</w:t>
            </w:r>
          </w:p>
          <w:p>
            <w:pPr>
              <w:spacing w:after="40"/>
            </w:pPr>
            <w:r>
              <w:rPr>
                <w:rFonts w:ascii="Arial" w:cs="Arial" w:eastAsia="Arial" w:hAnsi="Arial"/>
                <w:b w:val="false"/>
                <w:bCs w:val="false"/>
                <w:sz w:val="16"/>
                <w:szCs w:val="16"/>
              </w:rPr>
              <w:t xml:space="preserve">Mouth care; caution with driving if vision is blurred.</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Ipratropium bromide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Respiratory assessment: RR, SpO2, work of breathing, breath sounds, peak flow if applicable.</w:t>
            </w:r>
          </w:p>
          <w:p>
            <w:pPr>
              <w:spacing w:after="40"/>
            </w:pPr>
            <w:r>
              <w:rPr>
                <w:rFonts w:ascii="Arial" w:cs="Arial" w:eastAsia="Arial" w:hAnsi="Arial"/>
                <w:b w:val="false"/>
                <w:bCs w:val="false"/>
                <w:sz w:val="16"/>
                <w:szCs w:val="16"/>
              </w:rPr>
              <w:t xml:space="preserve">Check allergies and glaucoma or prostate history.</w:t>
            </w:r>
          </w:p>
          <w:p>
            <w:pPr>
              <w:spacing w:after="40"/>
            </w:pPr>
            <w:r>
              <w:rPr>
                <w:rFonts w:ascii="Arial" w:cs="Arial" w:eastAsia="Arial" w:hAnsi="Arial"/>
                <w:b w:val="false"/>
                <w:bCs w:val="false"/>
                <w:sz w:val="16"/>
                <w:szCs w:val="16"/>
              </w:rPr>
              <w:t xml:space="preserve">Check inhaler or nebuliser technique.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Use a spacer if prescribed.</w:t>
            </w:r>
          </w:p>
          <w:p>
            <w:pPr>
              <w:spacing w:after="40"/>
            </w:pPr>
            <w:r>
              <w:rPr>
                <w:rFonts w:ascii="Arial" w:cs="Arial" w:eastAsia="Arial" w:hAnsi="Arial"/>
                <w:b w:val="false"/>
                <w:bCs w:val="false"/>
                <w:sz w:val="16"/>
                <w:szCs w:val="16"/>
              </w:rPr>
              <w:t xml:space="preserve">Nebuliser: use a mouthpiece or well-fitted mask so the drug stays out of the eyes.</w:t>
            </w:r>
          </w:p>
          <w:p>
            <w:pPr>
              <w:spacing w:after="40"/>
            </w:pPr>
            <w:r>
              <w:rPr>
                <w:rFonts w:ascii="Arial" w:cs="Arial" w:eastAsia="Arial" w:hAnsi="Arial"/>
                <w:b w:val="false"/>
                <w:bCs w:val="false"/>
                <w:sz w:val="16"/>
                <w:szCs w:val="16"/>
              </w:rPr>
              <w:t xml:space="preserve">Monitor SpO2 and RR.</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breath sounds and work of breathing.</w:t>
            </w:r>
          </w:p>
          <w:p>
            <w:pPr>
              <w:spacing w:after="40"/>
            </w:pPr>
            <w:r>
              <w:rPr>
                <w:rFonts w:ascii="Arial" w:cs="Arial" w:eastAsia="Arial" w:hAnsi="Arial"/>
                <w:b w:val="false"/>
                <w:bCs w:val="false"/>
                <w:sz w:val="16"/>
                <w:szCs w:val="16"/>
              </w:rPr>
              <w:t xml:space="preserve">Rinse mouth and offer a drink for dry mouth.</w:t>
            </w:r>
          </w:p>
          <w:p>
            <w:pPr>
              <w:spacing w:after="40"/>
            </w:pPr>
            <w:r>
              <w:rPr>
                <w:rFonts w:ascii="Arial" w:cs="Arial" w:eastAsia="Arial" w:hAnsi="Arial"/>
                <w:b w:val="false"/>
                <w:bCs w:val="false"/>
                <w:sz w:val="16"/>
                <w:szCs w:val="16"/>
              </w:rPr>
              <w:t xml:space="preserve">Monitor for paradoxical bronchospasm.</w:t>
            </w:r>
          </w:p>
          <w:p>
            <w:pPr>
              <w:spacing w:after="40"/>
            </w:pPr>
            <w:r>
              <w:rPr>
                <w:rFonts w:ascii="Arial" w:cs="Arial" w:eastAsia="Arial" w:hAnsi="Arial"/>
                <w:b w:val="false"/>
                <w:bCs w:val="false"/>
                <w:sz w:val="16"/>
                <w:szCs w:val="16"/>
              </w:rPr>
              <w:t xml:space="preserve">Clean the device.</w:t>
            </w:r>
          </w:p>
          <w:p>
            <w:pPr>
              <w:spacing w:after="40"/>
            </w:pPr>
            <w:r>
              <w:rPr>
                <w:rFonts w:ascii="Arial" w:cs="Arial" w:eastAsia="Arial" w:hAnsi="Arial"/>
                <w:b w:val="false"/>
                <w:bCs w:val="false"/>
                <w:sz w:val="16"/>
                <w:szCs w:val="16"/>
              </w:rPr>
              <w:t xml:space="preserve">Teach correct technique; it is not interchangeable with salbutamol.</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Oxybutynin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Baseline bladder diary, voiding pattern and post-void residual if available.</w:t>
            </w:r>
          </w:p>
          <w:p>
            <w:pPr>
              <w:spacing w:after="40"/>
            </w:pPr>
            <w:r>
              <w:rPr>
                <w:rFonts w:ascii="Arial" w:cs="Arial" w:eastAsia="Arial" w:hAnsi="Arial"/>
                <w:b w:val="false"/>
                <w:bCs w:val="false"/>
                <w:sz w:val="16"/>
                <w:szCs w:val="16"/>
              </w:rPr>
              <w:t xml:space="preserve">Check glaucoma, bowel function, cognitive status, age.</w:t>
            </w:r>
          </w:p>
          <w:p>
            <w:pPr>
              <w:spacing w:after="40"/>
            </w:pPr>
            <w:r>
              <w:rPr>
                <w:rFonts w:ascii="Arial" w:cs="Arial" w:eastAsia="Arial" w:hAnsi="Arial"/>
                <w:b w:val="false"/>
                <w:bCs w:val="false"/>
                <w:sz w:val="16"/>
                <w:szCs w:val="16"/>
              </w:rPr>
              <w:t xml:space="preserve">Review other anticholinergic drugs.</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with water.</w:t>
            </w:r>
          </w:p>
          <w:p>
            <w:pPr>
              <w:spacing w:after="40"/>
            </w:pPr>
            <w:r>
              <w:rPr>
                <w:rFonts w:ascii="Arial" w:cs="Arial" w:eastAsia="Arial" w:hAnsi="Arial"/>
                <w:b w:val="false"/>
                <w:bCs w:val="false"/>
                <w:sz w:val="16"/>
                <w:szCs w:val="16"/>
              </w:rPr>
              <w:t xml:space="preserve">Do not crush modified-release forms.</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Monitor urine output and retention, bowels, mental status, temperature.</w:t>
            </w:r>
          </w:p>
          <w:p>
            <w:pPr>
              <w:spacing w:after="40"/>
            </w:pPr>
            <w:r>
              <w:rPr>
                <w:rFonts w:ascii="Arial" w:cs="Arial" w:eastAsia="Arial" w:hAnsi="Arial"/>
                <w:b w:val="false"/>
                <w:bCs w:val="false"/>
                <w:sz w:val="16"/>
                <w:szCs w:val="16"/>
              </w:rPr>
              <w:t xml:space="preserve">Reassess urgency and incontinence episodes.</w:t>
            </w:r>
          </w:p>
          <w:p>
            <w:pPr>
              <w:spacing w:after="40"/>
            </w:pPr>
            <w:r>
              <w:rPr>
                <w:rFonts w:ascii="Arial" w:cs="Arial" w:eastAsia="Arial" w:hAnsi="Arial"/>
                <w:b w:val="false"/>
                <w:bCs w:val="false"/>
                <w:sz w:val="16"/>
                <w:szCs w:val="16"/>
              </w:rPr>
              <w:t xml:space="preserve">Mouth care, fluids and fibre.</w:t>
            </w:r>
          </w:p>
          <w:p>
            <w:pPr>
              <w:spacing w:after="40"/>
            </w:pPr>
            <w:r>
              <w:rPr>
                <w:rFonts w:ascii="Arial" w:cs="Arial" w:eastAsia="Arial" w:hAnsi="Arial"/>
                <w:b w:val="false"/>
                <w:bCs w:val="false"/>
                <w:sz w:val="16"/>
                <w:szCs w:val="16"/>
              </w:rPr>
              <w:t xml:space="preserve">Teach heat avoidance and to report inability to void.</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Benztropine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Baseline neurological and extrapyramidal assessment (tremor, rigidity, dystonia).</w:t>
            </w:r>
          </w:p>
          <w:p>
            <w:pPr>
              <w:spacing w:after="40"/>
            </w:pPr>
            <w:r>
              <w:rPr>
                <w:rFonts w:ascii="Arial" w:cs="Arial" w:eastAsia="Arial" w:hAnsi="Arial"/>
                <w:b w:val="false"/>
                <w:bCs w:val="false"/>
                <w:sz w:val="16"/>
                <w:szCs w:val="16"/>
              </w:rPr>
              <w:t xml:space="preserve">Check mental status, glaucoma, bladder and bowel function, current antipsychotics.</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IM or IV for acute dystonia, with observation.</w:t>
            </w:r>
          </w:p>
          <w:p>
            <w:pPr>
              <w:spacing w:after="40"/>
            </w:pPr>
            <w:r>
              <w:rPr>
                <w:rFonts w:ascii="Arial" w:cs="Arial" w:eastAsia="Arial" w:hAnsi="Arial"/>
                <w:b w:val="false"/>
                <w:bCs w:val="false"/>
                <w:sz w:val="16"/>
                <w:szCs w:val="16"/>
              </w:rPr>
              <w:t xml:space="preserve">Monitor HR, BP and mental status.</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symptoms (dystonia usually improves within minutes after IM or IV).</w:t>
            </w:r>
          </w:p>
          <w:p>
            <w:pPr>
              <w:spacing w:after="40"/>
            </w:pPr>
            <w:r>
              <w:rPr>
                <w:rFonts w:ascii="Arial" w:cs="Arial" w:eastAsia="Arial" w:hAnsi="Arial"/>
                <w:b w:val="false"/>
                <w:bCs w:val="false"/>
                <w:sz w:val="16"/>
                <w:szCs w:val="16"/>
              </w:rPr>
              <w:t xml:space="preserve">Monitor for anticholinergic toxicity, temperature, bowel and bladder function, falls risk.</w:t>
            </w:r>
          </w:p>
          <w:p>
            <w:pPr>
              <w:spacing w:after="40"/>
            </w:pPr>
            <w:r>
              <w:rPr>
                <w:rFonts w:ascii="Arial" w:cs="Arial" w:eastAsia="Arial" w:hAnsi="Arial"/>
                <w:b w:val="false"/>
                <w:bCs w:val="false"/>
                <w:sz w:val="16"/>
                <w:szCs w:val="16"/>
              </w:rPr>
              <w:t xml:space="preserve">Do not stop abruptly in long-term use.</w:t>
            </w:r>
          </w:p>
          <w:p>
            <w:pPr>
              <w:spacing w:after="40"/>
            </w:pPr>
            <w:r>
              <w:rPr>
                <w:rFonts w:ascii="Arial" w:cs="Arial" w:eastAsia="Arial" w:hAnsi="Arial"/>
                <w:b w:val="false"/>
                <w:bCs w:val="false"/>
                <w:sz w:val="16"/>
                <w:szCs w:val="16"/>
              </w:rPr>
              <w:t xml:space="preserve">Mouth care and hydration.</w:t>
            </w:r>
          </w:p>
        </w:tc>
      </w:tr>
    </w:tbl>
    <w:p>
      <w:pPr>
        <w:pStyle w:val="Heading1"/>
        <w:pageBreakBefore/>
        <w:spacing w:after="120" w:before="0"/>
      </w:pPr>
      <w:r>
        <w:rPr>
          <w:rFonts w:ascii="Arial" w:cs="Arial" w:eastAsia="Arial" w:hAnsi="Arial"/>
          <w:b/>
          <w:bCs/>
          <w:color w:val="1F4E79"/>
          <w:sz w:val="30"/>
          <w:szCs w:val="30"/>
        </w:rPr>
        <w:t xml:space="preserve">3. PROTON PUMP INHIBITORS</w:t>
      </w:r>
    </w:p>
    <w:p>
      <w:pPr>
        <w:pStyle w:val="Heading2"/>
        <w:spacing w:after="100" w:before="240"/>
      </w:pPr>
      <w:r>
        <w:rPr>
          <w:rFonts w:ascii="Arial" w:cs="Arial" w:eastAsia="Arial" w:hAnsi="Arial"/>
          <w:b/>
          <w:bCs/>
          <w:color w:val="1F4E79"/>
          <w:sz w:val="22"/>
          <w:szCs w:val="22"/>
        </w:rPr>
        <w:t xml:space="preserve">Drug profile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500"/>
        <w:gridCol w:w="2400"/>
        <w:gridCol w:w="1800"/>
        <w:gridCol w:w="2400"/>
        <w:gridCol w:w="1700"/>
        <w:gridCol w:w="3298"/>
      </w:tblGrid>
      <w:tr>
        <w:trPr>
          <w:tblHeader/>
        </w:trPr>
        <w:tc>
          <w:tcPr>
            <w:tcW w:type="dxa" w:w="12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Generic name</w:t>
            </w:r>
          </w:p>
        </w:tc>
        <w:tc>
          <w:tcPr>
            <w:tcW w:type="dxa" w:w="11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Brand name (AU)</w:t>
            </w:r>
          </w:p>
        </w:tc>
        <w:tc>
          <w:tcPr>
            <w:tcW w:type="dxa" w:w="15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Classification</w:t>
            </w:r>
          </w:p>
        </w:tc>
        <w:tc>
          <w:tcPr>
            <w:tcW w:type="dxa" w:w="2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Mechanism of action</w:t>
            </w:r>
          </w:p>
        </w:tc>
        <w:tc>
          <w:tcPr>
            <w:tcW w:type="dxa" w:w="18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Indications</w:t>
            </w:r>
          </w:p>
        </w:tc>
        <w:tc>
          <w:tcPr>
            <w:tcW w:type="dxa" w:w="2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Contraindications</w:t>
            </w:r>
          </w:p>
        </w:tc>
        <w:tc>
          <w:tcPr>
            <w:tcW w:type="dxa" w:w="1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Side effects</w:t>
            </w:r>
          </w:p>
        </w:tc>
        <w:tc>
          <w:tcPr>
            <w:tcW w:type="dxa" w:w="329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Adverse effects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Omeprazole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Losec, Losec MUPS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Proton pump inhibitor (substituted benzimidazole); gastric acid suppressant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Irreversibly inhibits the H+/K+ ATPase (proton pump) in gastric parietal cells, blocking the final step of acid secretion and reducing basal and stimulated acid.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GORD and reflux oesophagitis; peptic (duodenal and gastric) ulcer; H. pylori eradication (with antibiotics); prevention and treatment of NSAID-related ulcers; Zollinger-Ellison syndrome. IV forms used for bleeding ulcers.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Hypersensitivity to the drug or other benzimidazoles. Some PPIs are contraindicated with rilpivirine and nelfinavir. Caution: hepatic impairment, osteoporosis, long-term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Headache, diarrhoea or constipation, nausea, abdominal pain, flatulence, dizziness</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 difficile infection; pneumonia; hypomagnesaemia; vitamin B12 deficiency; fractures with long-term use; interstitial nephritis; rebound acid hypersecretion on stopping; rarely cutaneous lupus; may mask gastric cancer symptoms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Esomeprazole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Nexium</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Proton pump inhibitor (substituted benzimidazole); gastric acid suppressant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Irreversibly inhibits the H+/K+ ATPase (proton pump) in gastric parietal cells, blocking the final step of acid secretion and reducing basal and stimulated acid.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GORD and reflux oesophagitis; peptic (duodenal and gastric) ulcer; H. pylori eradication (with antibiotics); prevention and treatment of NSAID-related ulcers; Zollinger-Ellison syndrome. IV forms used for bleeding ulcers.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Hypersensitivity to the drug or other benzimidazoles. Some PPIs are contraindicated with rilpivirine and nelfinavir. Caution: hepatic impairment, osteoporosis, long-term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Headache, diarrhoea or constipation, nausea, abdominal pain, flatulence, dizziness</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 difficile infection; pneumonia; hypomagnesaemia; vitamin B12 deficiency; fractures with long-term use; interstitial nephritis; rebound acid hypersecretion on stopping; rarely cutaneous lupus; may mask gastric cancer symptoms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Pantoprazole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Somac</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Proton pump inhibitor (substituted benzimidazole); gastric acid suppressant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Irreversibly inhibits the H+/K+ ATPase (proton pump) in gastric parietal cells, blocking the final step of acid secretion and reducing basal and stimulated acid.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GORD and reflux oesophagitis; peptic (duodenal and gastric) ulcer; H. pylori eradication (with antibiotics); prevention and treatment of NSAID-related ulcers; Zollinger-Ellison syndrome. IV forms used for bleeding ulcers.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Hypersensitivity to the drug or other benzimidazoles. Some PPIs are contraindicated with rilpivirine and nelfinavir. Caution: hepatic impairment, osteoporosis, long-term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Headache, diarrhoea or constipation, nausea, abdominal pain, flatulence, dizziness</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 difficile infection; pneumonia; hypomagnesaemia; vitamin B12 deficiency; fractures with long-term use; interstitial nephritis; rebound acid hypersecretion on stopping; rarely cutaneous lupus; may mask gastric cancer symptoms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Lansoprazole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Zoton, Zoton FasTab</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Proton pump inhibitor (substituted benzimidazole); gastric acid suppressant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Irreversibly inhibits the H+/K+ ATPase (proton pump) in gastric parietal cells, blocking the final step of acid secretion and reducing basal and stimulated acid.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GORD and reflux oesophagitis; peptic (duodenal and gastric) ulcer; H. pylori eradication (with antibiotics); prevention and treatment of NSAID-related ulcers; Zollinger-Ellison syndrome. IV forms used for bleeding ulcers.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Hypersensitivity to the drug or other benzimidazoles. Some PPIs are contraindicated with rilpivirine and nelfinavir. Caution: hepatic impairment, osteoporosis, long-term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Headache, diarrhoea or constipation, nausea, abdominal pain, flatulence, dizziness</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 difficile infection; pneumonia; hypomagnesaemia; vitamin B12 deficiency; fractures with long-term use; interstitial nephritis; rebound acid hypersecretion on stopping; rarely cutaneous lupus; may mask gastric cancer symptoms</w:t>
            </w:r>
          </w:p>
        </w:tc>
      </w:tr>
      <w:tr>
        <w:tc>
          <w:tcPr>
            <w:tcW w:type="dxa" w:w="12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Rabeprazole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Pariet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Proton pump inhibitor (substituted benzimidazole); gastric acid suppressant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Irreversibly inhibits the H+/K+ ATPase (proton pump) in gastric parietal cells, blocking the final step of acid secretion and reducing basal and stimulated acid.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GORD and reflux oesophagitis; peptic (duodenal and gastric) ulcer; H. pylori eradication (with antibiotics); prevention and treatment of NSAID-related ulcers; Zollinger-Ellison syndrome. IV forms used for bleeding ulcers.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Hypersensitivity to the drug or other benzimidazoles. Some PPIs are contraindicated with rilpivirine and nelfinavir. Caution: hepatic impairment, osteoporosis, long-term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Headache, diarrhoea or constipation, nausea, abdominal pain, flatulence, dizziness</w:t>
            </w:r>
          </w:p>
        </w:tc>
        <w:tc>
          <w:tcPr>
            <w:tcW w:type="dxa" w:w="3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 difficile infection; pneumonia; hypomagnesaemia; vitamin B12 deficiency; fractures with long-term use; interstitial nephritis; rebound acid hypersecretion on stopping; rarely cutaneous lupus; may mask gastric cancer symptoms</w:t>
            </w:r>
          </w:p>
        </w:tc>
      </w:tr>
    </w:tbl>
    <w:p>
      <w:pPr>
        <w:pStyle w:val="Heading2"/>
        <w:spacing w:after="100" w:before="240"/>
      </w:pPr>
      <w:r>
        <w:rPr>
          <w:rFonts w:ascii="Arial" w:cs="Arial" w:eastAsia="Arial" w:hAnsi="Arial"/>
          <w:b/>
          <w:bCs/>
          <w:color w:val="1F4E79"/>
          <w:sz w:val="22"/>
          <w:szCs w:val="22"/>
        </w:rPr>
        <w:t xml:space="preserve">Drug-specific notes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tblHeader/>
        </w:trPr>
        <w:tc>
          <w:tcPr>
            <w:tcW w:type="dxa" w:w="2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Generic name</w:t>
            </w:r>
          </w:p>
        </w:tc>
        <w:tc>
          <w:tcPr>
            <w:tcW w:type="dxa" w:w="1339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Notes</w:t>
            </w:r>
          </w:p>
        </w:tc>
      </w:tr>
      <w:tr>
        <w:tc>
          <w:tcPr>
            <w:tcW w:type="dxa" w:w="20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Omeprazole</w:t>
            </w:r>
          </w:p>
        </w:tc>
        <w:tc>
          <w:tcPr>
            <w:tcW w:type="dxa" w:w="1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Inhibits CYP2C19, which can reduce clopidogrel activation. MUPS tablets can be dispersed in water; capsules and tablets are swallowed whole.</w:t>
            </w:r>
          </w:p>
        </w:tc>
      </w:tr>
      <w:tr>
        <w:tc>
          <w:tcPr>
            <w:tcW w:type="dxa" w:w="20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Esomeprazole</w:t>
            </w:r>
          </w:p>
        </w:tc>
        <w:tc>
          <w:tcPr>
            <w:tcW w:type="dxa" w:w="1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S-isomer of omeprazole. Oral and IV forms. Same clopidogrel concern. IV is used for patients who cannot take oral or after endoscopic treatment of a bleeding ulcer.</w:t>
            </w:r>
          </w:p>
        </w:tc>
      </w:tr>
      <w:tr>
        <w:tc>
          <w:tcPr>
            <w:tcW w:type="dxa" w:w="20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Pantoprazole</w:t>
            </w:r>
          </w:p>
        </w:tc>
        <w:tc>
          <w:tcPr>
            <w:tcW w:type="dxa" w:w="1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Fewer CYP interactions. Delayed-release tablets swallowed whole. IV form available (typically given over about 15 minutes; check the label).</w:t>
            </w:r>
          </w:p>
        </w:tc>
      </w:tr>
      <w:tr>
        <w:tc>
          <w:tcPr>
            <w:tcW w:type="dxa" w:w="20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Lansoprazole</w:t>
            </w:r>
          </w:p>
        </w:tc>
        <w:tc>
          <w:tcPr>
            <w:tcW w:type="dxa" w:w="1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FasTab dissolves on the tongue. Capsules swallowed whole or opened per product guidance.</w:t>
            </w:r>
          </w:p>
        </w:tc>
      </w:tr>
      <w:tr>
        <w:tc>
          <w:tcPr>
            <w:tcW w:type="dxa" w:w="20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Rabeprazole</w:t>
            </w:r>
          </w:p>
        </w:tc>
        <w:tc>
          <w:tcPr>
            <w:tcW w:type="dxa" w:w="1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Delayed-release tablets swallowed whole. Timing with food varies by indication; check the label.</w:t>
            </w:r>
          </w:p>
        </w:tc>
      </w:tr>
    </w:tbl>
    <w:p>
      <w:pPr>
        <w:pStyle w:val="Heading2"/>
        <w:spacing w:after="100" w:before="240"/>
      </w:pPr>
      <w:r>
        <w:rPr>
          <w:rFonts w:ascii="Arial" w:cs="Arial" w:eastAsia="Arial" w:hAnsi="Arial"/>
          <w:b/>
          <w:bCs/>
          <w:color w:val="1F4E79"/>
          <w:sz w:val="22"/>
          <w:szCs w:val="22"/>
        </w:rPr>
        <w:t xml:space="preserve">Nursing responsibilities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4300"/>
        <w:gridCol w:w="5098"/>
      </w:tblGrid>
      <w:tr>
        <w:trPr>
          <w:tblHeader/>
        </w:trPr>
        <w:tc>
          <w:tcPr>
            <w:tcW w:type="dxa" w:w="13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Generic name</w:t>
            </w:r>
          </w:p>
        </w:tc>
        <w:tc>
          <w:tcPr>
            <w:tcW w:type="dxa" w:w="4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Nursing responsibilities: BEFORE</w:t>
            </w:r>
          </w:p>
        </w:tc>
        <w:tc>
          <w:tcPr>
            <w:tcW w:type="dxa" w:w="43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DURING</w:t>
            </w:r>
          </w:p>
        </w:tc>
        <w:tc>
          <w:tcPr>
            <w:tcW w:type="dxa" w:w="509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40"/>
            </w:pPr>
            <w:r>
              <w:rPr>
                <w:rFonts w:ascii="Arial" w:cs="Arial" w:eastAsia="Arial" w:hAnsi="Arial"/>
                <w:b/>
                <w:bCs/>
                <w:color w:val="FFFFFF"/>
                <w:sz w:val="16"/>
                <w:szCs w:val="16"/>
              </w:rPr>
              <w:t xml:space="preserve">AFTER</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Omeprazole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Check allergies; confirm the indication.</w:t>
            </w:r>
          </w:p>
          <w:p>
            <w:pPr>
              <w:spacing w:after="40"/>
            </w:pPr>
            <w:r>
              <w:rPr>
                <w:rFonts w:ascii="Arial" w:cs="Arial" w:eastAsia="Arial" w:hAnsi="Arial"/>
                <w:b w:val="false"/>
                <w:bCs w:val="false"/>
                <w:sz w:val="16"/>
                <w:szCs w:val="16"/>
              </w:rPr>
              <w:t xml:space="preserve">Assess GI symptoms and screen for red flags (dysphagia, unintentional weight loss, melaena, vomiting blood, persistent vomiting), which need medical review.</w:t>
            </w:r>
          </w:p>
          <w:p>
            <w:pPr>
              <w:spacing w:after="40"/>
            </w:pPr>
            <w:r>
              <w:rPr>
                <w:rFonts w:ascii="Arial" w:cs="Arial" w:eastAsia="Arial" w:hAnsi="Arial"/>
                <w:b w:val="false"/>
                <w:bCs w:val="false"/>
                <w:sz w:val="16"/>
                <w:szCs w:val="16"/>
              </w:rPr>
              <w:t xml:space="preserve">Review interacting drugs (clopidogrel with omeprazole or esomeprazole, methotrexate, warfarin, HIV antivirals).</w:t>
            </w:r>
          </w:p>
          <w:p>
            <w:pPr>
              <w:spacing w:after="40"/>
            </w:pPr>
            <w:r>
              <w:rPr>
                <w:rFonts w:ascii="Arial" w:cs="Arial" w:eastAsia="Arial" w:hAnsi="Arial"/>
                <w:b w:val="false"/>
                <w:bCs w:val="false"/>
                <w:sz w:val="16"/>
                <w:szCs w:val="16"/>
              </w:rPr>
              <w:t xml:space="preserve">Check magnesium in long-term use.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30 to 60 minutes before a meal, usually before breakfast.</w:t>
            </w:r>
          </w:p>
          <w:p>
            <w:pPr>
              <w:spacing w:after="40"/>
            </w:pPr>
            <w:r>
              <w:rPr>
                <w:rFonts w:ascii="Arial" w:cs="Arial" w:eastAsia="Arial" w:hAnsi="Arial"/>
                <w:b w:val="false"/>
                <w:bCs w:val="false"/>
                <w:sz w:val="16"/>
                <w:szCs w:val="16"/>
              </w:rPr>
              <w:t xml:space="preserve">Delayed-release forms: swallow whole, do not crush or chew unless the product allows dispersal.</w:t>
            </w:r>
          </w:p>
          <w:p>
            <w:pPr>
              <w:spacing w:after="40"/>
            </w:pPr>
            <w:r>
              <w:rPr>
                <w:rFonts w:ascii="Arial" w:cs="Arial" w:eastAsia="Arial" w:hAnsi="Arial"/>
                <w:b w:val="false"/>
                <w:bCs w:val="false"/>
                <w:sz w:val="16"/>
                <w:szCs w:val="16"/>
              </w:rPr>
              <w:t xml:space="preserve">IV forms: give per the product label; flush the line.</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symptom relief.</w:t>
            </w:r>
          </w:p>
          <w:p>
            <w:pPr>
              <w:spacing w:after="40"/>
            </w:pPr>
            <w:r>
              <w:rPr>
                <w:rFonts w:ascii="Arial" w:cs="Arial" w:eastAsia="Arial" w:hAnsi="Arial"/>
                <w:b w:val="false"/>
                <w:bCs w:val="false"/>
                <w:sz w:val="16"/>
                <w:szCs w:val="16"/>
              </w:rPr>
              <w:t xml:space="preserve">Monitor for diarrhoea (C. difficile) and signs of GI bleeding; in long-term therapy monitor magnesium, B12 and bone health.</w:t>
            </w:r>
          </w:p>
          <w:p>
            <w:pPr>
              <w:spacing w:after="40"/>
            </w:pPr>
            <w:r>
              <w:rPr>
                <w:rFonts w:ascii="Arial" w:cs="Arial" w:eastAsia="Arial" w:hAnsi="Arial"/>
                <w:b w:val="false"/>
                <w:bCs w:val="false"/>
                <w:sz w:val="16"/>
                <w:szCs w:val="16"/>
              </w:rPr>
              <w:t xml:space="preserve">Teach lifestyle measures (smaller meals, avoid late meals, trigger foods, alcohol and smoking; elevate head of bed) and to complete the full H. pylori antibiotic course.</w:t>
            </w:r>
          </w:p>
          <w:p>
            <w:pPr>
              <w:spacing w:after="40"/>
            </w:pPr>
            <w:r>
              <w:rPr>
                <w:rFonts w:ascii="Arial" w:cs="Arial" w:eastAsia="Arial" w:hAnsi="Arial"/>
                <w:b w:val="false"/>
                <w:bCs w:val="false"/>
                <w:sz w:val="16"/>
                <w:szCs w:val="16"/>
              </w:rPr>
              <w:t xml:space="preserve">Review whether ongoing use is still needed.</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Esomeprazole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Check allergies; confirm the indication.</w:t>
            </w:r>
          </w:p>
          <w:p>
            <w:pPr>
              <w:spacing w:after="40"/>
            </w:pPr>
            <w:r>
              <w:rPr>
                <w:rFonts w:ascii="Arial" w:cs="Arial" w:eastAsia="Arial" w:hAnsi="Arial"/>
                <w:b w:val="false"/>
                <w:bCs w:val="false"/>
                <w:sz w:val="16"/>
                <w:szCs w:val="16"/>
              </w:rPr>
              <w:t xml:space="preserve">Assess GI symptoms and screen for red flags (dysphagia, unintentional weight loss, melaena, vomiting blood, persistent vomiting), which need medical review.</w:t>
            </w:r>
          </w:p>
          <w:p>
            <w:pPr>
              <w:spacing w:after="40"/>
            </w:pPr>
            <w:r>
              <w:rPr>
                <w:rFonts w:ascii="Arial" w:cs="Arial" w:eastAsia="Arial" w:hAnsi="Arial"/>
                <w:b w:val="false"/>
                <w:bCs w:val="false"/>
                <w:sz w:val="16"/>
                <w:szCs w:val="16"/>
              </w:rPr>
              <w:t xml:space="preserve">Review interacting drugs (clopidogrel with omeprazole or esomeprazole, methotrexate, warfarin, HIV antivirals).</w:t>
            </w:r>
          </w:p>
          <w:p>
            <w:pPr>
              <w:spacing w:after="40"/>
            </w:pPr>
            <w:r>
              <w:rPr>
                <w:rFonts w:ascii="Arial" w:cs="Arial" w:eastAsia="Arial" w:hAnsi="Arial"/>
                <w:b w:val="false"/>
                <w:bCs w:val="false"/>
                <w:sz w:val="16"/>
                <w:szCs w:val="16"/>
              </w:rPr>
              <w:t xml:space="preserve">Check magnesium in long-term use.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30 to 60 minutes before a meal, usually before breakfast.</w:t>
            </w:r>
          </w:p>
          <w:p>
            <w:pPr>
              <w:spacing w:after="40"/>
            </w:pPr>
            <w:r>
              <w:rPr>
                <w:rFonts w:ascii="Arial" w:cs="Arial" w:eastAsia="Arial" w:hAnsi="Arial"/>
                <w:b w:val="false"/>
                <w:bCs w:val="false"/>
                <w:sz w:val="16"/>
                <w:szCs w:val="16"/>
              </w:rPr>
              <w:t xml:space="preserve">Delayed-release forms: swallow whole, do not crush or chew unless the product allows dispersal.</w:t>
            </w:r>
          </w:p>
          <w:p>
            <w:pPr>
              <w:spacing w:after="40"/>
            </w:pPr>
            <w:r>
              <w:rPr>
                <w:rFonts w:ascii="Arial" w:cs="Arial" w:eastAsia="Arial" w:hAnsi="Arial"/>
                <w:b w:val="false"/>
                <w:bCs w:val="false"/>
                <w:sz w:val="16"/>
                <w:szCs w:val="16"/>
              </w:rPr>
              <w:t xml:space="preserve">IV forms: give per the product label; flush the line.</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symptom relief.</w:t>
            </w:r>
          </w:p>
          <w:p>
            <w:pPr>
              <w:spacing w:after="40"/>
            </w:pPr>
            <w:r>
              <w:rPr>
                <w:rFonts w:ascii="Arial" w:cs="Arial" w:eastAsia="Arial" w:hAnsi="Arial"/>
                <w:b w:val="false"/>
                <w:bCs w:val="false"/>
                <w:sz w:val="16"/>
                <w:szCs w:val="16"/>
              </w:rPr>
              <w:t xml:space="preserve">Monitor for diarrhoea (C. difficile) and signs of GI bleeding; in long-term therapy monitor magnesium, B12 and bone health.</w:t>
            </w:r>
          </w:p>
          <w:p>
            <w:pPr>
              <w:spacing w:after="40"/>
            </w:pPr>
            <w:r>
              <w:rPr>
                <w:rFonts w:ascii="Arial" w:cs="Arial" w:eastAsia="Arial" w:hAnsi="Arial"/>
                <w:b w:val="false"/>
                <w:bCs w:val="false"/>
                <w:sz w:val="16"/>
                <w:szCs w:val="16"/>
              </w:rPr>
              <w:t xml:space="preserve">Teach lifestyle measures (smaller meals, avoid late meals, trigger foods, alcohol and smoking; elevate head of bed) and to complete the full H. pylori antibiotic course.</w:t>
            </w:r>
          </w:p>
          <w:p>
            <w:pPr>
              <w:spacing w:after="40"/>
            </w:pPr>
            <w:r>
              <w:rPr>
                <w:rFonts w:ascii="Arial" w:cs="Arial" w:eastAsia="Arial" w:hAnsi="Arial"/>
                <w:b w:val="false"/>
                <w:bCs w:val="false"/>
                <w:sz w:val="16"/>
                <w:szCs w:val="16"/>
              </w:rPr>
              <w:t xml:space="preserve">Review whether ongoing use is still needed.</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Pantoprazole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Check allergies; confirm the indication.</w:t>
            </w:r>
          </w:p>
          <w:p>
            <w:pPr>
              <w:spacing w:after="40"/>
            </w:pPr>
            <w:r>
              <w:rPr>
                <w:rFonts w:ascii="Arial" w:cs="Arial" w:eastAsia="Arial" w:hAnsi="Arial"/>
                <w:b w:val="false"/>
                <w:bCs w:val="false"/>
                <w:sz w:val="16"/>
                <w:szCs w:val="16"/>
              </w:rPr>
              <w:t xml:space="preserve">Assess GI symptoms and screen for red flags (dysphagia, unintentional weight loss, melaena, vomiting blood, persistent vomiting), which need medical review.</w:t>
            </w:r>
          </w:p>
          <w:p>
            <w:pPr>
              <w:spacing w:after="40"/>
            </w:pPr>
            <w:r>
              <w:rPr>
                <w:rFonts w:ascii="Arial" w:cs="Arial" w:eastAsia="Arial" w:hAnsi="Arial"/>
                <w:b w:val="false"/>
                <w:bCs w:val="false"/>
                <w:sz w:val="16"/>
                <w:szCs w:val="16"/>
              </w:rPr>
              <w:t xml:space="preserve">Review interacting drugs (clopidogrel with omeprazole or esomeprazole, methotrexate, warfarin, HIV antivirals).</w:t>
            </w:r>
          </w:p>
          <w:p>
            <w:pPr>
              <w:spacing w:after="40"/>
            </w:pPr>
            <w:r>
              <w:rPr>
                <w:rFonts w:ascii="Arial" w:cs="Arial" w:eastAsia="Arial" w:hAnsi="Arial"/>
                <w:b w:val="false"/>
                <w:bCs w:val="false"/>
                <w:sz w:val="16"/>
                <w:szCs w:val="16"/>
              </w:rPr>
              <w:t xml:space="preserve">Check magnesium in long-term use.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30 to 60 minutes before a meal, usually before breakfast.</w:t>
            </w:r>
          </w:p>
          <w:p>
            <w:pPr>
              <w:spacing w:after="40"/>
            </w:pPr>
            <w:r>
              <w:rPr>
                <w:rFonts w:ascii="Arial" w:cs="Arial" w:eastAsia="Arial" w:hAnsi="Arial"/>
                <w:b w:val="false"/>
                <w:bCs w:val="false"/>
                <w:sz w:val="16"/>
                <w:szCs w:val="16"/>
              </w:rPr>
              <w:t xml:space="preserve">Delayed-release forms: swallow whole, do not crush or chew unless the product allows dispersal.</w:t>
            </w:r>
          </w:p>
          <w:p>
            <w:pPr>
              <w:spacing w:after="40"/>
            </w:pPr>
            <w:r>
              <w:rPr>
                <w:rFonts w:ascii="Arial" w:cs="Arial" w:eastAsia="Arial" w:hAnsi="Arial"/>
                <w:b w:val="false"/>
                <w:bCs w:val="false"/>
                <w:sz w:val="16"/>
                <w:szCs w:val="16"/>
              </w:rPr>
              <w:t xml:space="preserve">IV forms: give per the product label; flush the line.</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symptom relief.</w:t>
            </w:r>
          </w:p>
          <w:p>
            <w:pPr>
              <w:spacing w:after="40"/>
            </w:pPr>
            <w:r>
              <w:rPr>
                <w:rFonts w:ascii="Arial" w:cs="Arial" w:eastAsia="Arial" w:hAnsi="Arial"/>
                <w:b w:val="false"/>
                <w:bCs w:val="false"/>
                <w:sz w:val="16"/>
                <w:szCs w:val="16"/>
              </w:rPr>
              <w:t xml:space="preserve">Monitor for diarrhoea (C. difficile) and signs of GI bleeding; in long-term therapy monitor magnesium, B12 and bone health.</w:t>
            </w:r>
          </w:p>
          <w:p>
            <w:pPr>
              <w:spacing w:after="40"/>
            </w:pPr>
            <w:r>
              <w:rPr>
                <w:rFonts w:ascii="Arial" w:cs="Arial" w:eastAsia="Arial" w:hAnsi="Arial"/>
                <w:b w:val="false"/>
                <w:bCs w:val="false"/>
                <w:sz w:val="16"/>
                <w:szCs w:val="16"/>
              </w:rPr>
              <w:t xml:space="preserve">Teach lifestyle measures (smaller meals, avoid late meals, trigger foods, alcohol and smoking; elevate head of bed) and to complete the full H. pylori antibiotic course.</w:t>
            </w:r>
          </w:p>
          <w:p>
            <w:pPr>
              <w:spacing w:after="40"/>
            </w:pPr>
            <w:r>
              <w:rPr>
                <w:rFonts w:ascii="Arial" w:cs="Arial" w:eastAsia="Arial" w:hAnsi="Arial"/>
                <w:b w:val="false"/>
                <w:bCs w:val="false"/>
                <w:sz w:val="16"/>
                <w:szCs w:val="16"/>
              </w:rPr>
              <w:t xml:space="preserve">Review whether ongoing use is still needed.</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Lansoprazole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Check allergies; confirm the indication.</w:t>
            </w:r>
          </w:p>
          <w:p>
            <w:pPr>
              <w:spacing w:after="40"/>
            </w:pPr>
            <w:r>
              <w:rPr>
                <w:rFonts w:ascii="Arial" w:cs="Arial" w:eastAsia="Arial" w:hAnsi="Arial"/>
                <w:b w:val="false"/>
                <w:bCs w:val="false"/>
                <w:sz w:val="16"/>
                <w:szCs w:val="16"/>
              </w:rPr>
              <w:t xml:space="preserve">Assess GI symptoms and screen for red flags (dysphagia, unintentional weight loss, melaena, vomiting blood, persistent vomiting), which need medical review.</w:t>
            </w:r>
          </w:p>
          <w:p>
            <w:pPr>
              <w:spacing w:after="40"/>
            </w:pPr>
            <w:r>
              <w:rPr>
                <w:rFonts w:ascii="Arial" w:cs="Arial" w:eastAsia="Arial" w:hAnsi="Arial"/>
                <w:b w:val="false"/>
                <w:bCs w:val="false"/>
                <w:sz w:val="16"/>
                <w:szCs w:val="16"/>
              </w:rPr>
              <w:t xml:space="preserve">Review interacting drugs (clopidogrel with omeprazole or esomeprazole, methotrexate, warfarin, HIV antivirals).</w:t>
            </w:r>
          </w:p>
          <w:p>
            <w:pPr>
              <w:spacing w:after="40"/>
            </w:pPr>
            <w:r>
              <w:rPr>
                <w:rFonts w:ascii="Arial" w:cs="Arial" w:eastAsia="Arial" w:hAnsi="Arial"/>
                <w:b w:val="false"/>
                <w:bCs w:val="false"/>
                <w:sz w:val="16"/>
                <w:szCs w:val="16"/>
              </w:rPr>
              <w:t xml:space="preserve">Check magnesium in long-term use.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30 to 60 minutes before a meal, usually before breakfast.</w:t>
            </w:r>
          </w:p>
          <w:p>
            <w:pPr>
              <w:spacing w:after="40"/>
            </w:pPr>
            <w:r>
              <w:rPr>
                <w:rFonts w:ascii="Arial" w:cs="Arial" w:eastAsia="Arial" w:hAnsi="Arial"/>
                <w:b w:val="false"/>
                <w:bCs w:val="false"/>
                <w:sz w:val="16"/>
                <w:szCs w:val="16"/>
              </w:rPr>
              <w:t xml:space="preserve">Delayed-release forms: swallow whole, do not crush or chew unless the product allows dispersal.</w:t>
            </w:r>
          </w:p>
          <w:p>
            <w:pPr>
              <w:spacing w:after="40"/>
            </w:pPr>
            <w:r>
              <w:rPr>
                <w:rFonts w:ascii="Arial" w:cs="Arial" w:eastAsia="Arial" w:hAnsi="Arial"/>
                <w:b w:val="false"/>
                <w:bCs w:val="false"/>
                <w:sz w:val="16"/>
                <w:szCs w:val="16"/>
              </w:rPr>
              <w:t xml:space="preserve">IV forms: give per the product label; flush the line.</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symptom relief.</w:t>
            </w:r>
          </w:p>
          <w:p>
            <w:pPr>
              <w:spacing w:after="40"/>
            </w:pPr>
            <w:r>
              <w:rPr>
                <w:rFonts w:ascii="Arial" w:cs="Arial" w:eastAsia="Arial" w:hAnsi="Arial"/>
                <w:b w:val="false"/>
                <w:bCs w:val="false"/>
                <w:sz w:val="16"/>
                <w:szCs w:val="16"/>
              </w:rPr>
              <w:t xml:space="preserve">Monitor for diarrhoea (C. difficile) and signs of GI bleeding; in long-term therapy monitor magnesium, B12 and bone health.</w:t>
            </w:r>
          </w:p>
          <w:p>
            <w:pPr>
              <w:spacing w:after="40"/>
            </w:pPr>
            <w:r>
              <w:rPr>
                <w:rFonts w:ascii="Arial" w:cs="Arial" w:eastAsia="Arial" w:hAnsi="Arial"/>
                <w:b w:val="false"/>
                <w:bCs w:val="false"/>
                <w:sz w:val="16"/>
                <w:szCs w:val="16"/>
              </w:rPr>
              <w:t xml:space="preserve">Teach lifestyle measures (smaller meals, avoid late meals, trigger foods, alcohol and smoking; elevate head of bed) and to complete the full H. pylori antibiotic course.</w:t>
            </w:r>
          </w:p>
          <w:p>
            <w:pPr>
              <w:spacing w:after="40"/>
            </w:pPr>
            <w:r>
              <w:rPr>
                <w:rFonts w:ascii="Arial" w:cs="Arial" w:eastAsia="Arial" w:hAnsi="Arial"/>
                <w:b w:val="false"/>
                <w:bCs w:val="false"/>
                <w:sz w:val="16"/>
                <w:szCs w:val="16"/>
              </w:rPr>
              <w:t xml:space="preserve">Review whether ongoing use is still needed.</w:t>
            </w:r>
          </w:p>
        </w:tc>
      </w:tr>
      <w:tr>
        <w:tc>
          <w:tcPr>
            <w:tcW w:type="dxa" w:w="1300"/>
            <w:tcBorders>
              <w:top w:val="single" w:color="999999" w:sz="4"/>
              <w:left w:val="single" w:color="999999" w:sz="4"/>
              <w:bottom w:val="single" w:color="999999" w:sz="4"/>
              <w:right w:val="single" w:color="999999" w:sz="4"/>
            </w:tcBorders>
            <w:shd w:fill="EAF1F8" w:color="auto" w:val="clear"/>
            <w:tcMar>
              <w:top w:type="dxa" w:w="50"/>
              <w:left w:type="dxa" w:w="80"/>
              <w:bottom w:type="dxa" w:w="50"/>
              <w:right w:type="dxa" w:w="80"/>
            </w:tcMar>
          </w:tcPr>
          <w:p>
            <w:pPr>
              <w:spacing w:after="40"/>
            </w:pPr>
            <w:r>
              <w:rPr>
                <w:rFonts w:ascii="Arial" w:cs="Arial" w:eastAsia="Arial" w:hAnsi="Arial"/>
                <w:b/>
                <w:bCs/>
                <w:sz w:val="16"/>
                <w:szCs w:val="16"/>
              </w:rPr>
              <w:t xml:space="preserve">Rabeprazole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Check allergies; confirm the indication.</w:t>
            </w:r>
          </w:p>
          <w:p>
            <w:pPr>
              <w:spacing w:after="40"/>
            </w:pPr>
            <w:r>
              <w:rPr>
                <w:rFonts w:ascii="Arial" w:cs="Arial" w:eastAsia="Arial" w:hAnsi="Arial"/>
                <w:b w:val="false"/>
                <w:bCs w:val="false"/>
                <w:sz w:val="16"/>
                <w:szCs w:val="16"/>
              </w:rPr>
              <w:t xml:space="preserve">Assess GI symptoms and screen for red flags (dysphagia, unintentional weight loss, melaena, vomiting blood, persistent vomiting), which need medical review.</w:t>
            </w:r>
          </w:p>
          <w:p>
            <w:pPr>
              <w:spacing w:after="40"/>
            </w:pPr>
            <w:r>
              <w:rPr>
                <w:rFonts w:ascii="Arial" w:cs="Arial" w:eastAsia="Arial" w:hAnsi="Arial"/>
                <w:b w:val="false"/>
                <w:bCs w:val="false"/>
                <w:sz w:val="16"/>
                <w:szCs w:val="16"/>
              </w:rPr>
              <w:t xml:space="preserve">Review interacting drugs (clopidogrel with omeprazole or esomeprazole, methotrexate, warfarin, HIV antivirals).</w:t>
            </w:r>
          </w:p>
          <w:p>
            <w:pPr>
              <w:spacing w:after="40"/>
            </w:pPr>
            <w:r>
              <w:rPr>
                <w:rFonts w:ascii="Arial" w:cs="Arial" w:eastAsia="Arial" w:hAnsi="Arial"/>
                <w:b w:val="false"/>
                <w:bCs w:val="false"/>
                <w:sz w:val="16"/>
                <w:szCs w:val="16"/>
              </w:rPr>
              <w:t xml:space="preserve">Check magnesium in long-term use.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Give 30 to 60 minutes before a meal, usually before breakfast.</w:t>
            </w:r>
          </w:p>
          <w:p>
            <w:pPr>
              <w:spacing w:after="40"/>
            </w:pPr>
            <w:r>
              <w:rPr>
                <w:rFonts w:ascii="Arial" w:cs="Arial" w:eastAsia="Arial" w:hAnsi="Arial"/>
                <w:b w:val="false"/>
                <w:bCs w:val="false"/>
                <w:sz w:val="16"/>
                <w:szCs w:val="16"/>
              </w:rPr>
              <w:t xml:space="preserve">Delayed-release forms: swallow whole, do not crush or chew unless the product allows dispersal.</w:t>
            </w:r>
          </w:p>
          <w:p>
            <w:pPr>
              <w:spacing w:after="40"/>
            </w:pPr>
            <w:r>
              <w:rPr>
                <w:rFonts w:ascii="Arial" w:cs="Arial" w:eastAsia="Arial" w:hAnsi="Arial"/>
                <w:b w:val="false"/>
                <w:bCs w:val="false"/>
                <w:sz w:val="16"/>
                <w:szCs w:val="16"/>
              </w:rPr>
              <w:t xml:space="preserve">IV forms: give per the product label; flush the line.</w:t>
            </w:r>
          </w:p>
        </w:tc>
        <w:tc>
          <w:tcPr>
            <w:tcW w:type="dxa" w:w="5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b w:val="false"/>
                <w:bCs w:val="false"/>
                <w:sz w:val="16"/>
                <w:szCs w:val="16"/>
              </w:rPr>
              <w:t xml:space="preserve">Reassess symptom relief.</w:t>
            </w:r>
          </w:p>
          <w:p>
            <w:pPr>
              <w:spacing w:after="40"/>
            </w:pPr>
            <w:r>
              <w:rPr>
                <w:rFonts w:ascii="Arial" w:cs="Arial" w:eastAsia="Arial" w:hAnsi="Arial"/>
                <w:b w:val="false"/>
                <w:bCs w:val="false"/>
                <w:sz w:val="16"/>
                <w:szCs w:val="16"/>
              </w:rPr>
              <w:t xml:space="preserve">Monitor for diarrhoea (C. difficile) and signs of GI bleeding; in long-term therapy monitor magnesium, B12 and bone health.</w:t>
            </w:r>
          </w:p>
          <w:p>
            <w:pPr>
              <w:spacing w:after="40"/>
            </w:pPr>
            <w:r>
              <w:rPr>
                <w:rFonts w:ascii="Arial" w:cs="Arial" w:eastAsia="Arial" w:hAnsi="Arial"/>
                <w:b w:val="false"/>
                <w:bCs w:val="false"/>
                <w:sz w:val="16"/>
                <w:szCs w:val="16"/>
              </w:rPr>
              <w:t xml:space="preserve">Teach lifestyle measures (smaller meals, avoid late meals, trigger foods, alcohol and smoking; elevate head of bed) and to complete the full H. pylori antibiotic course.</w:t>
            </w:r>
          </w:p>
          <w:p>
            <w:pPr>
              <w:spacing w:after="40"/>
            </w:pPr>
            <w:r>
              <w:rPr>
                <w:rFonts w:ascii="Arial" w:cs="Arial" w:eastAsia="Arial" w:hAnsi="Arial"/>
                <w:b w:val="false"/>
                <w:bCs w:val="false"/>
                <w:sz w:val="16"/>
                <w:szCs w:val="16"/>
              </w:rPr>
              <w:t xml:space="preserve">Review whether ongoing use is still needed.</w:t>
            </w:r>
          </w:p>
        </w:tc>
      </w:tr>
    </w:tbl>
    <w:p>
      <w:pPr>
        <w:pStyle w:val="Heading1"/>
        <w:pageBreakBefore/>
        <w:spacing w:after="120" w:before="0"/>
      </w:pPr>
      <w:r>
        <w:rPr>
          <w:rFonts w:ascii="Arial" w:cs="Arial" w:eastAsia="Arial" w:hAnsi="Arial"/>
          <w:b/>
          <w:bCs/>
          <w:color w:val="1F4E79"/>
          <w:sz w:val="30"/>
          <w:szCs w:val="30"/>
        </w:rPr>
        <w:t xml:space="preserve">REFERENCES</w:t>
      </w:r>
    </w:p>
    <w:p>
      <w:pPr>
        <w:spacing w:after="100"/>
      </w:pPr>
      <w:r>
        <w:rPr>
          <w:rFonts w:ascii="Arial" w:cs="Arial" w:eastAsia="Arial" w:hAnsi="Arial"/>
          <w:sz w:val="18"/>
          <w:szCs w:val="18"/>
        </w:rPr>
        <w:t xml:space="preserve">Sources to cite (check the editions your university uses; edition and page numbers were not verified):</w:t>
      </w:r>
    </w:p>
    <w:p>
      <w:pPr>
        <w:pStyle w:val="ListParagraph"/>
        <w:numPr>
          <w:ilvl w:val="0"/>
          <w:numId w:val="2"/>
        </w:numPr>
        <w:spacing w:after="60"/>
      </w:pPr>
      <w:r>
        <w:rPr>
          <w:rFonts w:ascii="Arial" w:cs="Arial" w:eastAsia="Arial" w:hAnsi="Arial"/>
          <w:sz w:val="18"/>
          <w:szCs w:val="18"/>
        </w:rPr>
        <w:t xml:space="preserve">Australian Medicines Handbook (current online edition). Adelaide: Australian Medicines Handbook Pty Ltd.</w:t>
      </w:r>
    </w:p>
    <w:p>
      <w:pPr>
        <w:pStyle w:val="ListParagraph"/>
        <w:numPr>
          <w:ilvl w:val="0"/>
          <w:numId w:val="2"/>
        </w:numPr>
        <w:spacing w:after="60"/>
      </w:pPr>
      <w:r>
        <w:rPr>
          <w:rFonts w:ascii="Arial" w:cs="Arial" w:eastAsia="Arial" w:hAnsi="Arial"/>
          <w:sz w:val="18"/>
          <w:szCs w:val="18"/>
        </w:rPr>
        <w:t xml:space="preserve">MIMS Australia / TGA-approved Product Information for each drug.</w:t>
      </w:r>
    </w:p>
    <w:p>
      <w:pPr>
        <w:pStyle w:val="ListParagraph"/>
        <w:numPr>
          <w:ilvl w:val="0"/>
          <w:numId w:val="2"/>
        </w:numPr>
        <w:spacing w:after="60"/>
      </w:pPr>
      <w:r>
        <w:rPr>
          <w:rFonts w:ascii="Arial" w:cs="Arial" w:eastAsia="Arial" w:hAnsi="Arial"/>
          <w:sz w:val="18"/>
          <w:szCs w:val="18"/>
        </w:rPr>
        <w:t xml:space="preserve">Tiziani, A. Havard's Nursing Guide to Drugs (Elsevier, Australian edition).</w:t>
      </w:r>
    </w:p>
    <w:p>
      <w:pPr>
        <w:pStyle w:val="ListParagraph"/>
        <w:numPr>
          <w:ilvl w:val="0"/>
          <w:numId w:val="2"/>
        </w:numPr>
        <w:spacing w:after="60"/>
      </w:pPr>
      <w:r>
        <w:rPr>
          <w:rFonts w:ascii="Arial" w:cs="Arial" w:eastAsia="Arial" w:hAnsi="Arial"/>
          <w:sz w:val="18"/>
          <w:szCs w:val="18"/>
        </w:rPr>
        <w:t xml:space="preserve">Lilley, L. L. et al. Pharmacology and the Nursing Process (Elsevier, ANZ edition).</w:t>
      </w:r>
    </w:p>
    <w:p>
      <w:pPr>
        <w:pStyle w:val="ListParagraph"/>
        <w:numPr>
          <w:ilvl w:val="0"/>
          <w:numId w:val="2"/>
        </w:numPr>
        <w:spacing w:after="60"/>
      </w:pPr>
      <w:r>
        <w:rPr>
          <w:rFonts w:ascii="Arial" w:cs="Arial" w:eastAsia="Arial" w:hAnsi="Arial"/>
          <w:sz w:val="18"/>
          <w:szCs w:val="18"/>
        </w:rPr>
        <w:t xml:space="preserve">Karch, A. M. Focus on Nursing Pharmacology (Wolters Kluwer).</w:t>
      </w:r>
    </w:p>
    <w:p>
      <w:pPr>
        <w:pStyle w:val="ListParagraph"/>
        <w:numPr>
          <w:ilvl w:val="0"/>
          <w:numId w:val="2"/>
        </w:numPr>
        <w:spacing w:after="60"/>
      </w:pPr>
      <w:r>
        <w:rPr>
          <w:rFonts w:ascii="Arial" w:cs="Arial" w:eastAsia="Arial" w:hAnsi="Arial"/>
          <w:sz w:val="18"/>
          <w:szCs w:val="18"/>
        </w:rPr>
        <w:t xml:space="preserve">Therapeutic Guidelines (eTG). Therapeutic Guidelines Limited.</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4"/>
        <w:szCs w:val="14"/>
      </w:rPr>
      <w:t xml:space="preserve">Drug Study - page </w:t>
    </w:r>
    <w:r>
      <w:rPr>
        <w:rFonts w:ascii="Arial" w:cs="Arial" w:eastAsia="Arial" w:hAnsi="Arial"/>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2026-10-04T03:48:53.206Z</dcterms:created>
  <dcterms:modified xsi:type="dcterms:W3CDTF">2026-10-04T03:48:53.209Z</dcterms:modified>
</cp:coreProperties>
</file>

<file path=docProps/custom.xml><?xml version="1.0" encoding="utf-8"?>
<Properties xmlns="http://schemas.openxmlformats.org/officeDocument/2006/custom-properties" xmlns:vt="http://schemas.openxmlformats.org/officeDocument/2006/docPropsVTypes"/>
</file>