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color w:val="000000"/>
          <w:sz w:val="32"/>
        </w:rPr>
        <w:t>TITRE</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Question de recherche : entre 1961 et 2021, comment l'écart de revenu d'emploi et de statut socioprofessionnel entre francophones et anglophones de langue maternelle au Québec a-t-il évolué, et à partir de quel recensement cet écart s'est-il inversé, si tant est qu'il l'ait fait ?</w:t>
      </w:r>
    </w:p>
    <w:p>
      <w:pPr>
        <w:spacing w:before="96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[Sigle et titre du cours]</w:t>
      </w:r>
    </w:p>
    <w:p>
      <w:pPr>
        <w:spacing w:before="0" w:line="480" w:lineRule="auto"/>
        <w:jc w:val="center"/>
      </w:pPr>
      <w:r>
        <w:rPr>
          <w:rFonts w:ascii="Times New Roman" w:hAnsi="Times New Roman" w:eastAsia="Times New Roman" w:cs="Times New Roman"/>
          <w:b w:val="0"/>
          <w:color w:val="000000"/>
          <w:sz w:val="24"/>
        </w:rPr>
        <w:t>[Département et université]</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3 septembre 2026</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Nombre total de mots : 1273 (page titre et bibliographie exclues)</w:t>
      </w:r>
    </w:p>
    <w:p>
      <w:pPr>
        <w:sectPr>
          <w:headerReference w:type="default" r:id="rId9"/>
          <w:pgSz w:w="12240" w:h="15840"/>
          <w:pgMar w:top="1417" w:right="1417" w:bottom="1417" w:left="1417" w:header="720" w:footer="720" w:gutter="0"/>
          <w:cols w:space="720"/>
          <w:docGrid w:linePitch="360"/>
        </w:sectPr>
      </w:pPr>
    </w:p>
    <w:p>
      <w:pPr>
        <w:pStyle w:val="Heading1"/>
      </w:pPr>
      <w:r>
        <w:rPr>
          <w:rFonts w:ascii="Times New Roman" w:hAnsi="Times New Roman" w:eastAsia="Times New Roman" w:cs="Times New Roman"/>
          <w:b/>
          <w:color w:val="000000"/>
          <w:sz w:val="24"/>
        </w:rPr>
        <w:t>1. Méthode de repérage des références</w:t>
      </w:r>
    </w:p>
    <w:p>
      <w:pPr>
        <w:pStyle w:val="Heading2"/>
      </w:pPr>
      <w:r>
        <w:rPr>
          <w:rFonts w:ascii="Times New Roman" w:hAnsi="Times New Roman" w:eastAsia="Times New Roman" w:cs="Times New Roman"/>
          <w:b/>
          <w:color w:val="000000"/>
          <w:sz w:val="24"/>
        </w:rPr>
        <w:t>1.1 Principe : la revue par « boule de neige »</w:t>
      </w:r>
    </w:p>
    <w:p>
      <w:pPr>
        <w:spacing w:line="480" w:lineRule="auto"/>
        <w:jc w:val="both"/>
      </w:pPr>
      <w:r>
        <w:rPr>
          <w:rFonts w:ascii="Times New Roman" w:hAnsi="Times New Roman" w:eastAsia="Times New Roman" w:cs="Times New Roman"/>
          <w:color w:val="000000"/>
          <w:sz w:val="24"/>
        </w:rPr>
        <w:t xml:space="preserve">Le repérage des sources repose sur la méthode du </w:t>
      </w:r>
      <w:r>
        <w:rPr>
          <w:rFonts w:ascii="Times New Roman" w:hAnsi="Times New Roman" w:eastAsia="Times New Roman" w:cs="Times New Roman"/>
          <w:i/>
          <w:color w:val="000000"/>
          <w:sz w:val="24"/>
        </w:rPr>
        <w:t>snowballing</w:t>
      </w:r>
      <w:r>
        <w:rPr>
          <w:rFonts w:ascii="Times New Roman" w:hAnsi="Times New Roman" w:eastAsia="Times New Roman" w:cs="Times New Roman"/>
          <w:color w:val="000000"/>
          <w:sz w:val="24"/>
        </w:rPr>
        <w:t xml:space="preserve"> (perles de littérature) telle que décrite par Jalali et Wohlin (2012) et enseignée par la Chaire de leadership en enseignement des sciences sociales numériques (CLESSN). Plutôt que d'interroger plusieurs bases de données avec des mots-clés, on part d'un petit ensemble de publications récentes et centrales, puis on dépouille systématiquement leurs listes de références (</w:t>
      </w:r>
      <w:r>
        <w:rPr>
          <w:rFonts w:ascii="Times New Roman" w:hAnsi="Times New Roman" w:eastAsia="Times New Roman" w:cs="Times New Roman"/>
          <w:i/>
          <w:color w:val="000000"/>
          <w:sz w:val="24"/>
        </w:rPr>
        <w:t>backward snowballing</w:t>
      </w:r>
      <w:r>
        <w:rPr>
          <w:rFonts w:ascii="Times New Roman" w:hAnsi="Times New Roman" w:eastAsia="Times New Roman" w:cs="Times New Roman"/>
          <w:color w:val="000000"/>
          <w:sz w:val="24"/>
        </w:rPr>
        <w:t>) et les publications qui les citent (</w:t>
      </w:r>
      <w:r>
        <w:rPr>
          <w:rFonts w:ascii="Times New Roman" w:hAnsi="Times New Roman" w:eastAsia="Times New Roman" w:cs="Times New Roman"/>
          <w:i/>
          <w:color w:val="000000"/>
          <w:sz w:val="24"/>
        </w:rPr>
        <w:t>forward snowballing</w:t>
      </w:r>
      <w:r>
        <w:rPr>
          <w:rFonts w:ascii="Times New Roman" w:hAnsi="Times New Roman" w:eastAsia="Times New Roman" w:cs="Times New Roman"/>
          <w:color w:val="000000"/>
          <w:sz w:val="24"/>
        </w:rPr>
        <w:t xml:space="preserve">). Chaque publication retenue devient à son tour un point de départ, et l'on répète l'opération jusqu'à saturation, c'est-à-dire jusqu'à ce qu'une ronde n'apporte plus de référence pertinente. L'ensemble des publications repérées, ainsi que la bibliographie dépouillée de chacune, est consigné dans une grille (fichier </w:t>
      </w:r>
      <w:r>
        <w:rPr>
          <w:rFonts w:ascii="Times New Roman" w:hAnsi="Times New Roman" w:eastAsia="Times New Roman" w:cs="Times New Roman"/>
          <w:color w:val="000000"/>
          <w:sz w:val="24"/>
        </w:rPr>
        <w:t>Data/grille_snowballing.csv</w:t>
      </w:r>
      <w:r>
        <w:rPr>
          <w:rFonts w:ascii="Times New Roman" w:hAnsi="Times New Roman" w:eastAsia="Times New Roman" w:cs="Times New Roman"/>
          <w:color w:val="000000"/>
          <w:sz w:val="24"/>
        </w:rPr>
        <w:t xml:space="preserve"> et </w:t>
      </w:r>
      <w:r>
        <w:rPr>
          <w:rFonts w:ascii="Times New Roman" w:hAnsi="Times New Roman" w:eastAsia="Times New Roman" w:cs="Times New Roman"/>
          <w:color w:val="000000"/>
          <w:sz w:val="24"/>
        </w:rPr>
        <w:t>Data/grille_snowballing.xlsx</w:t>
      </w:r>
      <w:r>
        <w:rPr>
          <w:rFonts w:ascii="Times New Roman" w:hAnsi="Times New Roman" w:eastAsia="Times New Roman" w:cs="Times New Roman"/>
          <w:color w:val="000000"/>
          <w:sz w:val="24"/>
        </w:rPr>
        <w:t xml:space="preserve"> du dépôt).</w:t>
      </w:r>
    </w:p>
    <w:p>
      <w:pPr>
        <w:pStyle w:val="Heading2"/>
      </w:pPr>
      <w:r>
        <w:rPr>
          <w:rFonts w:ascii="Times New Roman" w:hAnsi="Times New Roman" w:eastAsia="Times New Roman" w:cs="Times New Roman"/>
          <w:b/>
          <w:color w:val="000000"/>
          <w:sz w:val="24"/>
        </w:rPr>
        <w:t>1.2 Ensemble de départ</w:t>
      </w:r>
    </w:p>
    <w:p>
      <w:pPr>
        <w:spacing w:line="480" w:lineRule="auto"/>
        <w:jc w:val="both"/>
      </w:pPr>
      <w:r>
        <w:rPr>
          <w:rFonts w:ascii="Times New Roman" w:hAnsi="Times New Roman" w:eastAsia="Times New Roman" w:cs="Times New Roman"/>
          <w:color w:val="000000"/>
          <w:sz w:val="24"/>
        </w:rPr>
        <w:t>L'ensemble de départ compte onze publications choisies pour couvrir les différentes communautés savantes qui s'intéressent à la question : l'économie du langage et du travail (Albouy, 2008 ; Nadeau, 2010 ; Christofides et Swidinsky, 2010 ; Vaillancourt et al., 2013 ; Vaillancourt et al., 2024), l'histoire économique (Dean et Geloso, 2022 ; Gagnon et al., 2023), la sociologie et la démographie (Béland et al., 2010), la psychologie sociale et l'aménagement linguistique (Bourhis, 2019 ; Grenier, 2019) et la littérature grise récente sur le recensement de 2021 (Donovan et Bell, 2024). Ces textes ont été repérés à partir des mots-clés de la question de recherche et de leurs synonymes (francophones, anglophones, langue maternelle, revenu de travail, écart salarial, statut socioprofessionnel, mobilité, propriété des entreprises, Québec, recensement, Loi 101) dans le moteur académique Consensus et par recherche web.</w:t>
      </w:r>
    </w:p>
    <w:p>
      <w:pPr>
        <w:pStyle w:val="Heading2"/>
      </w:pPr>
      <w:r>
        <w:rPr>
          <w:rFonts w:ascii="Times New Roman" w:hAnsi="Times New Roman" w:eastAsia="Times New Roman" w:cs="Times New Roman"/>
          <w:b/>
          <w:color w:val="000000"/>
          <w:sz w:val="24"/>
        </w:rPr>
        <w:t>1.3 Rondes de dépouillement</w:t>
      </w:r>
    </w:p>
    <w:p>
      <w:pPr>
        <w:spacing w:line="480" w:lineRule="auto"/>
        <w:jc w:val="both"/>
      </w:pPr>
      <w:r>
        <w:rPr>
          <w:rFonts w:ascii="Times New Roman" w:hAnsi="Times New Roman" w:eastAsia="Times New Roman" w:cs="Times New Roman"/>
          <w:color w:val="000000"/>
          <w:sz w:val="24"/>
        </w:rPr>
        <w:t xml:space="preserve">Trois rondes ont été nécessaires. La première ronde a dépouillé les bibliographies des onze textes de départ et repéré leurs citants : elle a fait émerger le noyau de l'économie du langage au Québec (Vaillancourt, 1980 ; Carliner, 1981 ; Lacroix et Vaillancourt, 1981 ; Shapiro et Stelcner, 1987, 1997 ; Grenier, 1987 ; Bloom et Grenier, 1992), les documents fondateurs issus du recensement de 1961 (Commission royale d'enquête sur le bilinguisme et le biculturalisme, 1969 ; Raynauld, Marion et Béland, 1966 ; Raynauld, 1974) et les travaux sociologiques sur la stratification linguistique (Porter, 1965 ; Lieberson, 1970 ; Lanphier et Morris, 1974 ; Fenwick, 1982 ; Levine, 1990). La deuxième ronde a dépouillé ces nouvelles publications et ajouté les études de mobilité et d'attainment du statut (de Jocas et Rocher, 1957 ; McRoberts et al., 1976 ; Boyd et al., 1985 ; Béland, 1987 ; Laczko, 1995), les explications théoriques (Migué, 1970 ; Dofny et Rioux, 1962 ; Guindon, 1964 ; McRoberts, 1979) et la série de rapports sur la propriété des entreprises et les revenus de travail (Vaillancourt, 1988, 1991 ; Vaillancourt et Carpentier, 1989 ; Sales et Bélanger, 1985 ; Vaillancourt et Touchette, 2001 ; Vaillancourt et Vaillancourt, 2005 ; Vaillancourt, 2018, 2020). La troisième ronde a raffiné le repérage en examinant les publications qui citent l'échelle de classes professionnelles de Blishen (1958) et </w:t>
      </w:r>
      <w:r>
        <w:rPr>
          <w:rFonts w:ascii="Times New Roman" w:hAnsi="Times New Roman" w:eastAsia="Times New Roman" w:cs="Times New Roman"/>
          <w:i/>
          <w:color w:val="000000"/>
          <w:sz w:val="24"/>
        </w:rPr>
        <w:t>The Vertical Mosaic</w:t>
      </w:r>
      <w:r>
        <w:rPr>
          <w:rFonts w:ascii="Times New Roman" w:hAnsi="Times New Roman" w:eastAsia="Times New Roman" w:cs="Times New Roman"/>
          <w:color w:val="000000"/>
          <w:sz w:val="24"/>
        </w:rPr>
        <w:t xml:space="preserve"> de Porter (1965), en ne retenant que celles qui traitent des francophones et des anglophones (Blishen, 1970 ; Cuneo et Curtis, 1975 ; Darroch, 1979 ; Ogmundson et McLaughlin, 1992 ; Nakhaie, 1997 ; Wanner, 1999, 2005). Au terme de ces rondes, le corpus compte 103 publications dont 101 bibliographies ont été dépouillées ; la dernière ronde n'a plus produit de référence nouvelle répondant aux critères, ce qui marque la saturation.</w:t>
      </w:r>
    </w:p>
    <w:p>
      <w:pPr>
        <w:pStyle w:val="Heading2"/>
      </w:pPr>
      <w:r>
        <w:rPr>
          <w:rFonts w:ascii="Times New Roman" w:hAnsi="Times New Roman" w:eastAsia="Times New Roman" w:cs="Times New Roman"/>
          <w:b/>
          <w:color w:val="000000"/>
          <w:sz w:val="24"/>
        </w:rPr>
        <w:t>1.4 Critères d'inclusion</w:t>
      </w:r>
    </w:p>
    <w:p>
      <w:pPr>
        <w:spacing w:line="480" w:lineRule="auto"/>
        <w:jc w:val="both"/>
      </w:pPr>
      <w:r>
        <w:rPr>
          <w:rFonts w:ascii="Times New Roman" w:hAnsi="Times New Roman" w:eastAsia="Times New Roman" w:cs="Times New Roman"/>
          <w:color w:val="000000"/>
          <w:sz w:val="24"/>
        </w:rPr>
        <w:t>Une publication est retenue si elle compare explicitement les francophones et les anglophones du Québec (critère obligatoire, 2 points), si elle mesure le revenu d'emploi ou le statut socioprofessionnel (2 points), si elle couvre au moins un recensement de la période 1961-2021 (1 point) et si elle propose une explication de l'écart ou de son évolution (1 point). Les publications qui obtiennent au moins trois points sont incluses ; celles qui ne remplissent pas le critère obligatoire mais qui sont indispensables à la compréhension du problème (outils de mesure du statut, travaux sur la mosaïque verticale canadienne, études d'immigrants) sont conservées dans la grille avec le statut « contexte » sans entrer dans le classement.</w:t>
      </w:r>
    </w:p>
    <w:p>
      <w:pPr>
        <w:pStyle w:val="Heading2"/>
      </w:pPr>
      <w:r>
        <w:rPr>
          <w:rFonts w:ascii="Times New Roman" w:hAnsi="Times New Roman" w:eastAsia="Times New Roman" w:cs="Times New Roman"/>
          <w:b/>
          <w:color w:val="000000"/>
          <w:sz w:val="24"/>
        </w:rPr>
        <w:t>1.5 Indice de pertinence</w:t>
      </w:r>
    </w:p>
    <w:p>
      <w:pPr>
        <w:spacing w:line="480" w:lineRule="auto"/>
        <w:jc w:val="both"/>
      </w:pPr>
      <w:r>
        <w:rPr>
          <w:rFonts w:ascii="Times New Roman" w:hAnsi="Times New Roman" w:eastAsia="Times New Roman" w:cs="Times New Roman"/>
          <w:color w:val="000000"/>
          <w:sz w:val="24"/>
        </w:rPr>
        <w:t xml:space="preserve">Suivant la méthode CLESSN, chaque publication reçoit un indice de pertinence compris entre 0 et 1 qui combine trois indicateurs normalisés par la méthode min-max : le nombre de citations (transformé en logarithme pour atténuer l'asymétrie entre les classiques et les articles récents), l'année de publication (1 pour la plus récente, 0 pour la plus ancienne) et la pertinence, mesurée par la récurrence de la publication dans les bibliographies dépouillées du corpus. Les trois indicateurs reçoivent un poids égal (un tiers chacun), comme dans le script de référence de la CLESSN. La figure 1 présente les trente publications incluses qui obtiennent l'indice le plus élevé ; le code qui la produit figure dans ce document et dans le script </w:t>
      </w:r>
      <w:r>
        <w:rPr>
          <w:rFonts w:ascii="Times New Roman" w:hAnsi="Times New Roman" w:eastAsia="Times New Roman" w:cs="Times New Roman"/>
          <w:color w:val="000000"/>
          <w:sz w:val="24"/>
        </w:rPr>
        <w:t>CodeR/graphique_snowballing.R</w:t>
      </w:r>
      <w:r>
        <w:rPr>
          <w:rFonts w:ascii="Times New Roman" w:hAnsi="Times New Roman" w:eastAsia="Times New Roman" w:cs="Times New Roman"/>
          <w:color w:val="000000"/>
          <w:sz w:val="24"/>
        </w:rPr>
        <w:t>.</w:t>
      </w:r>
    </w:p>
    <w:p>
      <w:pPr>
        <w:jc w:val="center"/>
      </w:pPr>
      <w:r>
        <w:drawing>
          <wp:inline xmlns:a="http://schemas.openxmlformats.org/drawingml/2006/main" xmlns:pic="http://schemas.openxmlformats.org/drawingml/2006/picture">
            <wp:extent cx="5760720" cy="4874455"/>
            <wp:docPr id="1" name="Picture 1"/>
            <wp:cNvGraphicFramePr>
              <a:graphicFrameLocks noChangeAspect="1"/>
            </wp:cNvGraphicFramePr>
            <a:graphic>
              <a:graphicData uri="http://schemas.openxmlformats.org/drawingml/2006/picture">
                <pic:pic>
                  <pic:nvPicPr>
                    <pic:cNvPr id="0" name="lectures_snowballing_top30.png"/>
                    <pic:cNvPicPr/>
                  </pic:nvPicPr>
                  <pic:blipFill>
                    <a:blip r:embed="rId11"/>
                    <a:stretch>
                      <a:fillRect/>
                    </a:stretch>
                  </pic:blipFill>
                  <pic:spPr>
                    <a:xfrm>
                      <a:off x="0" y="0"/>
                      <a:ext cx="5760720" cy="4874455"/>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1. Liste des trente lectures les plus pertinentes selon l'indice de pertinence (moyenne à poids égaux des citations, de l'année et de la récurrence dans les bibliographies du corpus).</w:t>
      </w:r>
    </w:p>
    <w:p>
      <w:pPr>
        <w:spacing w:line="480" w:lineRule="auto"/>
        <w:jc w:val="both"/>
      </w:pPr>
      <w:r>
        <w:rPr>
          <w:rFonts w:ascii="Times New Roman" w:hAnsi="Times New Roman" w:eastAsia="Times New Roman" w:cs="Times New Roman"/>
          <w:color w:val="000000"/>
          <w:sz w:val="24"/>
        </w:rPr>
        <w:t>Les lectures de tête combinent les trois propriétés recherchées : des classiques très cités (Porter, 1965 ; Carliner, 1981 ; Lieberson, 1970), des textes que tout le corpus cite (Commission royale d'enquête sur le bilinguisme et le biculturalisme, 1969 ; Vaillancourt, 1980 ; Boulet, 1980) et des synthèses récentes (Albouy, 2008 ; Vaillancourt et al., 2007 ; Christofides et Swidinsky, 2010).</w:t>
      </w:r>
    </w:p>
    <w:p>
      <w:pPr>
        <w:pStyle w:val="Heading2"/>
      </w:pPr>
      <w:r>
        <w:rPr>
          <w:rFonts w:ascii="Times New Roman" w:hAnsi="Times New Roman" w:eastAsia="Times New Roman" w:cs="Times New Roman"/>
          <w:b/>
          <w:color w:val="000000"/>
          <w:sz w:val="24"/>
        </w:rPr>
        <w:t>1.6 Réseau de citations</w:t>
      </w:r>
    </w:p>
    <w:p>
      <w:pPr>
        <w:spacing w:line="480" w:lineRule="auto"/>
        <w:jc w:val="both"/>
      </w:pPr>
      <w:r>
        <w:rPr>
          <w:rFonts w:ascii="Times New Roman" w:hAnsi="Times New Roman" w:eastAsia="Times New Roman" w:cs="Times New Roman"/>
          <w:color w:val="000000"/>
          <w:sz w:val="24"/>
        </w:rPr>
        <w:t>Pour visualiser la structure du champ, on construit enfin le réseau de citations entre les trente lectures retenues : chaque publication est un nœud, chaque flèche relie une publication à celles qu'elle cite parmi les trente, la taille du point est proportionnelle au nombre de citations reçues des autres membres du groupe, et la disposition par forces (algorithme de Fruchterman et Reingold) rapproche les publications qui se citent mutuellement. Ce graphique permet de repérer d'un coup d'œil les textes fondateurs vers lesquels convergent les flèches (le Livre III de la Commission royale d'enquête sur le bilinguisme et le biculturalisme, l'étude de Raynauld, Marion et Béland, la thèse de Vaillancourt et le rapport de Boulet), les textes de synthèse qui citent beaucoup sans être encore cités (les rapports récents) et les lignées disciplinaires qui ne se citent guère entre elles (économie du langage et sociologie de la mobilité). La figure 2 présente ce réseau.</w:t>
      </w:r>
    </w:p>
    <w:p>
      <w:pPr>
        <w:jc w:val="center"/>
      </w:pPr>
      <w:r>
        <w:drawing>
          <wp:inline xmlns:a="http://schemas.openxmlformats.org/drawingml/2006/main" xmlns:pic="http://schemas.openxmlformats.org/drawingml/2006/picture">
            <wp:extent cx="5486400" cy="4457700"/>
            <wp:docPr id="2" name="Picture 2"/>
            <wp:cNvGraphicFramePr>
              <a:graphicFrameLocks noChangeAspect="1"/>
            </wp:cNvGraphicFramePr>
            <a:graphic>
              <a:graphicData uri="http://schemas.openxmlformats.org/drawingml/2006/picture">
                <pic:pic>
                  <pic:nvPicPr>
                    <pic:cNvPr id="0" name="reseau_citations_top30.png"/>
                    <pic:cNvPicPr/>
                  </pic:nvPicPr>
                  <pic:blipFill>
                    <a:blip r:embed="rId12"/>
                    <a:stretch>
                      <a:fillRect/>
                    </a:stretch>
                  </pic:blipFill>
                  <pic:spPr>
                    <a:xfrm>
                      <a:off x="0" y="0"/>
                      <a:ext cx="5486400" cy="4457700"/>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2. Réseau de citations entre les trente lectures les plus pertinentes (disposition par forces : les publications qui se citent sont rapprochées ; flèche : « cite » ; taille du point et nombre entre parenthèses : citations reçues des autres lectures du groupe).</w:t>
      </w:r>
    </w:p>
    <w:p>
      <w:pPr>
        <w:pStyle w:val="Heading2"/>
      </w:pPr>
      <w:r>
        <w:rPr>
          <w:rFonts w:ascii="Times New Roman" w:hAnsi="Times New Roman" w:eastAsia="Times New Roman" w:cs="Times New Roman"/>
          <w:b/>
          <w:color w:val="000000"/>
          <w:sz w:val="24"/>
        </w:rPr>
        <w:t>1.7 Limites</w:t>
      </w:r>
    </w:p>
    <w:p>
      <w:pPr>
        <w:spacing w:line="480" w:lineRule="auto"/>
        <w:jc w:val="both"/>
      </w:pPr>
      <w:r>
        <w:rPr>
          <w:rFonts w:ascii="Times New Roman" w:hAnsi="Times New Roman" w:eastAsia="Times New Roman" w:cs="Times New Roman"/>
          <w:color w:val="000000"/>
          <w:sz w:val="24"/>
        </w:rPr>
        <w:t xml:space="preserve">Les comptes de citations Google Scholar ont été relevés le 3 septembre 2026 pour </w:t>
      </w:r>
      <w:r>
        <w:rPr>
          <w:rFonts w:ascii="Times New Roman" w:hAnsi="Times New Roman" w:eastAsia="Times New Roman" w:cs="Times New Roman"/>
          <w:color w:val="000000"/>
          <w:sz w:val="24"/>
        </w:rPr>
        <w:t>r sum(!is.na(grille$citations_google_scholar))</w:t>
      </w:r>
      <w:r>
        <w:rPr>
          <w:rFonts w:ascii="Times New Roman" w:hAnsi="Times New Roman" w:eastAsia="Times New Roman" w:cs="Times New Roman"/>
          <w:color w:val="000000"/>
          <w:sz w:val="24"/>
        </w:rPr>
        <w:t xml:space="preserve"> publications, dont l'essentiel du classement, à l'aide du script </w:t>
      </w:r>
      <w:r>
        <w:rPr>
          <w:rFonts w:ascii="Times New Roman" w:hAnsi="Times New Roman" w:eastAsia="Times New Roman" w:cs="Times New Roman"/>
          <w:color w:val="000000"/>
          <w:sz w:val="24"/>
        </w:rPr>
        <w:t>Scripts/recuperer_citations_scholar.py</w:t>
      </w:r>
      <w:r>
        <w:rPr>
          <w:rFonts w:ascii="Times New Roman" w:hAnsi="Times New Roman" w:eastAsia="Times New Roman" w:cs="Times New Roman"/>
          <w:color w:val="000000"/>
          <w:sz w:val="24"/>
        </w:rPr>
        <w:t xml:space="preserve"> (bibliothèque </w:t>
      </w:r>
      <w:r>
        <w:rPr>
          <w:rFonts w:ascii="Times New Roman" w:hAnsi="Times New Roman" w:eastAsia="Times New Roman" w:cs="Times New Roman"/>
          <w:i/>
          <w:color w:val="000000"/>
          <w:sz w:val="24"/>
        </w:rPr>
        <w:t>scholarly</w:t>
      </w:r>
      <w:r>
        <w:rPr>
          <w:rFonts w:ascii="Times New Roman" w:hAnsi="Times New Roman" w:eastAsia="Times New Roman" w:cs="Times New Roman"/>
          <w:color w:val="000000"/>
          <w:sz w:val="24"/>
        </w:rPr>
        <w:t>). Pour les autres, le compte du moteur Consensus (données Semantic Scholar), systématiquement plus faible, a été ramené à l'échelle de Google Scholar par le ratio médian observé sur les publications qui disposent des deux comptes (</w:t>
      </w:r>
      <w:r>
        <w:rPr>
          <w:rFonts w:ascii="Times New Roman" w:hAnsi="Times New Roman" w:eastAsia="Times New Roman" w:cs="Times New Roman"/>
          <w:color w:val="000000"/>
          <w:sz w:val="24"/>
        </w:rPr>
        <w:t>r round(ratio, 2)</w:t>
      </w:r>
      <w:r>
        <w:rPr>
          <w:rFonts w:ascii="Times New Roman" w:hAnsi="Times New Roman" w:eastAsia="Times New Roman" w:cs="Times New Roman"/>
          <w:color w:val="000000"/>
          <w:sz w:val="24"/>
        </w:rPr>
        <w:t>) ; les rapports et ouvrages introuvables dans les deux sources se sont vu attribuer la médiane, ce qui est signalé dans la grille. Le rapport de la Commission royale d'enquête sur le bilinguisme et le biculturalisme est dispersé dans Google Scholar en de nombreuses notices, de sorte que son compte est sous-estimé. Les bibliographies ont été reconstituées à partir des références affichées par les moteurs bibliographiques et de la connaissance des textes plutôt qu'à partir des fichiers PDF, de sorte que les comptes de récurrence constituent des bornes inférieures à valider lors de la lecture. Enfin, la méthode par boule de neige tend à surreprésenter les auteurs les plus prolifiques d'un champ, ici l'économie du langage montréalaise, ce que la troisième ronde, ancrée dans la sociologie de la stratification, visait à corriger.</w:t>
      </w:r>
    </w:p>
    <w:p>
      <w:pPr>
        <w:pStyle w:val="Heading1"/>
      </w:pPr>
      <w:r>
        <w:rPr>
          <w:rFonts w:ascii="Times New Roman" w:hAnsi="Times New Roman" w:eastAsia="Times New Roman" w:cs="Times New Roman"/>
          <w:b/>
          <w:color w:val="000000"/>
          <w:sz w:val="24"/>
        </w:rPr>
        <w:t>2. Les trente lectures retenues</w:t>
      </w:r>
    </w:p>
    <w:p>
      <w:pPr>
        <w:spacing w:line="480" w:lineRule="auto"/>
        <w:jc w:val="both"/>
      </w:pPr>
      <w:r>
        <w:rPr>
          <w:rFonts w:ascii="Times New Roman" w:hAnsi="Times New Roman" w:eastAsia="Times New Roman" w:cs="Times New Roman"/>
          <w:color w:val="000000"/>
          <w:sz w:val="24"/>
        </w:rPr>
        <w:t>Le tableau 1 reprend, pour chacune des trente lectures de la figure 1, les trois composantes de l'indice de pertinence.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Times New Roman" w:cs="Times New Roman"/>
                <w:b/>
                <w:color w:val="000000"/>
                <w:sz w:val="20"/>
              </w:rPr>
              <w:t>Rang</w:t>
            </w:r>
          </w:p>
        </w:tc>
        <w:tc>
          <w:tcPr>
            <w:tcW w:type="dxa" w:w="1568"/>
          </w:tcPr>
          <w:p>
            <w:r/>
            <w:r>
              <w:rPr>
                <w:rFonts w:ascii="Times New Roman" w:hAnsi="Times New Roman" w:eastAsia="Times New Roman" w:cs="Times New Roman"/>
                <w:b/>
                <w:color w:val="000000"/>
                <w:sz w:val="20"/>
              </w:rPr>
              <w:t>Publication</w:t>
            </w:r>
          </w:p>
        </w:tc>
        <w:tc>
          <w:tcPr>
            <w:tcW w:type="dxa" w:w="1568"/>
          </w:tcPr>
          <w:p>
            <w:r/>
            <w:r>
              <w:rPr>
                <w:rFonts w:ascii="Times New Roman" w:hAnsi="Times New Roman" w:eastAsia="Times New Roman" w:cs="Times New Roman"/>
                <w:b/>
                <w:color w:val="000000"/>
                <w:sz w:val="20"/>
              </w:rPr>
              <w:t>Citations</w:t>
            </w:r>
          </w:p>
        </w:tc>
        <w:tc>
          <w:tcPr>
            <w:tcW w:type="dxa" w:w="1568"/>
          </w:tcPr>
          <w:p>
            <w:r/>
            <w:r>
              <w:rPr>
                <w:rFonts w:ascii="Times New Roman" w:hAnsi="Times New Roman" w:eastAsia="Times New Roman" w:cs="Times New Roman"/>
                <w:b/>
                <w:color w:val="000000"/>
                <w:sz w:val="20"/>
              </w:rPr>
              <w:t>Source</w:t>
            </w:r>
          </w:p>
        </w:tc>
        <w:tc>
          <w:tcPr>
            <w:tcW w:type="dxa" w:w="1568"/>
          </w:tcPr>
          <w:p>
            <w:r/>
            <w:r>
              <w:rPr>
                <w:rFonts w:ascii="Times New Roman" w:hAnsi="Times New Roman" w:eastAsia="Times New Roman" w:cs="Times New Roman"/>
                <w:b/>
                <w:color w:val="000000"/>
                <w:sz w:val="20"/>
              </w:rPr>
              <w:t>Récurrence</w:t>
            </w:r>
          </w:p>
        </w:tc>
        <w:tc>
          <w:tcPr>
            <w:tcW w:type="dxa" w:w="1568"/>
          </w:tcPr>
          <w:p>
            <w:r/>
            <w:r>
              <w:rPr>
                <w:rFonts w:ascii="Times New Roman" w:hAnsi="Times New Roman" w:eastAsia="Times New Roman" w:cs="Times New Roman"/>
                <w:b/>
                <w:color w:val="000000"/>
                <w:sz w:val="20"/>
              </w:rPr>
              <w:t>Indice</w:t>
            </w:r>
          </w:p>
        </w:tc>
      </w:tr>
      <w:tr>
        <w:tc>
          <w:tcPr>
            <w:tcW w:type="dxa" w:w="1568"/>
          </w:tcPr>
          <w:p>
            <w:pPr>
              <w:spacing w:line="240" w:lineRule="auto"/>
            </w:pPr>
            <w:r/>
            <w:r>
              <w:rPr>
                <w:rFonts w:ascii="Times New Roman" w:hAnsi="Times New Roman" w:eastAsia="Times New Roman" w:cs="Times New Roman"/>
                <w:color w:val="000000"/>
                <w:sz w:val="20"/>
              </w:rPr>
              <w:t>1</w:t>
            </w:r>
          </w:p>
        </w:tc>
        <w:tc>
          <w:tcPr>
            <w:tcW w:type="dxa" w:w="1568"/>
          </w:tcPr>
          <w:p>
            <w:pPr>
              <w:spacing w:line="240" w:lineRule="auto"/>
            </w:pPr>
            <w:r/>
            <w:r>
              <w:rPr>
                <w:rFonts w:ascii="Times New Roman" w:hAnsi="Times New Roman" w:eastAsia="Times New Roman" w:cs="Times New Roman"/>
                <w:color w:val="000000"/>
                <w:sz w:val="20"/>
              </w:rPr>
              <w:t>(Porter, 1965)</w:t>
            </w:r>
          </w:p>
        </w:tc>
        <w:tc>
          <w:tcPr>
            <w:tcW w:type="dxa" w:w="1568"/>
          </w:tcPr>
          <w:p>
            <w:pPr>
              <w:spacing w:line="240" w:lineRule="auto"/>
            </w:pPr>
            <w:r/>
            <w:r>
              <w:rPr>
                <w:rFonts w:ascii="Times New Roman" w:hAnsi="Times New Roman" w:eastAsia="Times New Roman" w:cs="Times New Roman"/>
                <w:color w:val="000000"/>
                <w:sz w:val="20"/>
              </w:rPr>
              <w:t>2670</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52</w:t>
            </w:r>
          </w:p>
        </w:tc>
        <w:tc>
          <w:tcPr>
            <w:tcW w:type="dxa" w:w="1568"/>
          </w:tcPr>
          <w:p>
            <w:pPr>
              <w:spacing w:line="240" w:lineRule="auto"/>
            </w:pPr>
            <w:r/>
            <w:r>
              <w:rPr>
                <w:rFonts w:ascii="Times New Roman" w:hAnsi="Times New Roman" w:eastAsia="Times New Roman" w:cs="Times New Roman"/>
                <w:color w:val="000000"/>
                <w:sz w:val="20"/>
              </w:rPr>
              <w:t>0.64</w:t>
            </w:r>
          </w:p>
        </w:tc>
      </w:tr>
      <w:tr>
        <w:tc>
          <w:tcPr>
            <w:tcW w:type="dxa" w:w="1568"/>
          </w:tcPr>
          <w:p>
            <w:pPr>
              <w:spacing w:line="240" w:lineRule="auto"/>
            </w:pPr>
            <w:r/>
            <w:r>
              <w:rPr>
                <w:rFonts w:ascii="Times New Roman" w:hAnsi="Times New Roman" w:eastAsia="Times New Roman" w:cs="Times New Roman"/>
                <w:color w:val="000000"/>
                <w:sz w:val="20"/>
              </w:rPr>
              <w:t>2</w:t>
            </w:r>
          </w:p>
        </w:tc>
        <w:tc>
          <w:tcPr>
            <w:tcW w:type="dxa" w:w="1568"/>
          </w:tcPr>
          <w:p>
            <w:pPr>
              <w:spacing w:line="240" w:lineRule="auto"/>
            </w:pPr>
            <w:r/>
            <w:r>
              <w:rPr>
                <w:rFonts w:ascii="Times New Roman" w:hAnsi="Times New Roman" w:eastAsia="Times New Roman" w:cs="Times New Roman"/>
                <w:color w:val="000000"/>
                <w:sz w:val="20"/>
              </w:rPr>
              <w:t>(Vaillancourt, 1996)</w:t>
            </w:r>
          </w:p>
        </w:tc>
        <w:tc>
          <w:tcPr>
            <w:tcW w:type="dxa" w:w="1568"/>
          </w:tcPr>
          <w:p>
            <w:pPr>
              <w:spacing w:line="240" w:lineRule="auto"/>
            </w:pPr>
            <w:r/>
            <w:r>
              <w:rPr>
                <w:rFonts w:ascii="Times New Roman" w:hAnsi="Times New Roman" w:eastAsia="Times New Roman" w:cs="Times New Roman"/>
                <w:color w:val="000000"/>
                <w:sz w:val="20"/>
              </w:rPr>
              <w:t>145</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36</w:t>
            </w:r>
          </w:p>
        </w:tc>
        <w:tc>
          <w:tcPr>
            <w:tcW w:type="dxa" w:w="1568"/>
          </w:tcPr>
          <w:p>
            <w:pPr>
              <w:spacing w:line="240" w:lineRule="auto"/>
            </w:pPr>
            <w:r/>
            <w:r>
              <w:rPr>
                <w:rFonts w:ascii="Times New Roman" w:hAnsi="Times New Roman" w:eastAsia="Times New Roman" w:cs="Times New Roman"/>
                <w:color w:val="000000"/>
                <w:sz w:val="20"/>
              </w:rPr>
              <w:t>0.57</w:t>
            </w:r>
          </w:p>
        </w:tc>
      </w:tr>
      <w:tr>
        <w:tc>
          <w:tcPr>
            <w:tcW w:type="dxa" w:w="1568"/>
          </w:tcPr>
          <w:p>
            <w:pPr>
              <w:spacing w:line="240" w:lineRule="auto"/>
            </w:pPr>
            <w:r/>
            <w:r>
              <w:rPr>
                <w:rFonts w:ascii="Times New Roman" w:hAnsi="Times New Roman" w:eastAsia="Times New Roman" w:cs="Times New Roman"/>
                <w:color w:val="000000"/>
                <w:sz w:val="20"/>
              </w:rPr>
              <w:t>3</w:t>
            </w:r>
          </w:p>
        </w:tc>
        <w:tc>
          <w:tcPr>
            <w:tcW w:type="dxa" w:w="1568"/>
          </w:tcPr>
          <w:p>
            <w:pPr>
              <w:spacing w:line="240" w:lineRule="auto"/>
            </w:pPr>
            <w:r/>
            <w:r>
              <w:rPr>
                <w:rFonts w:ascii="Times New Roman" w:hAnsi="Times New Roman" w:eastAsia="Times New Roman" w:cs="Times New Roman"/>
                <w:color w:val="000000"/>
                <w:sz w:val="20"/>
              </w:rPr>
              <w:t>(Commission B-B, 1969)</w:t>
            </w:r>
          </w:p>
        </w:tc>
        <w:tc>
          <w:tcPr>
            <w:tcW w:type="dxa" w:w="1568"/>
          </w:tcPr>
          <w:p>
            <w:pPr>
              <w:spacing w:line="240" w:lineRule="auto"/>
            </w:pPr>
            <w:r/>
            <w:r>
              <w:rPr>
                <w:rFonts w:ascii="Times New Roman" w:hAnsi="Times New Roman" w:eastAsia="Times New Roman" w:cs="Times New Roman"/>
                <w:color w:val="000000"/>
                <w:sz w:val="20"/>
              </w:rPr>
              <w:t>19</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83</w:t>
            </w:r>
          </w:p>
        </w:tc>
        <w:tc>
          <w:tcPr>
            <w:tcW w:type="dxa" w:w="1568"/>
          </w:tcPr>
          <w:p>
            <w:pPr>
              <w:spacing w:line="240" w:lineRule="auto"/>
            </w:pPr>
            <w:r/>
            <w:r>
              <w:rPr>
                <w:rFonts w:ascii="Times New Roman" w:hAnsi="Times New Roman" w:eastAsia="Times New Roman" w:cs="Times New Roman"/>
                <w:color w:val="000000"/>
                <w:sz w:val="20"/>
              </w:rPr>
              <w:t>0.57</w:t>
            </w:r>
          </w:p>
        </w:tc>
      </w:tr>
      <w:tr>
        <w:tc>
          <w:tcPr>
            <w:tcW w:type="dxa" w:w="1568"/>
          </w:tcPr>
          <w:p>
            <w:pPr>
              <w:spacing w:line="240" w:lineRule="auto"/>
            </w:pPr>
            <w:r/>
            <w:r>
              <w:rPr>
                <w:rFonts w:ascii="Times New Roman" w:hAnsi="Times New Roman" w:eastAsia="Times New Roman" w:cs="Times New Roman"/>
                <w:color w:val="000000"/>
                <w:sz w:val="20"/>
              </w:rPr>
              <w:t>4</w:t>
            </w:r>
          </w:p>
        </w:tc>
        <w:tc>
          <w:tcPr>
            <w:tcW w:type="dxa" w:w="1568"/>
          </w:tcPr>
          <w:p>
            <w:pPr>
              <w:spacing w:line="240" w:lineRule="auto"/>
            </w:pPr>
            <w:r/>
            <w:r>
              <w:rPr>
                <w:rFonts w:ascii="Times New Roman" w:hAnsi="Times New Roman" w:eastAsia="Times New Roman" w:cs="Times New Roman"/>
                <w:color w:val="000000"/>
                <w:sz w:val="20"/>
              </w:rPr>
              <w:t>(Levine, 1990)</w:t>
            </w:r>
          </w:p>
        </w:tc>
        <w:tc>
          <w:tcPr>
            <w:tcW w:type="dxa" w:w="1568"/>
          </w:tcPr>
          <w:p>
            <w:pPr>
              <w:spacing w:line="240" w:lineRule="auto"/>
            </w:pPr>
            <w:r/>
            <w:r>
              <w:rPr>
                <w:rFonts w:ascii="Times New Roman" w:hAnsi="Times New Roman" w:eastAsia="Times New Roman" w:cs="Times New Roman"/>
                <w:color w:val="000000"/>
                <w:sz w:val="20"/>
              </w:rPr>
              <w:t>437</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28</w:t>
            </w:r>
          </w:p>
        </w:tc>
        <w:tc>
          <w:tcPr>
            <w:tcW w:type="dxa" w:w="1568"/>
          </w:tcPr>
          <w:p>
            <w:pPr>
              <w:spacing w:line="240" w:lineRule="auto"/>
            </w:pPr>
            <w:r/>
            <w:r>
              <w:rPr>
                <w:rFonts w:ascii="Times New Roman" w:hAnsi="Times New Roman" w:eastAsia="Times New Roman" w:cs="Times New Roman"/>
                <w:color w:val="000000"/>
                <w:sz w:val="20"/>
              </w:rPr>
              <w:t>0.56</w:t>
            </w:r>
          </w:p>
        </w:tc>
      </w:tr>
      <w:tr>
        <w:tc>
          <w:tcPr>
            <w:tcW w:type="dxa" w:w="1568"/>
          </w:tcPr>
          <w:p>
            <w:pPr>
              <w:spacing w:line="240" w:lineRule="auto"/>
            </w:pPr>
            <w:r/>
            <w:r>
              <w:rPr>
                <w:rFonts w:ascii="Times New Roman" w:hAnsi="Times New Roman" w:eastAsia="Times New Roman" w:cs="Times New Roman"/>
                <w:color w:val="000000"/>
                <w:sz w:val="20"/>
              </w:rPr>
              <w:t>5</w:t>
            </w:r>
          </w:p>
        </w:tc>
        <w:tc>
          <w:tcPr>
            <w:tcW w:type="dxa" w:w="1568"/>
          </w:tcPr>
          <w:p>
            <w:pPr>
              <w:spacing w:line="240" w:lineRule="auto"/>
            </w:pPr>
            <w:r/>
            <w:r>
              <w:rPr>
                <w:rFonts w:ascii="Times New Roman" w:hAnsi="Times New Roman" w:eastAsia="Times New Roman" w:cs="Times New Roman"/>
                <w:color w:val="000000"/>
                <w:sz w:val="20"/>
              </w:rPr>
              <w:t>(Vaillancourt et al., 2007)</w:t>
            </w:r>
          </w:p>
        </w:tc>
        <w:tc>
          <w:tcPr>
            <w:tcW w:type="dxa" w:w="1568"/>
          </w:tcPr>
          <w:p>
            <w:pPr>
              <w:spacing w:line="240" w:lineRule="auto"/>
            </w:pPr>
            <w:r/>
            <w:r>
              <w:rPr>
                <w:rFonts w:ascii="Times New Roman" w:hAnsi="Times New Roman" w:eastAsia="Times New Roman" w:cs="Times New Roman"/>
                <w:color w:val="000000"/>
                <w:sz w:val="20"/>
              </w:rPr>
              <w:t>91</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27</w:t>
            </w:r>
          </w:p>
        </w:tc>
        <w:tc>
          <w:tcPr>
            <w:tcW w:type="dxa" w:w="1568"/>
          </w:tcPr>
          <w:p>
            <w:pPr>
              <w:spacing w:line="240" w:lineRule="auto"/>
            </w:pPr>
            <w:r/>
            <w:r>
              <w:rPr>
                <w:rFonts w:ascii="Times New Roman" w:hAnsi="Times New Roman" w:eastAsia="Times New Roman" w:cs="Times New Roman"/>
                <w:color w:val="000000"/>
                <w:sz w:val="20"/>
              </w:rPr>
              <w:t>0.56</w:t>
            </w:r>
          </w:p>
        </w:tc>
      </w:tr>
      <w:tr>
        <w:tc>
          <w:tcPr>
            <w:tcW w:type="dxa" w:w="1568"/>
          </w:tcPr>
          <w:p>
            <w:pPr>
              <w:spacing w:line="240" w:lineRule="auto"/>
            </w:pPr>
            <w:r/>
            <w:r>
              <w:rPr>
                <w:rFonts w:ascii="Times New Roman" w:hAnsi="Times New Roman" w:eastAsia="Times New Roman" w:cs="Times New Roman"/>
                <w:color w:val="000000"/>
                <w:sz w:val="20"/>
              </w:rPr>
              <w:t>6</w:t>
            </w:r>
          </w:p>
        </w:tc>
        <w:tc>
          <w:tcPr>
            <w:tcW w:type="dxa" w:w="1568"/>
          </w:tcPr>
          <w:p>
            <w:pPr>
              <w:spacing w:line="240" w:lineRule="auto"/>
            </w:pPr>
            <w:r/>
            <w:r>
              <w:rPr>
                <w:rFonts w:ascii="Times New Roman" w:hAnsi="Times New Roman" w:eastAsia="Times New Roman" w:cs="Times New Roman"/>
                <w:color w:val="000000"/>
                <w:sz w:val="20"/>
              </w:rPr>
              <w:t>(Lieberson, 1970)</w:t>
            </w:r>
          </w:p>
        </w:tc>
        <w:tc>
          <w:tcPr>
            <w:tcW w:type="dxa" w:w="1568"/>
          </w:tcPr>
          <w:p>
            <w:pPr>
              <w:spacing w:line="240" w:lineRule="auto"/>
            </w:pPr>
            <w:r/>
            <w:r>
              <w:rPr>
                <w:rFonts w:ascii="Times New Roman" w:hAnsi="Times New Roman" w:eastAsia="Times New Roman" w:cs="Times New Roman"/>
                <w:color w:val="000000"/>
                <w:sz w:val="20"/>
              </w:rPr>
              <w:t>361</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49</w:t>
            </w:r>
          </w:p>
        </w:tc>
        <w:tc>
          <w:tcPr>
            <w:tcW w:type="dxa" w:w="1568"/>
          </w:tcPr>
          <w:p>
            <w:pPr>
              <w:spacing w:line="240" w:lineRule="auto"/>
            </w:pPr>
            <w:r/>
            <w:r>
              <w:rPr>
                <w:rFonts w:ascii="Times New Roman" w:hAnsi="Times New Roman" w:eastAsia="Times New Roman" w:cs="Times New Roman"/>
                <w:color w:val="000000"/>
                <w:sz w:val="20"/>
              </w:rPr>
              <w:t>0.56</w:t>
            </w:r>
          </w:p>
        </w:tc>
      </w:tr>
      <w:tr>
        <w:tc>
          <w:tcPr>
            <w:tcW w:type="dxa" w:w="1568"/>
          </w:tcPr>
          <w:p>
            <w:pPr>
              <w:spacing w:line="240" w:lineRule="auto"/>
            </w:pPr>
            <w:r/>
            <w:r>
              <w:rPr>
                <w:rFonts w:ascii="Times New Roman" w:hAnsi="Times New Roman" w:eastAsia="Times New Roman" w:cs="Times New Roman"/>
                <w:color w:val="000000"/>
                <w:sz w:val="20"/>
              </w:rPr>
              <w:t>7</w:t>
            </w:r>
          </w:p>
        </w:tc>
        <w:tc>
          <w:tcPr>
            <w:tcW w:type="dxa" w:w="1568"/>
          </w:tcPr>
          <w:p>
            <w:pPr>
              <w:spacing w:line="240" w:lineRule="auto"/>
            </w:pPr>
            <w:r/>
            <w:r>
              <w:rPr>
                <w:rFonts w:ascii="Times New Roman" w:hAnsi="Times New Roman" w:eastAsia="Times New Roman" w:cs="Times New Roman"/>
                <w:color w:val="000000"/>
                <w:sz w:val="20"/>
              </w:rPr>
              <w:t>(Albouy, 2008)</w:t>
            </w:r>
          </w:p>
        </w:tc>
        <w:tc>
          <w:tcPr>
            <w:tcW w:type="dxa" w:w="1568"/>
          </w:tcPr>
          <w:p>
            <w:pPr>
              <w:spacing w:line="240" w:lineRule="auto"/>
            </w:pPr>
            <w:r/>
            <w:r>
              <w:rPr>
                <w:rFonts w:ascii="Times New Roman" w:hAnsi="Times New Roman" w:eastAsia="Times New Roman" w:cs="Times New Roman"/>
                <w:color w:val="000000"/>
                <w:sz w:val="20"/>
              </w:rPr>
              <w:t>101</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23</w:t>
            </w:r>
          </w:p>
        </w:tc>
        <w:tc>
          <w:tcPr>
            <w:tcW w:type="dxa" w:w="1568"/>
          </w:tcPr>
          <w:p>
            <w:pPr>
              <w:spacing w:line="240" w:lineRule="auto"/>
            </w:pPr>
            <w:r/>
            <w:r>
              <w:rPr>
                <w:rFonts w:ascii="Times New Roman" w:hAnsi="Times New Roman" w:eastAsia="Times New Roman" w:cs="Times New Roman"/>
                <w:color w:val="000000"/>
                <w:sz w:val="20"/>
              </w:rPr>
              <w:t>0.55</w:t>
            </w:r>
          </w:p>
        </w:tc>
      </w:tr>
      <w:tr>
        <w:tc>
          <w:tcPr>
            <w:tcW w:type="dxa" w:w="1568"/>
          </w:tcPr>
          <w:p>
            <w:pPr>
              <w:spacing w:line="240" w:lineRule="auto"/>
            </w:pPr>
            <w:r/>
            <w:r>
              <w:rPr>
                <w:rFonts w:ascii="Times New Roman" w:hAnsi="Times New Roman" w:eastAsia="Times New Roman" w:cs="Times New Roman"/>
                <w:color w:val="000000"/>
                <w:sz w:val="20"/>
              </w:rPr>
              <w:t>8</w:t>
            </w:r>
          </w:p>
        </w:tc>
        <w:tc>
          <w:tcPr>
            <w:tcW w:type="dxa" w:w="1568"/>
          </w:tcPr>
          <w:p>
            <w:pPr>
              <w:spacing w:line="240" w:lineRule="auto"/>
            </w:pPr>
            <w:r/>
            <w:r>
              <w:rPr>
                <w:rFonts w:ascii="Times New Roman" w:hAnsi="Times New Roman" w:eastAsia="Times New Roman" w:cs="Times New Roman"/>
                <w:color w:val="000000"/>
                <w:sz w:val="20"/>
              </w:rPr>
              <w:t>(Carliner, 1981)</w:t>
            </w:r>
          </w:p>
        </w:tc>
        <w:tc>
          <w:tcPr>
            <w:tcW w:type="dxa" w:w="1568"/>
          </w:tcPr>
          <w:p>
            <w:pPr>
              <w:spacing w:line="240" w:lineRule="auto"/>
            </w:pPr>
            <w:r/>
            <w:r>
              <w:rPr>
                <w:rFonts w:ascii="Times New Roman" w:hAnsi="Times New Roman" w:eastAsia="Times New Roman" w:cs="Times New Roman"/>
                <w:color w:val="000000"/>
                <w:sz w:val="20"/>
              </w:rPr>
              <w:t>253</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39</w:t>
            </w:r>
          </w:p>
        </w:tc>
        <w:tc>
          <w:tcPr>
            <w:tcW w:type="dxa" w:w="1568"/>
          </w:tcPr>
          <w:p>
            <w:pPr>
              <w:spacing w:line="240" w:lineRule="auto"/>
            </w:pPr>
            <w:r/>
            <w:r>
              <w:rPr>
                <w:rFonts w:ascii="Times New Roman" w:hAnsi="Times New Roman" w:eastAsia="Times New Roman" w:cs="Times New Roman"/>
                <w:color w:val="000000"/>
                <w:sz w:val="20"/>
              </w:rPr>
              <w:t>0.55</w:t>
            </w:r>
          </w:p>
        </w:tc>
      </w:tr>
      <w:tr>
        <w:tc>
          <w:tcPr>
            <w:tcW w:type="dxa" w:w="1568"/>
          </w:tcPr>
          <w:p>
            <w:pPr>
              <w:spacing w:line="240" w:lineRule="auto"/>
            </w:pPr>
            <w:r/>
            <w:r>
              <w:rPr>
                <w:rFonts w:ascii="Times New Roman" w:hAnsi="Times New Roman" w:eastAsia="Times New Roman" w:cs="Times New Roman"/>
                <w:color w:val="000000"/>
                <w:sz w:val="20"/>
              </w:rPr>
              <w:t>9</w:t>
            </w:r>
          </w:p>
        </w:tc>
        <w:tc>
          <w:tcPr>
            <w:tcW w:type="dxa" w:w="1568"/>
          </w:tcPr>
          <w:p>
            <w:pPr>
              <w:spacing w:line="240" w:lineRule="auto"/>
            </w:pPr>
            <w:r/>
            <w:r>
              <w:rPr>
                <w:rFonts w:ascii="Times New Roman" w:hAnsi="Times New Roman" w:eastAsia="Times New Roman" w:cs="Times New Roman"/>
                <w:color w:val="000000"/>
                <w:sz w:val="20"/>
              </w:rPr>
              <w:t>(Shapiro et Stelcner, 1997)</w:t>
            </w:r>
          </w:p>
        </w:tc>
        <w:tc>
          <w:tcPr>
            <w:tcW w:type="dxa" w:w="1568"/>
          </w:tcPr>
          <w:p>
            <w:pPr>
              <w:spacing w:line="240" w:lineRule="auto"/>
            </w:pPr>
            <w:r/>
            <w:r>
              <w:rPr>
                <w:rFonts w:ascii="Times New Roman" w:hAnsi="Times New Roman" w:eastAsia="Times New Roman" w:cs="Times New Roman"/>
                <w:color w:val="000000"/>
                <w:sz w:val="20"/>
              </w:rPr>
              <w:t>121</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29</w:t>
            </w:r>
          </w:p>
        </w:tc>
        <w:tc>
          <w:tcPr>
            <w:tcW w:type="dxa" w:w="1568"/>
          </w:tcPr>
          <w:p>
            <w:pPr>
              <w:spacing w:line="240" w:lineRule="auto"/>
            </w:pPr>
            <w:r/>
            <w:r>
              <w:rPr>
                <w:rFonts w:ascii="Times New Roman" w:hAnsi="Times New Roman" w:eastAsia="Times New Roman" w:cs="Times New Roman"/>
                <w:color w:val="000000"/>
                <w:sz w:val="20"/>
              </w:rPr>
              <w:t>0.54</w:t>
            </w:r>
          </w:p>
        </w:tc>
      </w:tr>
      <w:tr>
        <w:tc>
          <w:tcPr>
            <w:tcW w:type="dxa" w:w="1568"/>
          </w:tcPr>
          <w:p>
            <w:pPr>
              <w:spacing w:line="240" w:lineRule="auto"/>
            </w:pPr>
            <w:r/>
            <w:r>
              <w:rPr>
                <w:rFonts w:ascii="Times New Roman" w:hAnsi="Times New Roman" w:eastAsia="Times New Roman" w:cs="Times New Roman"/>
                <w:color w:val="000000"/>
                <w:sz w:val="20"/>
              </w:rPr>
              <w:t>10</w:t>
            </w:r>
          </w:p>
        </w:tc>
        <w:tc>
          <w:tcPr>
            <w:tcW w:type="dxa" w:w="1568"/>
          </w:tcPr>
          <w:p>
            <w:pPr>
              <w:spacing w:line="240" w:lineRule="auto"/>
            </w:pPr>
            <w:r/>
            <w:r>
              <w:rPr>
                <w:rFonts w:ascii="Times New Roman" w:hAnsi="Times New Roman" w:eastAsia="Times New Roman" w:cs="Times New Roman"/>
                <w:color w:val="000000"/>
                <w:sz w:val="20"/>
              </w:rPr>
              <w:t>(Vaillancourt, 1980)</w:t>
            </w:r>
          </w:p>
        </w:tc>
        <w:tc>
          <w:tcPr>
            <w:tcW w:type="dxa" w:w="1568"/>
          </w:tcPr>
          <w:p>
            <w:pPr>
              <w:spacing w:line="240" w:lineRule="auto"/>
            </w:pPr>
            <w:r/>
            <w:r>
              <w:rPr>
                <w:rFonts w:ascii="Times New Roman" w:hAnsi="Times New Roman" w:eastAsia="Times New Roman" w:cs="Times New Roman"/>
                <w:color w:val="000000"/>
                <w:sz w:val="20"/>
              </w:rPr>
              <w:t>70</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48</w:t>
            </w:r>
          </w:p>
        </w:tc>
        <w:tc>
          <w:tcPr>
            <w:tcW w:type="dxa" w:w="1568"/>
          </w:tcPr>
          <w:p>
            <w:pPr>
              <w:spacing w:line="240" w:lineRule="auto"/>
            </w:pPr>
            <w:r/>
            <w:r>
              <w:rPr>
                <w:rFonts w:ascii="Times New Roman" w:hAnsi="Times New Roman" w:eastAsia="Times New Roman" w:cs="Times New Roman"/>
                <w:color w:val="000000"/>
                <w:sz w:val="20"/>
              </w:rPr>
              <w:t>0.53</w:t>
            </w:r>
          </w:p>
        </w:tc>
      </w:tr>
      <w:tr>
        <w:tc>
          <w:tcPr>
            <w:tcW w:type="dxa" w:w="1568"/>
          </w:tcPr>
          <w:p>
            <w:pPr>
              <w:spacing w:line="240" w:lineRule="auto"/>
            </w:pPr>
            <w:r/>
            <w:r>
              <w:rPr>
                <w:rFonts w:ascii="Times New Roman" w:hAnsi="Times New Roman" w:eastAsia="Times New Roman" w:cs="Times New Roman"/>
                <w:color w:val="000000"/>
                <w:sz w:val="20"/>
              </w:rPr>
              <w:t>11</w:t>
            </w:r>
          </w:p>
        </w:tc>
        <w:tc>
          <w:tcPr>
            <w:tcW w:type="dxa" w:w="1568"/>
          </w:tcPr>
          <w:p>
            <w:pPr>
              <w:spacing w:line="240" w:lineRule="auto"/>
            </w:pPr>
            <w:r/>
            <w:r>
              <w:rPr>
                <w:rFonts w:ascii="Times New Roman" w:hAnsi="Times New Roman" w:eastAsia="Times New Roman" w:cs="Times New Roman"/>
                <w:color w:val="000000"/>
                <w:sz w:val="20"/>
              </w:rPr>
              <w:t>(Christofides et Swidinsky, 2010)</w:t>
            </w:r>
          </w:p>
        </w:tc>
        <w:tc>
          <w:tcPr>
            <w:tcW w:type="dxa" w:w="1568"/>
          </w:tcPr>
          <w:p>
            <w:pPr>
              <w:spacing w:line="240" w:lineRule="auto"/>
            </w:pPr>
            <w:r/>
            <w:r>
              <w:rPr>
                <w:rFonts w:ascii="Times New Roman" w:hAnsi="Times New Roman" w:eastAsia="Times New Roman" w:cs="Times New Roman"/>
                <w:color w:val="000000"/>
                <w:sz w:val="20"/>
              </w:rPr>
              <w:t>91</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15</w:t>
            </w:r>
          </w:p>
        </w:tc>
        <w:tc>
          <w:tcPr>
            <w:tcW w:type="dxa" w:w="1568"/>
          </w:tcPr>
          <w:p>
            <w:pPr>
              <w:spacing w:line="240" w:lineRule="auto"/>
            </w:pPr>
            <w:r/>
            <w:r>
              <w:rPr>
                <w:rFonts w:ascii="Times New Roman" w:hAnsi="Times New Roman" w:eastAsia="Times New Roman" w:cs="Times New Roman"/>
                <w:color w:val="000000"/>
                <w:sz w:val="20"/>
              </w:rPr>
              <w:t>0.52</w:t>
            </w:r>
          </w:p>
        </w:tc>
      </w:tr>
      <w:tr>
        <w:tc>
          <w:tcPr>
            <w:tcW w:type="dxa" w:w="1568"/>
          </w:tcPr>
          <w:p>
            <w:pPr>
              <w:spacing w:line="240" w:lineRule="auto"/>
            </w:pPr>
            <w:r/>
            <w:r>
              <w:rPr>
                <w:rFonts w:ascii="Times New Roman" w:hAnsi="Times New Roman" w:eastAsia="Times New Roman" w:cs="Times New Roman"/>
                <w:color w:val="000000"/>
                <w:sz w:val="20"/>
              </w:rPr>
              <w:t>12</w:t>
            </w:r>
          </w:p>
        </w:tc>
        <w:tc>
          <w:tcPr>
            <w:tcW w:type="dxa" w:w="1568"/>
          </w:tcPr>
          <w:p>
            <w:pPr>
              <w:spacing w:line="240" w:lineRule="auto"/>
            </w:pPr>
            <w:r/>
            <w:r>
              <w:rPr>
                <w:rFonts w:ascii="Times New Roman" w:hAnsi="Times New Roman" w:eastAsia="Times New Roman" w:cs="Times New Roman"/>
                <w:color w:val="000000"/>
                <w:sz w:val="20"/>
              </w:rPr>
              <w:t>(Grenier, 1987)</w:t>
            </w:r>
          </w:p>
        </w:tc>
        <w:tc>
          <w:tcPr>
            <w:tcW w:type="dxa" w:w="1568"/>
          </w:tcPr>
          <w:p>
            <w:pPr>
              <w:spacing w:line="240" w:lineRule="auto"/>
            </w:pPr>
            <w:r/>
            <w:r>
              <w:rPr>
                <w:rFonts w:ascii="Times New Roman" w:hAnsi="Times New Roman" w:eastAsia="Times New Roman" w:cs="Times New Roman"/>
                <w:color w:val="000000"/>
                <w:sz w:val="20"/>
              </w:rPr>
              <w:t>73</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33</w:t>
            </w:r>
          </w:p>
        </w:tc>
        <w:tc>
          <w:tcPr>
            <w:tcW w:type="dxa" w:w="1568"/>
          </w:tcPr>
          <w:p>
            <w:pPr>
              <w:spacing w:line="240" w:lineRule="auto"/>
            </w:pPr>
            <w:r/>
            <w:r>
              <w:rPr>
                <w:rFonts w:ascii="Times New Roman" w:hAnsi="Times New Roman" w:eastAsia="Times New Roman" w:cs="Times New Roman"/>
                <w:color w:val="000000"/>
                <w:sz w:val="20"/>
              </w:rPr>
              <w:t>0.50</w:t>
            </w:r>
          </w:p>
        </w:tc>
      </w:tr>
      <w:tr>
        <w:tc>
          <w:tcPr>
            <w:tcW w:type="dxa" w:w="1568"/>
          </w:tcPr>
          <w:p>
            <w:pPr>
              <w:spacing w:line="240" w:lineRule="auto"/>
            </w:pPr>
            <w:r/>
            <w:r>
              <w:rPr>
                <w:rFonts w:ascii="Times New Roman" w:hAnsi="Times New Roman" w:eastAsia="Times New Roman" w:cs="Times New Roman"/>
                <w:color w:val="000000"/>
                <w:sz w:val="20"/>
              </w:rPr>
              <w:t>13</w:t>
            </w:r>
          </w:p>
        </w:tc>
        <w:tc>
          <w:tcPr>
            <w:tcW w:type="dxa" w:w="1568"/>
          </w:tcPr>
          <w:p>
            <w:pPr>
              <w:spacing w:line="240" w:lineRule="auto"/>
            </w:pPr>
            <w:r/>
            <w:r>
              <w:rPr>
                <w:rFonts w:ascii="Times New Roman" w:hAnsi="Times New Roman" w:eastAsia="Times New Roman" w:cs="Times New Roman"/>
                <w:color w:val="000000"/>
                <w:sz w:val="20"/>
              </w:rPr>
              <w:t>(Bourhis, 2019)</w:t>
            </w:r>
          </w:p>
        </w:tc>
        <w:tc>
          <w:tcPr>
            <w:tcW w:type="dxa" w:w="1568"/>
          </w:tcPr>
          <w:p>
            <w:pPr>
              <w:spacing w:line="240" w:lineRule="auto"/>
            </w:pPr>
            <w:r/>
            <w:r>
              <w:rPr>
                <w:rFonts w:ascii="Times New Roman" w:hAnsi="Times New Roman" w:eastAsia="Times New Roman" w:cs="Times New Roman"/>
                <w:color w:val="000000"/>
                <w:sz w:val="20"/>
              </w:rPr>
              <w:t>39</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7</w:t>
            </w:r>
          </w:p>
        </w:tc>
        <w:tc>
          <w:tcPr>
            <w:tcW w:type="dxa" w:w="1568"/>
          </w:tcPr>
          <w:p>
            <w:pPr>
              <w:spacing w:line="240" w:lineRule="auto"/>
            </w:pPr>
            <w:r/>
            <w:r>
              <w:rPr>
                <w:rFonts w:ascii="Times New Roman" w:hAnsi="Times New Roman" w:eastAsia="Times New Roman" w:cs="Times New Roman"/>
                <w:color w:val="000000"/>
                <w:sz w:val="20"/>
              </w:rPr>
              <w:t>0.49</w:t>
            </w:r>
          </w:p>
        </w:tc>
      </w:tr>
      <w:tr>
        <w:tc>
          <w:tcPr>
            <w:tcW w:type="dxa" w:w="1568"/>
          </w:tcPr>
          <w:p>
            <w:pPr>
              <w:spacing w:line="240" w:lineRule="auto"/>
            </w:pPr>
            <w:r/>
            <w:r>
              <w:rPr>
                <w:rFonts w:ascii="Times New Roman" w:hAnsi="Times New Roman" w:eastAsia="Times New Roman" w:cs="Times New Roman"/>
                <w:color w:val="000000"/>
                <w:sz w:val="20"/>
              </w:rPr>
              <w:t>14</w:t>
            </w:r>
          </w:p>
        </w:tc>
        <w:tc>
          <w:tcPr>
            <w:tcW w:type="dxa" w:w="1568"/>
          </w:tcPr>
          <w:p>
            <w:pPr>
              <w:spacing w:line="240" w:lineRule="auto"/>
            </w:pPr>
            <w:r/>
            <w:r>
              <w:rPr>
                <w:rFonts w:ascii="Times New Roman" w:hAnsi="Times New Roman" w:eastAsia="Times New Roman" w:cs="Times New Roman"/>
                <w:color w:val="000000"/>
                <w:sz w:val="20"/>
              </w:rPr>
              <w:t>(Nadeau, 2010)</w:t>
            </w:r>
          </w:p>
        </w:tc>
        <w:tc>
          <w:tcPr>
            <w:tcW w:type="dxa" w:w="1568"/>
          </w:tcPr>
          <w:p>
            <w:pPr>
              <w:spacing w:line="240" w:lineRule="auto"/>
            </w:pPr>
            <w:r/>
            <w:r>
              <w:rPr>
                <w:rFonts w:ascii="Times New Roman" w:hAnsi="Times New Roman" w:eastAsia="Times New Roman" w:cs="Times New Roman"/>
                <w:color w:val="000000"/>
                <w:sz w:val="20"/>
              </w:rPr>
              <w:t>35</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15</w:t>
            </w:r>
          </w:p>
        </w:tc>
        <w:tc>
          <w:tcPr>
            <w:tcW w:type="dxa" w:w="1568"/>
          </w:tcPr>
          <w:p>
            <w:pPr>
              <w:spacing w:line="240" w:lineRule="auto"/>
            </w:pPr>
            <w:r/>
            <w:r>
              <w:rPr>
                <w:rFonts w:ascii="Times New Roman" w:hAnsi="Times New Roman" w:eastAsia="Times New Roman" w:cs="Times New Roman"/>
                <w:color w:val="000000"/>
                <w:sz w:val="20"/>
              </w:rPr>
              <w:t>0.48</w:t>
            </w:r>
          </w:p>
        </w:tc>
      </w:tr>
      <w:tr>
        <w:tc>
          <w:tcPr>
            <w:tcW w:type="dxa" w:w="1568"/>
          </w:tcPr>
          <w:p>
            <w:pPr>
              <w:spacing w:line="240" w:lineRule="auto"/>
            </w:pPr>
            <w:r/>
            <w:r>
              <w:rPr>
                <w:rFonts w:ascii="Times New Roman" w:hAnsi="Times New Roman" w:eastAsia="Times New Roman" w:cs="Times New Roman"/>
                <w:color w:val="000000"/>
                <w:sz w:val="20"/>
              </w:rPr>
              <w:t>15</w:t>
            </w:r>
          </w:p>
        </w:tc>
        <w:tc>
          <w:tcPr>
            <w:tcW w:type="dxa" w:w="1568"/>
          </w:tcPr>
          <w:p>
            <w:pPr>
              <w:spacing w:line="240" w:lineRule="auto"/>
            </w:pPr>
            <w:r/>
            <w:r>
              <w:rPr>
                <w:rFonts w:ascii="Times New Roman" w:hAnsi="Times New Roman" w:eastAsia="Times New Roman" w:cs="Times New Roman"/>
                <w:color w:val="000000"/>
                <w:sz w:val="20"/>
              </w:rPr>
              <w:t>(Chiswick et Miller, 1988)</w:t>
            </w:r>
          </w:p>
        </w:tc>
        <w:tc>
          <w:tcPr>
            <w:tcW w:type="dxa" w:w="1568"/>
          </w:tcPr>
          <w:p>
            <w:pPr>
              <w:spacing w:line="240" w:lineRule="auto"/>
            </w:pPr>
            <w:r/>
            <w:r>
              <w:rPr>
                <w:rFonts w:ascii="Times New Roman" w:hAnsi="Times New Roman" w:eastAsia="Times New Roman" w:cs="Times New Roman"/>
                <w:color w:val="000000"/>
                <w:sz w:val="20"/>
              </w:rPr>
              <w:t>155</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21</w:t>
            </w:r>
          </w:p>
        </w:tc>
        <w:tc>
          <w:tcPr>
            <w:tcW w:type="dxa" w:w="1568"/>
          </w:tcPr>
          <w:p>
            <w:pPr>
              <w:spacing w:line="240" w:lineRule="auto"/>
            </w:pPr>
            <w:r/>
            <w:r>
              <w:rPr>
                <w:rFonts w:ascii="Times New Roman" w:hAnsi="Times New Roman" w:eastAsia="Times New Roman" w:cs="Times New Roman"/>
                <w:color w:val="000000"/>
                <w:sz w:val="20"/>
              </w:rPr>
              <w:t>0.48</w:t>
            </w:r>
          </w:p>
        </w:tc>
      </w:tr>
      <w:tr>
        <w:tc>
          <w:tcPr>
            <w:tcW w:type="dxa" w:w="1568"/>
          </w:tcPr>
          <w:p>
            <w:pPr>
              <w:spacing w:line="240" w:lineRule="auto"/>
            </w:pPr>
            <w:r/>
            <w:r>
              <w:rPr>
                <w:rFonts w:ascii="Times New Roman" w:hAnsi="Times New Roman" w:eastAsia="Times New Roman" w:cs="Times New Roman"/>
                <w:color w:val="000000"/>
                <w:sz w:val="20"/>
              </w:rPr>
              <w:t>16</w:t>
            </w:r>
          </w:p>
        </w:tc>
        <w:tc>
          <w:tcPr>
            <w:tcW w:type="dxa" w:w="1568"/>
          </w:tcPr>
          <w:p>
            <w:pPr>
              <w:spacing w:line="240" w:lineRule="auto"/>
            </w:pPr>
            <w:r/>
            <w:r>
              <w:rPr>
                <w:rFonts w:ascii="Times New Roman" w:hAnsi="Times New Roman" w:eastAsia="Times New Roman" w:cs="Times New Roman"/>
                <w:color w:val="000000"/>
                <w:sz w:val="20"/>
              </w:rPr>
              <w:t>(Vaillancourt et al., 2013)</w:t>
            </w:r>
          </w:p>
        </w:tc>
        <w:tc>
          <w:tcPr>
            <w:tcW w:type="dxa" w:w="1568"/>
          </w:tcPr>
          <w:p>
            <w:pPr>
              <w:spacing w:line="240" w:lineRule="auto"/>
            </w:pPr>
            <w:r/>
            <w:r>
              <w:rPr>
                <w:rFonts w:ascii="Times New Roman" w:hAnsi="Times New Roman" w:eastAsia="Times New Roman" w:cs="Times New Roman"/>
                <w:color w:val="000000"/>
                <w:sz w:val="20"/>
              </w:rPr>
              <w:t>24</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15</w:t>
            </w:r>
          </w:p>
        </w:tc>
        <w:tc>
          <w:tcPr>
            <w:tcW w:type="dxa" w:w="1568"/>
          </w:tcPr>
          <w:p>
            <w:pPr>
              <w:spacing w:line="240" w:lineRule="auto"/>
            </w:pPr>
            <w:r/>
            <w:r>
              <w:rPr>
                <w:rFonts w:ascii="Times New Roman" w:hAnsi="Times New Roman" w:eastAsia="Times New Roman" w:cs="Times New Roman"/>
                <w:color w:val="000000"/>
                <w:sz w:val="20"/>
              </w:rPr>
              <w:t>0.48</w:t>
            </w:r>
          </w:p>
        </w:tc>
      </w:tr>
      <w:tr>
        <w:tc>
          <w:tcPr>
            <w:tcW w:type="dxa" w:w="1568"/>
          </w:tcPr>
          <w:p>
            <w:pPr>
              <w:spacing w:line="240" w:lineRule="auto"/>
            </w:pPr>
            <w:r/>
            <w:r>
              <w:rPr>
                <w:rFonts w:ascii="Times New Roman" w:hAnsi="Times New Roman" w:eastAsia="Times New Roman" w:cs="Times New Roman"/>
                <w:color w:val="000000"/>
                <w:sz w:val="20"/>
              </w:rPr>
              <w:t>17</w:t>
            </w:r>
          </w:p>
        </w:tc>
        <w:tc>
          <w:tcPr>
            <w:tcW w:type="dxa" w:w="1568"/>
          </w:tcPr>
          <w:p>
            <w:pPr>
              <w:spacing w:line="240" w:lineRule="auto"/>
            </w:pPr>
            <w:r/>
            <w:r>
              <w:rPr>
                <w:rFonts w:ascii="Times New Roman" w:hAnsi="Times New Roman" w:eastAsia="Times New Roman" w:cs="Times New Roman"/>
                <w:color w:val="000000"/>
                <w:sz w:val="20"/>
              </w:rPr>
              <w:t>(PERT, 2023)</w:t>
            </w:r>
          </w:p>
        </w:tc>
        <w:tc>
          <w:tcPr>
            <w:tcW w:type="dxa" w:w="1568"/>
          </w:tcPr>
          <w:p>
            <w:pPr>
              <w:spacing w:line="240" w:lineRule="auto"/>
            </w:pPr>
            <w:r/>
            <w:r>
              <w:rPr>
                <w:rFonts w:ascii="Times New Roman" w:hAnsi="Times New Roman" w:eastAsia="Times New Roman" w:cs="Times New Roman"/>
                <w:color w:val="000000"/>
                <w:sz w:val="20"/>
              </w:rPr>
              <w:t>33</w:t>
            </w:r>
          </w:p>
        </w:tc>
        <w:tc>
          <w:tcPr>
            <w:tcW w:type="dxa" w:w="1568"/>
          </w:tcPr>
          <w:p>
            <w:pPr>
              <w:spacing w:line="240" w:lineRule="auto"/>
            </w:pPr>
            <w:r/>
            <w:r>
              <w:rPr>
                <w:rFonts w:ascii="Times New Roman" w:hAnsi="Times New Roman" w:eastAsia="Times New Roman" w:cs="Times New Roman"/>
                <w:color w:val="000000"/>
                <w:sz w:val="20"/>
              </w:rPr>
              <w:t>imputé</w:t>
            </w:r>
          </w:p>
        </w:tc>
        <w:tc>
          <w:tcPr>
            <w:tcW w:type="dxa" w:w="1568"/>
          </w:tcPr>
          <w:p>
            <w:pPr>
              <w:spacing w:line="240" w:lineRule="auto"/>
            </w:pPr>
            <w:r/>
            <w:r>
              <w:rPr>
                <w:rFonts w:ascii="Times New Roman" w:hAnsi="Times New Roman" w:eastAsia="Times New Roman" w:cs="Times New Roman"/>
                <w:color w:val="000000"/>
                <w:sz w:val="20"/>
              </w:rPr>
              <w:t>2</w:t>
            </w:r>
          </w:p>
        </w:tc>
        <w:tc>
          <w:tcPr>
            <w:tcW w:type="dxa" w:w="1568"/>
          </w:tcPr>
          <w:p>
            <w:pPr>
              <w:spacing w:line="240" w:lineRule="auto"/>
            </w:pPr>
            <w:r/>
            <w:r>
              <w:rPr>
                <w:rFonts w:ascii="Times New Roman" w:hAnsi="Times New Roman" w:eastAsia="Times New Roman" w:cs="Times New Roman"/>
                <w:color w:val="000000"/>
                <w:sz w:val="20"/>
              </w:rPr>
              <w:t>0.48</w:t>
            </w:r>
          </w:p>
        </w:tc>
      </w:tr>
      <w:tr>
        <w:tc>
          <w:tcPr>
            <w:tcW w:type="dxa" w:w="1568"/>
          </w:tcPr>
          <w:p>
            <w:pPr>
              <w:spacing w:line="240" w:lineRule="auto"/>
            </w:pPr>
            <w:r/>
            <w:r>
              <w:rPr>
                <w:rFonts w:ascii="Times New Roman" w:hAnsi="Times New Roman" w:eastAsia="Times New Roman" w:cs="Times New Roman"/>
                <w:color w:val="000000"/>
                <w:sz w:val="20"/>
              </w:rPr>
              <w:t>18</w:t>
            </w:r>
          </w:p>
        </w:tc>
        <w:tc>
          <w:tcPr>
            <w:tcW w:type="dxa" w:w="1568"/>
          </w:tcPr>
          <w:p>
            <w:pPr>
              <w:spacing w:line="240" w:lineRule="auto"/>
            </w:pPr>
            <w:r/>
            <w:r>
              <w:rPr>
                <w:rFonts w:ascii="Times New Roman" w:hAnsi="Times New Roman" w:eastAsia="Times New Roman" w:cs="Times New Roman"/>
                <w:color w:val="000000"/>
                <w:sz w:val="20"/>
              </w:rPr>
              <w:t>(Boulet, 1980)</w:t>
            </w:r>
          </w:p>
        </w:tc>
        <w:tc>
          <w:tcPr>
            <w:tcW w:type="dxa" w:w="1568"/>
          </w:tcPr>
          <w:p>
            <w:pPr>
              <w:spacing w:line="240" w:lineRule="auto"/>
            </w:pPr>
            <w:r/>
            <w:r>
              <w:rPr>
                <w:rFonts w:ascii="Times New Roman" w:hAnsi="Times New Roman" w:eastAsia="Times New Roman" w:cs="Times New Roman"/>
                <w:color w:val="000000"/>
                <w:sz w:val="20"/>
              </w:rPr>
              <w:t>33</w:t>
            </w:r>
          </w:p>
        </w:tc>
        <w:tc>
          <w:tcPr>
            <w:tcW w:type="dxa" w:w="1568"/>
          </w:tcPr>
          <w:p>
            <w:pPr>
              <w:spacing w:line="240" w:lineRule="auto"/>
            </w:pPr>
            <w:r/>
            <w:r>
              <w:rPr>
                <w:rFonts w:ascii="Times New Roman" w:hAnsi="Times New Roman" w:eastAsia="Times New Roman" w:cs="Times New Roman"/>
                <w:color w:val="000000"/>
                <w:sz w:val="20"/>
              </w:rPr>
              <w:t>imputé</w:t>
            </w:r>
          </w:p>
        </w:tc>
        <w:tc>
          <w:tcPr>
            <w:tcW w:type="dxa" w:w="1568"/>
          </w:tcPr>
          <w:p>
            <w:pPr>
              <w:spacing w:line="240" w:lineRule="auto"/>
            </w:pPr>
            <w:r/>
            <w:r>
              <w:rPr>
                <w:rFonts w:ascii="Times New Roman" w:hAnsi="Times New Roman" w:eastAsia="Times New Roman" w:cs="Times New Roman"/>
                <w:color w:val="000000"/>
                <w:sz w:val="20"/>
              </w:rPr>
              <w:t>44</w:t>
            </w:r>
          </w:p>
        </w:tc>
        <w:tc>
          <w:tcPr>
            <w:tcW w:type="dxa" w:w="1568"/>
          </w:tcPr>
          <w:p>
            <w:pPr>
              <w:spacing w:line="240" w:lineRule="auto"/>
            </w:pPr>
            <w:r/>
            <w:r>
              <w:rPr>
                <w:rFonts w:ascii="Times New Roman" w:hAnsi="Times New Roman" w:eastAsia="Times New Roman" w:cs="Times New Roman"/>
                <w:color w:val="000000"/>
                <w:sz w:val="20"/>
              </w:rPr>
              <w:t>0.48</w:t>
            </w:r>
          </w:p>
        </w:tc>
      </w:tr>
      <w:tr>
        <w:tc>
          <w:tcPr>
            <w:tcW w:type="dxa" w:w="1568"/>
          </w:tcPr>
          <w:p>
            <w:pPr>
              <w:spacing w:line="240" w:lineRule="auto"/>
            </w:pPr>
            <w:r/>
            <w:r>
              <w:rPr>
                <w:rFonts w:ascii="Times New Roman" w:hAnsi="Times New Roman" w:eastAsia="Times New Roman" w:cs="Times New Roman"/>
                <w:color w:val="000000"/>
                <w:sz w:val="20"/>
              </w:rPr>
              <w:t>19</w:t>
            </w:r>
          </w:p>
        </w:tc>
        <w:tc>
          <w:tcPr>
            <w:tcW w:type="dxa" w:w="1568"/>
          </w:tcPr>
          <w:p>
            <w:pPr>
              <w:spacing w:line="240" w:lineRule="auto"/>
            </w:pPr>
            <w:r/>
            <w:r>
              <w:rPr>
                <w:rFonts w:ascii="Times New Roman" w:hAnsi="Times New Roman" w:eastAsia="Times New Roman" w:cs="Times New Roman"/>
                <w:color w:val="000000"/>
                <w:sz w:val="20"/>
              </w:rPr>
              <w:t>(OQLF, 2022)</w:t>
            </w:r>
          </w:p>
        </w:tc>
        <w:tc>
          <w:tcPr>
            <w:tcW w:type="dxa" w:w="1568"/>
          </w:tcPr>
          <w:p>
            <w:pPr>
              <w:spacing w:line="240" w:lineRule="auto"/>
            </w:pPr>
            <w:r/>
            <w:r>
              <w:rPr>
                <w:rFonts w:ascii="Times New Roman" w:hAnsi="Times New Roman" w:eastAsia="Times New Roman" w:cs="Times New Roman"/>
                <w:color w:val="000000"/>
                <w:sz w:val="20"/>
              </w:rPr>
              <w:t>33</w:t>
            </w:r>
          </w:p>
        </w:tc>
        <w:tc>
          <w:tcPr>
            <w:tcW w:type="dxa" w:w="1568"/>
          </w:tcPr>
          <w:p>
            <w:pPr>
              <w:spacing w:line="240" w:lineRule="auto"/>
            </w:pPr>
            <w:r/>
            <w:r>
              <w:rPr>
                <w:rFonts w:ascii="Times New Roman" w:hAnsi="Times New Roman" w:eastAsia="Times New Roman" w:cs="Times New Roman"/>
                <w:color w:val="000000"/>
                <w:sz w:val="20"/>
              </w:rPr>
              <w:t>imputé</w:t>
            </w:r>
          </w:p>
        </w:tc>
        <w:tc>
          <w:tcPr>
            <w:tcW w:type="dxa" w:w="1568"/>
          </w:tcPr>
          <w:p>
            <w:pPr>
              <w:spacing w:line="240" w:lineRule="auto"/>
            </w:pPr>
            <w:r/>
            <w:r>
              <w:rPr>
                <w:rFonts w:ascii="Times New Roman" w:hAnsi="Times New Roman" w:eastAsia="Times New Roman" w:cs="Times New Roman"/>
                <w:color w:val="000000"/>
                <w:sz w:val="20"/>
              </w:rPr>
              <w:t>2</w:t>
            </w:r>
          </w:p>
        </w:tc>
        <w:tc>
          <w:tcPr>
            <w:tcW w:type="dxa" w:w="1568"/>
          </w:tcPr>
          <w:p>
            <w:pPr>
              <w:spacing w:line="240" w:lineRule="auto"/>
            </w:pPr>
            <w:r/>
            <w:r>
              <w:rPr>
                <w:rFonts w:ascii="Times New Roman" w:hAnsi="Times New Roman" w:eastAsia="Times New Roman" w:cs="Times New Roman"/>
                <w:color w:val="000000"/>
                <w:sz w:val="20"/>
              </w:rPr>
              <w:t>0.48</w:t>
            </w:r>
          </w:p>
        </w:tc>
      </w:tr>
      <w:tr>
        <w:tc>
          <w:tcPr>
            <w:tcW w:type="dxa" w:w="1568"/>
          </w:tcPr>
          <w:p>
            <w:pPr>
              <w:spacing w:line="240" w:lineRule="auto"/>
            </w:pPr>
            <w:r/>
            <w:r>
              <w:rPr>
                <w:rFonts w:ascii="Times New Roman" w:hAnsi="Times New Roman" w:eastAsia="Times New Roman" w:cs="Times New Roman"/>
                <w:color w:val="000000"/>
                <w:sz w:val="20"/>
              </w:rPr>
              <w:t>20</w:t>
            </w:r>
          </w:p>
        </w:tc>
        <w:tc>
          <w:tcPr>
            <w:tcW w:type="dxa" w:w="1568"/>
          </w:tcPr>
          <w:p>
            <w:pPr>
              <w:spacing w:line="240" w:lineRule="auto"/>
            </w:pPr>
            <w:r/>
            <w:r>
              <w:rPr>
                <w:rFonts w:ascii="Times New Roman" w:hAnsi="Times New Roman" w:eastAsia="Times New Roman" w:cs="Times New Roman"/>
                <w:color w:val="000000"/>
                <w:sz w:val="20"/>
              </w:rPr>
              <w:t>(Floch et Pocock, 2012)</w:t>
            </w:r>
          </w:p>
        </w:tc>
        <w:tc>
          <w:tcPr>
            <w:tcW w:type="dxa" w:w="1568"/>
          </w:tcPr>
          <w:p>
            <w:pPr>
              <w:spacing w:line="240" w:lineRule="auto"/>
            </w:pPr>
            <w:r/>
            <w:r>
              <w:rPr>
                <w:rFonts w:ascii="Times New Roman" w:hAnsi="Times New Roman" w:eastAsia="Times New Roman" w:cs="Times New Roman"/>
                <w:color w:val="000000"/>
                <w:sz w:val="20"/>
              </w:rPr>
              <w:t>49</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7</w:t>
            </w:r>
          </w:p>
        </w:tc>
        <w:tc>
          <w:tcPr>
            <w:tcW w:type="dxa" w:w="1568"/>
          </w:tcPr>
          <w:p>
            <w:pPr>
              <w:spacing w:line="240" w:lineRule="auto"/>
            </w:pPr>
            <w:r/>
            <w:r>
              <w:rPr>
                <w:rFonts w:ascii="Times New Roman" w:hAnsi="Times New Roman" w:eastAsia="Times New Roman" w:cs="Times New Roman"/>
                <w:color w:val="000000"/>
                <w:sz w:val="20"/>
              </w:rPr>
              <w:t>0.48</w:t>
            </w:r>
          </w:p>
        </w:tc>
      </w:tr>
      <w:tr>
        <w:tc>
          <w:tcPr>
            <w:tcW w:type="dxa" w:w="1568"/>
          </w:tcPr>
          <w:p>
            <w:pPr>
              <w:spacing w:line="240" w:lineRule="auto"/>
            </w:pPr>
            <w:r/>
            <w:r>
              <w:rPr>
                <w:rFonts w:ascii="Times New Roman" w:hAnsi="Times New Roman" w:eastAsia="Times New Roman" w:cs="Times New Roman"/>
                <w:color w:val="000000"/>
                <w:sz w:val="20"/>
              </w:rPr>
              <w:t>21</w:t>
            </w:r>
          </w:p>
        </w:tc>
        <w:tc>
          <w:tcPr>
            <w:tcW w:type="dxa" w:w="1568"/>
          </w:tcPr>
          <w:p>
            <w:pPr>
              <w:spacing w:line="240" w:lineRule="auto"/>
            </w:pPr>
            <w:r/>
            <w:r>
              <w:rPr>
                <w:rFonts w:ascii="Times New Roman" w:hAnsi="Times New Roman" w:eastAsia="Times New Roman" w:cs="Times New Roman"/>
                <w:color w:val="000000"/>
                <w:sz w:val="20"/>
              </w:rPr>
              <w:t>(Raynauld et al., 1966)</w:t>
            </w:r>
          </w:p>
        </w:tc>
        <w:tc>
          <w:tcPr>
            <w:tcW w:type="dxa" w:w="1568"/>
          </w:tcPr>
          <w:p>
            <w:pPr>
              <w:spacing w:line="240" w:lineRule="auto"/>
            </w:pPr>
            <w:r/>
            <w:r>
              <w:rPr>
                <w:rFonts w:ascii="Times New Roman" w:hAnsi="Times New Roman" w:eastAsia="Times New Roman" w:cs="Times New Roman"/>
                <w:color w:val="000000"/>
                <w:sz w:val="20"/>
              </w:rPr>
              <w:t>33</w:t>
            </w:r>
          </w:p>
        </w:tc>
        <w:tc>
          <w:tcPr>
            <w:tcW w:type="dxa" w:w="1568"/>
          </w:tcPr>
          <w:p>
            <w:pPr>
              <w:spacing w:line="240" w:lineRule="auto"/>
            </w:pPr>
            <w:r/>
            <w:r>
              <w:rPr>
                <w:rFonts w:ascii="Times New Roman" w:hAnsi="Times New Roman" w:eastAsia="Times New Roman" w:cs="Times New Roman"/>
                <w:color w:val="000000"/>
                <w:sz w:val="20"/>
              </w:rPr>
              <w:t>imputé</w:t>
            </w:r>
          </w:p>
        </w:tc>
        <w:tc>
          <w:tcPr>
            <w:tcW w:type="dxa" w:w="1568"/>
          </w:tcPr>
          <w:p>
            <w:pPr>
              <w:spacing w:line="240" w:lineRule="auto"/>
            </w:pPr>
            <w:r/>
            <w:r>
              <w:rPr>
                <w:rFonts w:ascii="Times New Roman" w:hAnsi="Times New Roman" w:eastAsia="Times New Roman" w:cs="Times New Roman"/>
                <w:color w:val="000000"/>
                <w:sz w:val="20"/>
              </w:rPr>
              <w:t>56</w:t>
            </w:r>
          </w:p>
        </w:tc>
        <w:tc>
          <w:tcPr>
            <w:tcW w:type="dxa" w:w="1568"/>
          </w:tcPr>
          <w:p>
            <w:pPr>
              <w:spacing w:line="240" w:lineRule="auto"/>
            </w:pPr>
            <w:r/>
            <w:r>
              <w:rPr>
                <w:rFonts w:ascii="Times New Roman" w:hAnsi="Times New Roman" w:eastAsia="Times New Roman" w:cs="Times New Roman"/>
                <w:color w:val="000000"/>
                <w:sz w:val="20"/>
              </w:rPr>
              <w:t>0.47</w:t>
            </w:r>
          </w:p>
        </w:tc>
      </w:tr>
      <w:tr>
        <w:tc>
          <w:tcPr>
            <w:tcW w:type="dxa" w:w="1568"/>
          </w:tcPr>
          <w:p>
            <w:pPr>
              <w:spacing w:line="240" w:lineRule="auto"/>
            </w:pPr>
            <w:r/>
            <w:r>
              <w:rPr>
                <w:rFonts w:ascii="Times New Roman" w:hAnsi="Times New Roman" w:eastAsia="Times New Roman" w:cs="Times New Roman"/>
                <w:color w:val="000000"/>
                <w:sz w:val="20"/>
              </w:rPr>
              <w:t>22</w:t>
            </w:r>
          </w:p>
        </w:tc>
        <w:tc>
          <w:tcPr>
            <w:tcW w:type="dxa" w:w="1568"/>
          </w:tcPr>
          <w:p>
            <w:pPr>
              <w:spacing w:line="240" w:lineRule="auto"/>
            </w:pPr>
            <w:r/>
            <w:r>
              <w:rPr>
                <w:rFonts w:ascii="Times New Roman" w:hAnsi="Times New Roman" w:eastAsia="Times New Roman" w:cs="Times New Roman"/>
                <w:color w:val="000000"/>
                <w:sz w:val="20"/>
              </w:rPr>
              <w:t>(Bourhis et Sioufi, 2017)</w:t>
            </w:r>
          </w:p>
        </w:tc>
        <w:tc>
          <w:tcPr>
            <w:tcW w:type="dxa" w:w="1568"/>
          </w:tcPr>
          <w:p>
            <w:pPr>
              <w:spacing w:line="240" w:lineRule="auto"/>
            </w:pPr>
            <w:r/>
            <w:r>
              <w:rPr>
                <w:rFonts w:ascii="Times New Roman" w:hAnsi="Times New Roman" w:eastAsia="Times New Roman" w:cs="Times New Roman"/>
                <w:color w:val="000000"/>
                <w:sz w:val="20"/>
              </w:rPr>
              <w:t>47</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1</w:t>
            </w:r>
          </w:p>
        </w:tc>
        <w:tc>
          <w:tcPr>
            <w:tcW w:type="dxa" w:w="1568"/>
          </w:tcPr>
          <w:p>
            <w:pPr>
              <w:spacing w:line="240" w:lineRule="auto"/>
            </w:pPr>
            <w:r/>
            <w:r>
              <w:rPr>
                <w:rFonts w:ascii="Times New Roman" w:hAnsi="Times New Roman" w:eastAsia="Times New Roman" w:cs="Times New Roman"/>
                <w:color w:val="000000"/>
                <w:sz w:val="20"/>
              </w:rPr>
              <w:t>0.47</w:t>
            </w:r>
          </w:p>
        </w:tc>
      </w:tr>
      <w:tr>
        <w:tc>
          <w:tcPr>
            <w:tcW w:type="dxa" w:w="1568"/>
          </w:tcPr>
          <w:p>
            <w:pPr>
              <w:spacing w:line="240" w:lineRule="auto"/>
            </w:pPr>
            <w:r/>
            <w:r>
              <w:rPr>
                <w:rFonts w:ascii="Times New Roman" w:hAnsi="Times New Roman" w:eastAsia="Times New Roman" w:cs="Times New Roman"/>
                <w:color w:val="000000"/>
                <w:sz w:val="20"/>
              </w:rPr>
              <w:t>23</w:t>
            </w:r>
          </w:p>
        </w:tc>
        <w:tc>
          <w:tcPr>
            <w:tcW w:type="dxa" w:w="1568"/>
          </w:tcPr>
          <w:p>
            <w:pPr>
              <w:spacing w:line="240" w:lineRule="auto"/>
            </w:pPr>
            <w:r/>
            <w:r>
              <w:rPr>
                <w:rFonts w:ascii="Times New Roman" w:hAnsi="Times New Roman" w:eastAsia="Times New Roman" w:cs="Times New Roman"/>
                <w:color w:val="000000"/>
                <w:sz w:val="20"/>
              </w:rPr>
              <w:t>(Dean et Geloso, 2022)</w:t>
            </w:r>
          </w:p>
        </w:tc>
        <w:tc>
          <w:tcPr>
            <w:tcW w:type="dxa" w:w="1568"/>
          </w:tcPr>
          <w:p>
            <w:pPr>
              <w:spacing w:line="240" w:lineRule="auto"/>
            </w:pPr>
            <w:r/>
            <w:r>
              <w:rPr>
                <w:rFonts w:ascii="Times New Roman" w:hAnsi="Times New Roman" w:eastAsia="Times New Roman" w:cs="Times New Roman"/>
                <w:color w:val="000000"/>
                <w:sz w:val="20"/>
              </w:rPr>
              <w:t>18</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4</w:t>
            </w:r>
          </w:p>
        </w:tc>
        <w:tc>
          <w:tcPr>
            <w:tcW w:type="dxa" w:w="1568"/>
          </w:tcPr>
          <w:p>
            <w:pPr>
              <w:spacing w:line="240" w:lineRule="auto"/>
            </w:pPr>
            <w:r/>
            <w:r>
              <w:rPr>
                <w:rFonts w:ascii="Times New Roman" w:hAnsi="Times New Roman" w:eastAsia="Times New Roman" w:cs="Times New Roman"/>
                <w:color w:val="000000"/>
                <w:sz w:val="20"/>
              </w:rPr>
              <w:t>0.46</w:t>
            </w:r>
          </w:p>
        </w:tc>
      </w:tr>
      <w:tr>
        <w:tc>
          <w:tcPr>
            <w:tcW w:type="dxa" w:w="1568"/>
          </w:tcPr>
          <w:p>
            <w:pPr>
              <w:spacing w:line="240" w:lineRule="auto"/>
            </w:pPr>
            <w:r/>
            <w:r>
              <w:rPr>
                <w:rFonts w:ascii="Times New Roman" w:hAnsi="Times New Roman" w:eastAsia="Times New Roman" w:cs="Times New Roman"/>
                <w:color w:val="000000"/>
                <w:sz w:val="20"/>
              </w:rPr>
              <w:t>24</w:t>
            </w:r>
          </w:p>
        </w:tc>
        <w:tc>
          <w:tcPr>
            <w:tcW w:type="dxa" w:w="1568"/>
          </w:tcPr>
          <w:p>
            <w:pPr>
              <w:spacing w:line="240" w:lineRule="auto"/>
            </w:pPr>
            <w:r/>
            <w:r>
              <w:rPr>
                <w:rFonts w:ascii="Times New Roman" w:hAnsi="Times New Roman" w:eastAsia="Times New Roman" w:cs="Times New Roman"/>
                <w:color w:val="000000"/>
                <w:sz w:val="20"/>
              </w:rPr>
              <w:t>(Grenier et Nadeau, 2016)</w:t>
            </w:r>
          </w:p>
        </w:tc>
        <w:tc>
          <w:tcPr>
            <w:tcW w:type="dxa" w:w="1568"/>
          </w:tcPr>
          <w:p>
            <w:pPr>
              <w:spacing w:line="240" w:lineRule="auto"/>
            </w:pPr>
            <w:r/>
            <w:r>
              <w:rPr>
                <w:rFonts w:ascii="Times New Roman" w:hAnsi="Times New Roman" w:eastAsia="Times New Roman" w:cs="Times New Roman"/>
                <w:color w:val="000000"/>
                <w:sz w:val="20"/>
              </w:rPr>
              <w:t>27</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4</w:t>
            </w:r>
          </w:p>
        </w:tc>
        <w:tc>
          <w:tcPr>
            <w:tcW w:type="dxa" w:w="1568"/>
          </w:tcPr>
          <w:p>
            <w:pPr>
              <w:spacing w:line="240" w:lineRule="auto"/>
            </w:pPr>
            <w:r/>
            <w:r>
              <w:rPr>
                <w:rFonts w:ascii="Times New Roman" w:hAnsi="Times New Roman" w:eastAsia="Times New Roman" w:cs="Times New Roman"/>
                <w:color w:val="000000"/>
                <w:sz w:val="20"/>
              </w:rPr>
              <w:t>0.45</w:t>
            </w:r>
          </w:p>
        </w:tc>
      </w:tr>
      <w:tr>
        <w:tc>
          <w:tcPr>
            <w:tcW w:type="dxa" w:w="1568"/>
          </w:tcPr>
          <w:p>
            <w:pPr>
              <w:spacing w:line="240" w:lineRule="auto"/>
            </w:pPr>
            <w:r/>
            <w:r>
              <w:rPr>
                <w:rFonts w:ascii="Times New Roman" w:hAnsi="Times New Roman" w:eastAsia="Times New Roman" w:cs="Times New Roman"/>
                <w:color w:val="000000"/>
                <w:sz w:val="20"/>
              </w:rPr>
              <w:t>25</w:t>
            </w:r>
          </w:p>
        </w:tc>
        <w:tc>
          <w:tcPr>
            <w:tcW w:type="dxa" w:w="1568"/>
          </w:tcPr>
          <w:p>
            <w:pPr>
              <w:spacing w:line="240" w:lineRule="auto"/>
            </w:pPr>
            <w:r/>
            <w:r>
              <w:rPr>
                <w:rFonts w:ascii="Times New Roman" w:hAnsi="Times New Roman" w:eastAsia="Times New Roman" w:cs="Times New Roman"/>
                <w:color w:val="000000"/>
                <w:sz w:val="20"/>
              </w:rPr>
              <w:t>(Gagnon et al., 2023)</w:t>
            </w:r>
          </w:p>
        </w:tc>
        <w:tc>
          <w:tcPr>
            <w:tcW w:type="dxa" w:w="1568"/>
          </w:tcPr>
          <w:p>
            <w:pPr>
              <w:spacing w:line="240" w:lineRule="auto"/>
            </w:pPr>
            <w:r/>
            <w:r>
              <w:rPr>
                <w:rFonts w:ascii="Times New Roman" w:hAnsi="Times New Roman" w:eastAsia="Times New Roman" w:cs="Times New Roman"/>
                <w:color w:val="000000"/>
                <w:sz w:val="20"/>
              </w:rPr>
              <w:t>12</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4</w:t>
            </w:r>
          </w:p>
        </w:tc>
        <w:tc>
          <w:tcPr>
            <w:tcW w:type="dxa" w:w="1568"/>
          </w:tcPr>
          <w:p>
            <w:pPr>
              <w:spacing w:line="240" w:lineRule="auto"/>
            </w:pPr>
            <w:r/>
            <w:r>
              <w:rPr>
                <w:rFonts w:ascii="Times New Roman" w:hAnsi="Times New Roman" w:eastAsia="Times New Roman" w:cs="Times New Roman"/>
                <w:color w:val="000000"/>
                <w:sz w:val="20"/>
              </w:rPr>
              <w:t>0.45</w:t>
            </w:r>
          </w:p>
        </w:tc>
      </w:tr>
      <w:tr>
        <w:tc>
          <w:tcPr>
            <w:tcW w:type="dxa" w:w="1568"/>
          </w:tcPr>
          <w:p>
            <w:pPr>
              <w:spacing w:line="240" w:lineRule="auto"/>
            </w:pPr>
            <w:r/>
            <w:r>
              <w:rPr>
                <w:rFonts w:ascii="Times New Roman" w:hAnsi="Times New Roman" w:eastAsia="Times New Roman" w:cs="Times New Roman"/>
                <w:color w:val="000000"/>
                <w:sz w:val="20"/>
              </w:rPr>
              <w:t>26</w:t>
            </w:r>
          </w:p>
        </w:tc>
        <w:tc>
          <w:tcPr>
            <w:tcW w:type="dxa" w:w="1568"/>
          </w:tcPr>
          <w:p>
            <w:pPr>
              <w:spacing w:line="240" w:lineRule="auto"/>
            </w:pPr>
            <w:r/>
            <w:r>
              <w:rPr>
                <w:rFonts w:ascii="Times New Roman" w:hAnsi="Times New Roman" w:eastAsia="Times New Roman" w:cs="Times New Roman"/>
                <w:color w:val="000000"/>
                <w:sz w:val="20"/>
              </w:rPr>
              <w:t>(Vaillancourt, 2018)</w:t>
            </w:r>
          </w:p>
        </w:tc>
        <w:tc>
          <w:tcPr>
            <w:tcW w:type="dxa" w:w="1568"/>
          </w:tcPr>
          <w:p>
            <w:pPr>
              <w:spacing w:line="240" w:lineRule="auto"/>
            </w:pPr>
            <w:r/>
            <w:r>
              <w:rPr>
                <w:rFonts w:ascii="Times New Roman" w:hAnsi="Times New Roman" w:eastAsia="Times New Roman" w:cs="Times New Roman"/>
                <w:color w:val="000000"/>
                <w:sz w:val="20"/>
              </w:rPr>
              <w:t>12</w:t>
            </w:r>
          </w:p>
        </w:tc>
        <w:tc>
          <w:tcPr>
            <w:tcW w:type="dxa" w:w="1568"/>
          </w:tcPr>
          <w:p>
            <w:pPr>
              <w:spacing w:line="240" w:lineRule="auto"/>
            </w:pPr>
            <w:r/>
            <w:r>
              <w:rPr>
                <w:rFonts w:ascii="Times New Roman" w:hAnsi="Times New Roman" w:eastAsia="Times New Roman" w:cs="Times New Roman"/>
                <w:color w:val="000000"/>
                <w:sz w:val="20"/>
              </w:rPr>
              <w:t>GS</w:t>
            </w:r>
          </w:p>
        </w:tc>
        <w:tc>
          <w:tcPr>
            <w:tcW w:type="dxa" w:w="1568"/>
          </w:tcPr>
          <w:p>
            <w:pPr>
              <w:spacing w:line="240" w:lineRule="auto"/>
            </w:pPr>
            <w:r/>
            <w:r>
              <w:rPr>
                <w:rFonts w:ascii="Times New Roman" w:hAnsi="Times New Roman" w:eastAsia="Times New Roman" w:cs="Times New Roman"/>
                <w:color w:val="000000"/>
                <w:sz w:val="20"/>
              </w:rPr>
              <w:t>7</w:t>
            </w:r>
          </w:p>
        </w:tc>
        <w:tc>
          <w:tcPr>
            <w:tcW w:type="dxa" w:w="1568"/>
          </w:tcPr>
          <w:p>
            <w:pPr>
              <w:spacing w:line="240" w:lineRule="auto"/>
            </w:pPr>
            <w:r/>
            <w:r>
              <w:rPr>
                <w:rFonts w:ascii="Times New Roman" w:hAnsi="Times New Roman" w:eastAsia="Times New Roman" w:cs="Times New Roman"/>
                <w:color w:val="000000"/>
                <w:sz w:val="20"/>
              </w:rPr>
              <w:t>0.44</w:t>
            </w:r>
          </w:p>
        </w:tc>
      </w:tr>
      <w:tr>
        <w:tc>
          <w:tcPr>
            <w:tcW w:type="dxa" w:w="1568"/>
          </w:tcPr>
          <w:p>
            <w:pPr>
              <w:spacing w:line="240" w:lineRule="auto"/>
            </w:pPr>
            <w:r/>
            <w:r>
              <w:rPr>
                <w:rFonts w:ascii="Times New Roman" w:hAnsi="Times New Roman" w:eastAsia="Times New Roman" w:cs="Times New Roman"/>
                <w:color w:val="000000"/>
                <w:sz w:val="20"/>
              </w:rPr>
              <w:t>27</w:t>
            </w:r>
          </w:p>
        </w:tc>
        <w:tc>
          <w:tcPr>
            <w:tcW w:type="dxa" w:w="1568"/>
          </w:tcPr>
          <w:p>
            <w:pPr>
              <w:spacing w:line="240" w:lineRule="auto"/>
            </w:pPr>
            <w:r/>
            <w:r>
              <w:rPr>
                <w:rFonts w:ascii="Times New Roman" w:hAnsi="Times New Roman" w:eastAsia="Times New Roman" w:cs="Times New Roman"/>
                <w:color w:val="000000"/>
                <w:sz w:val="20"/>
              </w:rPr>
              <w:t>(Grenier, 2019)</w:t>
            </w:r>
          </w:p>
        </w:tc>
        <w:tc>
          <w:tcPr>
            <w:tcW w:type="dxa" w:w="1568"/>
          </w:tcPr>
          <w:p>
            <w:pPr>
              <w:spacing w:line="240" w:lineRule="auto"/>
            </w:pPr>
            <w:r/>
            <w:r>
              <w:rPr>
                <w:rFonts w:ascii="Times New Roman" w:hAnsi="Times New Roman" w:eastAsia="Times New Roman" w:cs="Times New Roman"/>
                <w:color w:val="000000"/>
                <w:sz w:val="20"/>
              </w:rPr>
              <w:t>11</w:t>
            </w:r>
          </w:p>
        </w:tc>
        <w:tc>
          <w:tcPr>
            <w:tcW w:type="dxa" w:w="1568"/>
          </w:tcPr>
          <w:p>
            <w:pPr>
              <w:spacing w:line="240" w:lineRule="auto"/>
            </w:pPr>
            <w:r/>
            <w:r>
              <w:rPr>
                <w:rFonts w:ascii="Times New Roman" w:hAnsi="Times New Roman" w:eastAsia="Times New Roman" w:cs="Times New Roman"/>
                <w:color w:val="000000"/>
                <w:sz w:val="20"/>
              </w:rPr>
              <w:t>Cons. cal.</w:t>
            </w:r>
          </w:p>
        </w:tc>
        <w:tc>
          <w:tcPr>
            <w:tcW w:type="dxa" w:w="1568"/>
          </w:tcPr>
          <w:p>
            <w:pPr>
              <w:spacing w:line="240" w:lineRule="auto"/>
            </w:pPr>
            <w:r/>
            <w:r>
              <w:rPr>
                <w:rFonts w:ascii="Times New Roman" w:hAnsi="Times New Roman" w:eastAsia="Times New Roman" w:cs="Times New Roman"/>
                <w:color w:val="000000"/>
                <w:sz w:val="20"/>
              </w:rPr>
              <w:t>6</w:t>
            </w:r>
          </w:p>
        </w:tc>
        <w:tc>
          <w:tcPr>
            <w:tcW w:type="dxa" w:w="1568"/>
          </w:tcPr>
          <w:p>
            <w:pPr>
              <w:spacing w:line="240" w:lineRule="auto"/>
            </w:pPr>
            <w:r/>
            <w:r>
              <w:rPr>
                <w:rFonts w:ascii="Times New Roman" w:hAnsi="Times New Roman" w:eastAsia="Times New Roman" w:cs="Times New Roman"/>
                <w:color w:val="000000"/>
                <w:sz w:val="20"/>
              </w:rPr>
              <w:t>0.44</w:t>
            </w:r>
          </w:p>
        </w:tc>
      </w:tr>
      <w:tr>
        <w:tc>
          <w:tcPr>
            <w:tcW w:type="dxa" w:w="1568"/>
          </w:tcPr>
          <w:p>
            <w:pPr>
              <w:spacing w:line="240" w:lineRule="auto"/>
            </w:pPr>
            <w:r/>
            <w:r>
              <w:rPr>
                <w:rFonts w:ascii="Times New Roman" w:hAnsi="Times New Roman" w:eastAsia="Times New Roman" w:cs="Times New Roman"/>
                <w:color w:val="000000"/>
                <w:sz w:val="20"/>
              </w:rPr>
              <w:t>28</w:t>
            </w:r>
          </w:p>
        </w:tc>
        <w:tc>
          <w:tcPr>
            <w:tcW w:type="dxa" w:w="1568"/>
          </w:tcPr>
          <w:p>
            <w:pPr>
              <w:spacing w:line="240" w:lineRule="auto"/>
            </w:pPr>
            <w:r/>
            <w:r>
              <w:rPr>
                <w:rFonts w:ascii="Times New Roman" w:hAnsi="Times New Roman" w:eastAsia="Times New Roman" w:cs="Times New Roman"/>
                <w:color w:val="000000"/>
                <w:sz w:val="20"/>
              </w:rPr>
              <w:t>(Vaillancourt et Touchette, 2001)</w:t>
            </w:r>
          </w:p>
        </w:tc>
        <w:tc>
          <w:tcPr>
            <w:tcW w:type="dxa" w:w="1568"/>
          </w:tcPr>
          <w:p>
            <w:pPr>
              <w:spacing w:line="240" w:lineRule="auto"/>
            </w:pPr>
            <w:r/>
            <w:r>
              <w:rPr>
                <w:rFonts w:ascii="Times New Roman" w:hAnsi="Times New Roman" w:eastAsia="Times New Roman" w:cs="Times New Roman"/>
                <w:color w:val="000000"/>
                <w:sz w:val="20"/>
              </w:rPr>
              <w:t>33</w:t>
            </w:r>
          </w:p>
        </w:tc>
        <w:tc>
          <w:tcPr>
            <w:tcW w:type="dxa" w:w="1568"/>
          </w:tcPr>
          <w:p>
            <w:pPr>
              <w:spacing w:line="240" w:lineRule="auto"/>
            </w:pPr>
            <w:r/>
            <w:r>
              <w:rPr>
                <w:rFonts w:ascii="Times New Roman" w:hAnsi="Times New Roman" w:eastAsia="Times New Roman" w:cs="Times New Roman"/>
                <w:color w:val="000000"/>
                <w:sz w:val="20"/>
              </w:rPr>
              <w:t>imputé</w:t>
            </w:r>
          </w:p>
        </w:tc>
        <w:tc>
          <w:tcPr>
            <w:tcW w:type="dxa" w:w="1568"/>
          </w:tcPr>
          <w:p>
            <w:pPr>
              <w:spacing w:line="240" w:lineRule="auto"/>
            </w:pPr>
            <w:r/>
            <w:r>
              <w:rPr>
                <w:rFonts w:ascii="Times New Roman" w:hAnsi="Times New Roman" w:eastAsia="Times New Roman" w:cs="Times New Roman"/>
                <w:color w:val="000000"/>
                <w:sz w:val="20"/>
              </w:rPr>
              <w:t>13</w:t>
            </w:r>
          </w:p>
        </w:tc>
        <w:tc>
          <w:tcPr>
            <w:tcW w:type="dxa" w:w="1568"/>
          </w:tcPr>
          <w:p>
            <w:pPr>
              <w:spacing w:line="240" w:lineRule="auto"/>
            </w:pPr>
            <w:r/>
            <w:r>
              <w:rPr>
                <w:rFonts w:ascii="Times New Roman" w:hAnsi="Times New Roman" w:eastAsia="Times New Roman" w:cs="Times New Roman"/>
                <w:color w:val="000000"/>
                <w:sz w:val="20"/>
              </w:rPr>
              <w:t>0.44</w:t>
            </w:r>
          </w:p>
        </w:tc>
      </w:tr>
      <w:tr>
        <w:tc>
          <w:tcPr>
            <w:tcW w:type="dxa" w:w="1568"/>
          </w:tcPr>
          <w:p>
            <w:pPr>
              <w:spacing w:line="240" w:lineRule="auto"/>
            </w:pPr>
            <w:r/>
            <w:r>
              <w:rPr>
                <w:rFonts w:ascii="Times New Roman" w:hAnsi="Times New Roman" w:eastAsia="Times New Roman" w:cs="Times New Roman"/>
                <w:color w:val="000000"/>
                <w:sz w:val="20"/>
              </w:rPr>
              <w:t>29</w:t>
            </w:r>
          </w:p>
        </w:tc>
        <w:tc>
          <w:tcPr>
            <w:tcW w:type="dxa" w:w="1568"/>
          </w:tcPr>
          <w:p>
            <w:pPr>
              <w:spacing w:line="240" w:lineRule="auto"/>
            </w:pPr>
            <w:r/>
            <w:r>
              <w:rPr>
                <w:rFonts w:ascii="Times New Roman" w:hAnsi="Times New Roman" w:eastAsia="Times New Roman" w:cs="Times New Roman"/>
                <w:color w:val="000000"/>
                <w:sz w:val="20"/>
              </w:rPr>
              <w:t>(Pettinicchio, 2012)</w:t>
            </w:r>
          </w:p>
        </w:tc>
        <w:tc>
          <w:tcPr>
            <w:tcW w:type="dxa" w:w="1568"/>
          </w:tcPr>
          <w:p>
            <w:pPr>
              <w:spacing w:line="240" w:lineRule="auto"/>
            </w:pPr>
            <w:r/>
            <w:r>
              <w:rPr>
                <w:rFonts w:ascii="Times New Roman" w:hAnsi="Times New Roman" w:eastAsia="Times New Roman" w:cs="Times New Roman"/>
                <w:color w:val="000000"/>
                <w:sz w:val="20"/>
              </w:rPr>
              <w:t>31</w:t>
            </w:r>
          </w:p>
        </w:tc>
        <w:tc>
          <w:tcPr>
            <w:tcW w:type="dxa" w:w="1568"/>
          </w:tcPr>
          <w:p>
            <w:pPr>
              <w:spacing w:line="240" w:lineRule="auto"/>
            </w:pPr>
            <w:r/>
            <w:r>
              <w:rPr>
                <w:rFonts w:ascii="Times New Roman" w:hAnsi="Times New Roman" w:eastAsia="Times New Roman" w:cs="Times New Roman"/>
                <w:color w:val="000000"/>
                <w:sz w:val="20"/>
              </w:rPr>
              <w:t>Cons. cal.</w:t>
            </w:r>
          </w:p>
        </w:tc>
        <w:tc>
          <w:tcPr>
            <w:tcW w:type="dxa" w:w="1568"/>
          </w:tcPr>
          <w:p>
            <w:pPr>
              <w:spacing w:line="240" w:lineRule="auto"/>
            </w:pPr>
            <w:r/>
            <w:r>
              <w:rPr>
                <w:rFonts w:ascii="Times New Roman" w:hAnsi="Times New Roman" w:eastAsia="Times New Roman" w:cs="Times New Roman"/>
                <w:color w:val="000000"/>
                <w:sz w:val="20"/>
              </w:rPr>
              <w:t>2</w:t>
            </w:r>
          </w:p>
        </w:tc>
        <w:tc>
          <w:tcPr>
            <w:tcW w:type="dxa" w:w="1568"/>
          </w:tcPr>
          <w:p>
            <w:pPr>
              <w:spacing w:line="240" w:lineRule="auto"/>
            </w:pPr>
            <w:r/>
            <w:r>
              <w:rPr>
                <w:rFonts w:ascii="Times New Roman" w:hAnsi="Times New Roman" w:eastAsia="Times New Roman" w:cs="Times New Roman"/>
                <w:color w:val="000000"/>
                <w:sz w:val="20"/>
              </w:rPr>
              <w:t>0.44</w:t>
            </w:r>
          </w:p>
        </w:tc>
      </w:tr>
      <w:tr>
        <w:tc>
          <w:tcPr>
            <w:tcW w:type="dxa" w:w="1568"/>
          </w:tcPr>
          <w:p>
            <w:pPr>
              <w:spacing w:line="240" w:lineRule="auto"/>
            </w:pPr>
            <w:r/>
            <w:r>
              <w:rPr>
                <w:rFonts w:ascii="Times New Roman" w:hAnsi="Times New Roman" w:eastAsia="Times New Roman" w:cs="Times New Roman"/>
                <w:color w:val="000000"/>
                <w:sz w:val="20"/>
              </w:rPr>
              <w:t>30</w:t>
            </w:r>
          </w:p>
        </w:tc>
        <w:tc>
          <w:tcPr>
            <w:tcW w:type="dxa" w:w="1568"/>
          </w:tcPr>
          <w:p>
            <w:pPr>
              <w:spacing w:line="240" w:lineRule="auto"/>
            </w:pPr>
            <w:r/>
            <w:r>
              <w:rPr>
                <w:rFonts w:ascii="Times New Roman" w:hAnsi="Times New Roman" w:eastAsia="Times New Roman" w:cs="Times New Roman"/>
                <w:color w:val="000000"/>
                <w:sz w:val="20"/>
              </w:rPr>
              <w:t>(Vaillancourt et Vaillancourt, 2005)</w:t>
            </w:r>
          </w:p>
        </w:tc>
        <w:tc>
          <w:tcPr>
            <w:tcW w:type="dxa" w:w="1568"/>
          </w:tcPr>
          <w:p>
            <w:pPr>
              <w:spacing w:line="240" w:lineRule="auto"/>
            </w:pPr>
            <w:r/>
            <w:r>
              <w:rPr>
                <w:rFonts w:ascii="Times New Roman" w:hAnsi="Times New Roman" w:eastAsia="Times New Roman" w:cs="Times New Roman"/>
                <w:color w:val="000000"/>
                <w:sz w:val="20"/>
              </w:rPr>
              <w:t>33</w:t>
            </w:r>
          </w:p>
        </w:tc>
        <w:tc>
          <w:tcPr>
            <w:tcW w:type="dxa" w:w="1568"/>
          </w:tcPr>
          <w:p>
            <w:pPr>
              <w:spacing w:line="240" w:lineRule="auto"/>
            </w:pPr>
            <w:r/>
            <w:r>
              <w:rPr>
                <w:rFonts w:ascii="Times New Roman" w:hAnsi="Times New Roman" w:eastAsia="Times New Roman" w:cs="Times New Roman"/>
                <w:color w:val="000000"/>
                <w:sz w:val="20"/>
              </w:rPr>
              <w:t>imputé</w:t>
            </w:r>
          </w:p>
        </w:tc>
        <w:tc>
          <w:tcPr>
            <w:tcW w:type="dxa" w:w="1568"/>
          </w:tcPr>
          <w:p>
            <w:pPr>
              <w:spacing w:line="240" w:lineRule="auto"/>
            </w:pPr>
            <w:r/>
            <w:r>
              <w:rPr>
                <w:rFonts w:ascii="Times New Roman" w:hAnsi="Times New Roman" w:eastAsia="Times New Roman" w:cs="Times New Roman"/>
                <w:color w:val="000000"/>
                <w:sz w:val="20"/>
              </w:rPr>
              <w:t>7</w:t>
            </w:r>
          </w:p>
        </w:tc>
        <w:tc>
          <w:tcPr>
            <w:tcW w:type="dxa" w:w="1568"/>
          </w:tcPr>
          <w:p>
            <w:pPr>
              <w:spacing w:line="240" w:lineRule="auto"/>
            </w:pPr>
            <w:r/>
            <w:r>
              <w:rPr>
                <w:rFonts w:ascii="Times New Roman" w:hAnsi="Times New Roman" w:eastAsia="Times New Roman" w:cs="Times New Roman"/>
                <w:color w:val="000000"/>
                <w:sz w:val="20"/>
              </w:rPr>
              <w:t>0.43</w:t>
            </w:r>
          </w:p>
        </w:tc>
      </w:tr>
    </w:tbl>
    <w:p>
      <w:pPr>
        <w:pStyle w:val="Caption"/>
        <w:spacing w:line="240" w:lineRule="auto"/>
      </w:pPr>
      <w:r>
        <w:rPr>
          <w:rFonts w:ascii="Times New Roman" w:hAnsi="Times New Roman" w:eastAsia="Times New Roman" w:cs="Times New Roman"/>
          <w:color w:val="000000"/>
          <w:sz w:val="24"/>
        </w:rPr>
        <w:t>Tableau 1. Composantes de l'indice de pertinence des trente lectures (GS : Google Scholar ; Cons. cal. : compte Consensus ramené à l'échelle Google Scholar ; imputé : médiane).</w:t>
      </w:r>
    </w:p>
    <w:p>
      <w:pPr>
        <w:pStyle w:val="Heading1"/>
      </w:pPr>
      <w:r>
        <w:rPr>
          <w:rFonts w:ascii="Times New Roman" w:hAnsi="Times New Roman" w:eastAsia="Times New Roman" w:cs="Times New Roman"/>
          <w:b/>
          <w:color w:val="000000"/>
          <w:sz w:val="24"/>
        </w:rPr>
        <w:t>3. Bibliographie {-}</w:t>
      </w:r>
    </w:p>
    <w:p>
      <w:pPr>
        <w:spacing w:line="480" w:lineRule="auto"/>
        <w:jc w:val="both"/>
      </w:pPr>
      <w:r>
        <w:rPr>
          <w:rFonts w:ascii="Times New Roman" w:hAnsi="Times New Roman" w:eastAsia="Times New Roman" w:cs="Times New Roman"/>
          <w:color w:val="000000"/>
          <w:sz w:val="24"/>
        </w:rPr>
        <w:t>&lt;div class="bibliographie"&gt;</w:t>
      </w:r>
    </w:p>
    <w:p>
      <w:pPr>
        <w:ind w:left="709" w:hanging="709"/>
      </w:pPr>
      <w:r>
        <w:rPr>
          <w:rFonts w:ascii="Times New Roman" w:hAnsi="Times New Roman" w:eastAsia="Times New Roman" w:cs="Times New Roman"/>
          <w:color w:val="000000"/>
          <w:sz w:val="24"/>
        </w:rPr>
        <w:t xml:space="preserve">Albouy, D. (2008). The wage gap between Francophones and Anglophones: a Canadian perspective, 1970-2000. </w:t>
      </w:r>
      <w:r>
        <w:rPr>
          <w:rFonts w:ascii="Times New Roman" w:hAnsi="Times New Roman" w:eastAsia="Times New Roman" w:cs="Times New Roman"/>
          <w:i/>
          <w:color w:val="000000"/>
          <w:sz w:val="24"/>
        </w:rPr>
        <w:t>Canadian Journal of Economics, 41(4), 1211-1238</w:t>
      </w:r>
      <w:r>
        <w:rPr>
          <w:rFonts w:ascii="Times New Roman" w:hAnsi="Times New Roman" w:eastAsia="Times New Roman" w:cs="Times New Roman"/>
          <w:color w:val="000000"/>
          <w:sz w:val="24"/>
        </w:rPr>
        <w:t>. https://doi.org/10.1111/j.1540-5982.2008.00501.x</w:t>
      </w:r>
    </w:p>
    <w:p>
      <w:pPr>
        <w:ind w:left="709" w:hanging="709"/>
      </w:pPr>
      <w:r>
        <w:rPr>
          <w:rFonts w:ascii="Times New Roman" w:hAnsi="Times New Roman" w:eastAsia="Times New Roman" w:cs="Times New Roman"/>
          <w:color w:val="000000"/>
          <w:sz w:val="24"/>
        </w:rPr>
        <w:t xml:space="preserve">Boulet, J. A. (1980). Language and Earnings in Montreal / La langue et le revenu du travail à Montréal. </w:t>
      </w:r>
      <w:r>
        <w:rPr>
          <w:rFonts w:ascii="Times New Roman" w:hAnsi="Times New Roman" w:eastAsia="Times New Roman" w:cs="Times New Roman"/>
          <w:i/>
          <w:color w:val="000000"/>
          <w:sz w:val="24"/>
        </w:rPr>
        <w:t>Ottawa : Conseil économique du Canada</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Bourhis, R. Y. (2019). Evaluating the impact of Bill 101 on the English-speaking communities of Quebec. </w:t>
      </w:r>
      <w:r>
        <w:rPr>
          <w:rFonts w:ascii="Times New Roman" w:hAnsi="Times New Roman" w:eastAsia="Times New Roman" w:cs="Times New Roman"/>
          <w:i/>
          <w:color w:val="000000"/>
          <w:sz w:val="24"/>
        </w:rPr>
        <w:t>Language Problems and Language Planning, 43(2)</w:t>
      </w:r>
      <w:r>
        <w:rPr>
          <w:rFonts w:ascii="Times New Roman" w:hAnsi="Times New Roman" w:eastAsia="Times New Roman" w:cs="Times New Roman"/>
          <w:color w:val="000000"/>
          <w:sz w:val="24"/>
        </w:rPr>
        <w:t>. https://doi.org/10.1075/lplp.00042.bou</w:t>
      </w:r>
    </w:p>
    <w:p>
      <w:pPr>
        <w:ind w:left="709" w:hanging="709"/>
      </w:pPr>
      <w:r>
        <w:rPr>
          <w:rFonts w:ascii="Times New Roman" w:hAnsi="Times New Roman" w:eastAsia="Times New Roman" w:cs="Times New Roman"/>
          <w:color w:val="000000"/>
          <w:sz w:val="24"/>
        </w:rPr>
        <w:t xml:space="preserve">Bourhis, R. Y. et Sioufi, R. (2017). Assessing forty years of language planning on the vitality of the francophone and anglophone communities of Quebec. </w:t>
      </w:r>
      <w:r>
        <w:rPr>
          <w:rFonts w:ascii="Times New Roman" w:hAnsi="Times New Roman" w:eastAsia="Times New Roman" w:cs="Times New Roman"/>
          <w:i/>
          <w:color w:val="000000"/>
          <w:sz w:val="24"/>
        </w:rPr>
        <w:t>Multilingua, 36(5), 627-661</w:t>
      </w:r>
      <w:r>
        <w:rPr>
          <w:rFonts w:ascii="Times New Roman" w:hAnsi="Times New Roman" w:eastAsia="Times New Roman" w:cs="Times New Roman"/>
          <w:color w:val="000000"/>
          <w:sz w:val="24"/>
        </w:rPr>
        <w:t>. https://doi.org/10.1515/multi-2017-3048</w:t>
      </w:r>
    </w:p>
    <w:p>
      <w:pPr>
        <w:ind w:left="709" w:hanging="709"/>
      </w:pPr>
      <w:r>
        <w:rPr>
          <w:rFonts w:ascii="Times New Roman" w:hAnsi="Times New Roman" w:eastAsia="Times New Roman" w:cs="Times New Roman"/>
          <w:color w:val="000000"/>
          <w:sz w:val="24"/>
        </w:rPr>
        <w:t xml:space="preserve">Carliner, G. (1981). Wage differences by language group and the market for language skills in Canada. </w:t>
      </w:r>
      <w:r>
        <w:rPr>
          <w:rFonts w:ascii="Times New Roman" w:hAnsi="Times New Roman" w:eastAsia="Times New Roman" w:cs="Times New Roman"/>
          <w:i/>
          <w:color w:val="000000"/>
          <w:sz w:val="24"/>
        </w:rPr>
        <w:t>Journal of Human Resources, 16(3), 384-399</w:t>
      </w:r>
      <w:r>
        <w:rPr>
          <w:rFonts w:ascii="Times New Roman" w:hAnsi="Times New Roman" w:eastAsia="Times New Roman" w:cs="Times New Roman"/>
          <w:color w:val="000000"/>
          <w:sz w:val="24"/>
        </w:rPr>
        <w:t>. https://doi.org/10.2307/145627</w:t>
      </w:r>
    </w:p>
    <w:p>
      <w:pPr>
        <w:ind w:left="709" w:hanging="709"/>
      </w:pPr>
      <w:r>
        <w:rPr>
          <w:rFonts w:ascii="Times New Roman" w:hAnsi="Times New Roman" w:eastAsia="Times New Roman" w:cs="Times New Roman"/>
          <w:color w:val="000000"/>
          <w:sz w:val="24"/>
        </w:rPr>
        <w:t xml:space="preserve">Chiswick, B. R. et Miller, P. W. (1988). Earnings in Canada: The roles of immigrant generation, French ethnicity, and language. </w:t>
      </w:r>
      <w:r>
        <w:rPr>
          <w:rFonts w:ascii="Times New Roman" w:hAnsi="Times New Roman" w:eastAsia="Times New Roman" w:cs="Times New Roman"/>
          <w:i/>
          <w:color w:val="000000"/>
          <w:sz w:val="24"/>
        </w:rPr>
        <w:t>Research in Population Economics, 6, 183-228 (réédité 2007 dans The Economics of Language, Routledge)</w:t>
      </w:r>
      <w:r>
        <w:rPr>
          <w:rFonts w:ascii="Times New Roman" w:hAnsi="Times New Roman" w:eastAsia="Times New Roman" w:cs="Times New Roman"/>
          <w:color w:val="000000"/>
          <w:sz w:val="24"/>
        </w:rPr>
        <w:t>. https://doi.org/10.4324/9780203963159-26</w:t>
      </w:r>
    </w:p>
    <w:p>
      <w:pPr>
        <w:ind w:left="709" w:hanging="709"/>
      </w:pPr>
      <w:r>
        <w:rPr>
          <w:rFonts w:ascii="Times New Roman" w:hAnsi="Times New Roman" w:eastAsia="Times New Roman" w:cs="Times New Roman"/>
          <w:color w:val="000000"/>
          <w:sz w:val="24"/>
        </w:rPr>
        <w:t xml:space="preserve">Christofides, L. N. et Swidinsky, R. (2010). The economic returns to the knowledge and use of a second official language: English in Quebec and French in the rest-of-Canada. </w:t>
      </w:r>
      <w:r>
        <w:rPr>
          <w:rFonts w:ascii="Times New Roman" w:hAnsi="Times New Roman" w:eastAsia="Times New Roman" w:cs="Times New Roman"/>
          <w:i/>
          <w:color w:val="000000"/>
          <w:sz w:val="24"/>
        </w:rPr>
        <w:t>Canadian Public Policy / Analyse de politiques, 36(2), 137-158</w:t>
      </w:r>
      <w:r>
        <w:rPr>
          <w:rFonts w:ascii="Times New Roman" w:hAnsi="Times New Roman" w:eastAsia="Times New Roman" w:cs="Times New Roman"/>
          <w:color w:val="000000"/>
          <w:sz w:val="24"/>
        </w:rPr>
        <w:t>. https://doi.org/10.3138/cpp.36.2.137</w:t>
      </w:r>
    </w:p>
    <w:p>
      <w:pPr>
        <w:ind w:left="709" w:hanging="709"/>
      </w:pPr>
      <w:r>
        <w:rPr>
          <w:rFonts w:ascii="Times New Roman" w:hAnsi="Times New Roman" w:eastAsia="Times New Roman" w:cs="Times New Roman"/>
          <w:color w:val="000000"/>
          <w:sz w:val="24"/>
        </w:rPr>
        <w:t xml:space="preserve">Commission royale d'enquête sur le bilinguisme et le biculturalisme (Laurendeau-Dunton) (1969). Rapport de la Commission royale d'enquête sur le bilinguisme et le biculturalisme, Livre III : Le monde du travail. </w:t>
      </w:r>
      <w:r>
        <w:rPr>
          <w:rFonts w:ascii="Times New Roman" w:hAnsi="Times New Roman" w:eastAsia="Times New Roman" w:cs="Times New Roman"/>
          <w:i/>
          <w:color w:val="000000"/>
          <w:sz w:val="24"/>
        </w:rPr>
        <w:t>Ottawa : Imprimeur de la Reine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Dean, J. et Geloso, V. (2022). The linguistic wage gap in Quebec, 1901 to 1951. </w:t>
      </w:r>
      <w:r>
        <w:rPr>
          <w:rFonts w:ascii="Times New Roman" w:hAnsi="Times New Roman" w:eastAsia="Times New Roman" w:cs="Times New Roman"/>
          <w:i/>
          <w:color w:val="000000"/>
          <w:sz w:val="24"/>
        </w:rPr>
        <w:t>Cliometrica</w:t>
      </w:r>
      <w:r>
        <w:rPr>
          <w:rFonts w:ascii="Times New Roman" w:hAnsi="Times New Roman" w:eastAsia="Times New Roman" w:cs="Times New Roman"/>
          <w:color w:val="000000"/>
          <w:sz w:val="24"/>
        </w:rPr>
        <w:t>. https://doi.org/10.1007/s11698-021-00236-3</w:t>
      </w:r>
    </w:p>
    <w:p>
      <w:pPr>
        <w:ind w:left="709" w:hanging="709"/>
      </w:pPr>
      <w:r>
        <w:rPr>
          <w:rFonts w:ascii="Times New Roman" w:hAnsi="Times New Roman" w:eastAsia="Times New Roman" w:cs="Times New Roman"/>
          <w:color w:val="000000"/>
          <w:sz w:val="24"/>
        </w:rPr>
        <w:t xml:space="preserve">Floch, W. et Pocock, J. (2012). The socio-economic status of English-speaking Quebec: Those who left and those who stayed. </w:t>
      </w:r>
      <w:r>
        <w:rPr>
          <w:rFonts w:ascii="Times New Roman" w:hAnsi="Times New Roman" w:eastAsia="Times New Roman" w:cs="Times New Roman"/>
          <w:i/>
          <w:color w:val="000000"/>
          <w:sz w:val="24"/>
        </w:rPr>
        <w:t>In R. Y. Bourhis (dir.), Decline and Prospects of the English-Speaking Communities of Quebec, Ottawa : Patrimoine canadien, 127-173</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Gagnon, J., Geloso, V. et Isabelle, M. (2023). The incubated revolution: Education, cohort effects, and the linguistic wage gap in Quebec during the 20th century. </w:t>
      </w:r>
      <w:r>
        <w:rPr>
          <w:rFonts w:ascii="Times New Roman" w:hAnsi="Times New Roman" w:eastAsia="Times New Roman" w:cs="Times New Roman"/>
          <w:i/>
          <w:color w:val="000000"/>
          <w:sz w:val="24"/>
        </w:rPr>
        <w:t>Journal of Economic Behavior &amp; Organization</w:t>
      </w:r>
      <w:r>
        <w:rPr>
          <w:rFonts w:ascii="Times New Roman" w:hAnsi="Times New Roman" w:eastAsia="Times New Roman" w:cs="Times New Roman"/>
          <w:color w:val="000000"/>
          <w:sz w:val="24"/>
        </w:rPr>
        <w:t>. https://doi.org/10.1016/j.jebo.2022.12.017</w:t>
      </w:r>
    </w:p>
    <w:p>
      <w:pPr>
        <w:ind w:left="709" w:hanging="709"/>
      </w:pPr>
      <w:r>
        <w:rPr>
          <w:rFonts w:ascii="Times New Roman" w:hAnsi="Times New Roman" w:eastAsia="Times New Roman" w:cs="Times New Roman"/>
          <w:color w:val="000000"/>
          <w:sz w:val="24"/>
        </w:rPr>
        <w:t xml:space="preserve">Grenier, G. (1987). Earnings by language group in Quebec in 1980 and emigration from Quebec between 1976 and 1981. </w:t>
      </w:r>
      <w:r>
        <w:rPr>
          <w:rFonts w:ascii="Times New Roman" w:hAnsi="Times New Roman" w:eastAsia="Times New Roman" w:cs="Times New Roman"/>
          <w:i/>
          <w:color w:val="000000"/>
          <w:sz w:val="24"/>
        </w:rPr>
        <w:t>Canadian Journal of Economics, 20(4), 774-791</w:t>
      </w:r>
      <w:r>
        <w:rPr>
          <w:rFonts w:ascii="Times New Roman" w:hAnsi="Times New Roman" w:eastAsia="Times New Roman" w:cs="Times New Roman"/>
          <w:color w:val="000000"/>
          <w:sz w:val="24"/>
        </w:rPr>
        <w:t>. https://doi.org/10.2307/135415</w:t>
      </w:r>
    </w:p>
    <w:p>
      <w:pPr>
        <w:ind w:left="709" w:hanging="709"/>
      </w:pPr>
      <w:r>
        <w:rPr>
          <w:rFonts w:ascii="Times New Roman" w:hAnsi="Times New Roman" w:eastAsia="Times New Roman" w:cs="Times New Roman"/>
          <w:color w:val="000000"/>
          <w:sz w:val="24"/>
        </w:rPr>
        <w:t xml:space="preserve">Grenier, G. (2019). Quebec's language policy and economic globalization. </w:t>
      </w:r>
      <w:r>
        <w:rPr>
          <w:rFonts w:ascii="Times New Roman" w:hAnsi="Times New Roman" w:eastAsia="Times New Roman" w:cs="Times New Roman"/>
          <w:i/>
          <w:color w:val="000000"/>
          <w:sz w:val="24"/>
        </w:rPr>
        <w:t>Language Problems and Language Planning, 43(2)</w:t>
      </w:r>
      <w:r>
        <w:rPr>
          <w:rFonts w:ascii="Times New Roman" w:hAnsi="Times New Roman" w:eastAsia="Times New Roman" w:cs="Times New Roman"/>
          <w:color w:val="000000"/>
          <w:sz w:val="24"/>
        </w:rPr>
        <w:t>. https://doi.org/10.1075/lplp.00041.gre</w:t>
      </w:r>
    </w:p>
    <w:p>
      <w:pPr>
        <w:ind w:left="709" w:hanging="709"/>
      </w:pPr>
      <w:r>
        <w:rPr>
          <w:rFonts w:ascii="Times New Roman" w:hAnsi="Times New Roman" w:eastAsia="Times New Roman" w:cs="Times New Roman"/>
          <w:color w:val="000000"/>
          <w:sz w:val="24"/>
        </w:rPr>
        <w:t xml:space="preserve">Grenier, G. et Nadeau, S. (2016). English as the lingua franca and the economic value of other languages: The case of the language of work in the Montreal labor market. </w:t>
      </w:r>
      <w:r>
        <w:rPr>
          <w:rFonts w:ascii="Times New Roman" w:hAnsi="Times New Roman" w:eastAsia="Times New Roman" w:cs="Times New Roman"/>
          <w:i/>
          <w:color w:val="000000"/>
          <w:sz w:val="24"/>
        </w:rPr>
        <w:t>In M. Gazzola et B.-A. Wickström (dir.), The Economics of Language Policy, Cambridge (MA) : MIT Press, 267-312</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Levine, M. V. (1990). The Reconquest of Montreal: Language Policy and Social Change in a Bilingual City. </w:t>
      </w:r>
      <w:r>
        <w:rPr>
          <w:rFonts w:ascii="Times New Roman" w:hAnsi="Times New Roman" w:eastAsia="Times New Roman" w:cs="Times New Roman"/>
          <w:i/>
          <w:color w:val="000000"/>
          <w:sz w:val="24"/>
        </w:rPr>
        <w:t>Philadelphia : Temple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Lieberson, S. (1970). Language and Ethnic Relations in Canada. </w:t>
      </w:r>
      <w:r>
        <w:rPr>
          <w:rFonts w:ascii="Times New Roman" w:hAnsi="Times New Roman" w:eastAsia="Times New Roman" w:cs="Times New Roman"/>
          <w:i/>
          <w:color w:val="000000"/>
          <w:sz w:val="24"/>
        </w:rPr>
        <w:t>New York : John Wiley &amp; Sons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Nadeau, S. (2010). Another look at the Francophone wage gap in Canada: Public and private sectors, Quebec and outside Quebec. </w:t>
      </w:r>
      <w:r>
        <w:rPr>
          <w:rFonts w:ascii="Times New Roman" w:hAnsi="Times New Roman" w:eastAsia="Times New Roman" w:cs="Times New Roman"/>
          <w:i/>
          <w:color w:val="000000"/>
          <w:sz w:val="24"/>
        </w:rPr>
        <w:t>Canadian Public Policy / Analyse de politiques, 36(2), 159-179</w:t>
      </w:r>
      <w:r>
        <w:rPr>
          <w:rFonts w:ascii="Times New Roman" w:hAnsi="Times New Roman" w:eastAsia="Times New Roman" w:cs="Times New Roman"/>
          <w:color w:val="000000"/>
          <w:sz w:val="24"/>
        </w:rPr>
        <w:t>. https://doi.org/10.3138/cpp.36.2.159</w:t>
      </w:r>
    </w:p>
    <w:p>
      <w:pPr>
        <w:ind w:left="709" w:hanging="709"/>
      </w:pPr>
      <w:r>
        <w:rPr>
          <w:rFonts w:ascii="Times New Roman" w:hAnsi="Times New Roman" w:eastAsia="Times New Roman" w:cs="Times New Roman"/>
          <w:color w:val="000000"/>
          <w:sz w:val="24"/>
        </w:rPr>
        <w:t xml:space="preserve">Office québécois de la langue française (2022). Portrait du revenu d'emploi au Québec en 2015 selon les langues utilisées au travail. </w:t>
      </w:r>
      <w:r>
        <w:rPr>
          <w:rFonts w:ascii="Times New Roman" w:hAnsi="Times New Roman" w:eastAsia="Times New Roman" w:cs="Times New Roman"/>
          <w:i/>
          <w:color w:val="000000"/>
          <w:sz w:val="24"/>
        </w:rPr>
        <w:t>Québec : OQLF (étude fondée sur le recensement de 2016)</w:t>
      </w:r>
      <w:r>
        <w:rPr>
          <w:rFonts w:ascii="Times New Roman" w:hAnsi="Times New Roman" w:eastAsia="Times New Roman" w:cs="Times New Roman"/>
          <w:color w:val="000000"/>
          <w:sz w:val="24"/>
        </w:rPr>
        <w:t>. https://www.oqlf.gouv.qc.ca/ressources/sociolinguistique/2022/2022_etude_revenu-emploi-selon-langues-utilisees-travail.pdf</w:t>
      </w:r>
    </w:p>
    <w:p>
      <w:pPr>
        <w:ind w:left="709" w:hanging="709"/>
      </w:pPr>
      <w:r>
        <w:rPr>
          <w:rFonts w:ascii="Times New Roman" w:hAnsi="Times New Roman" w:eastAsia="Times New Roman" w:cs="Times New Roman"/>
          <w:color w:val="000000"/>
          <w:sz w:val="24"/>
        </w:rPr>
        <w:t xml:space="preserve">Pettinicchio, D. (2012). Migration and ethnic nationalism: Anglophone exit and the 'decolonisation' of Québec. </w:t>
      </w:r>
      <w:r>
        <w:rPr>
          <w:rFonts w:ascii="Times New Roman" w:hAnsi="Times New Roman" w:eastAsia="Times New Roman" w:cs="Times New Roman"/>
          <w:i/>
          <w:color w:val="000000"/>
          <w:sz w:val="24"/>
        </w:rPr>
        <w:t>Nations and Nationalism, 18(4), 719-743</w:t>
      </w:r>
      <w:r>
        <w:rPr>
          <w:rFonts w:ascii="Times New Roman" w:hAnsi="Times New Roman" w:eastAsia="Times New Roman" w:cs="Times New Roman"/>
          <w:color w:val="000000"/>
          <w:sz w:val="24"/>
        </w:rPr>
        <w:t>. https://doi.org/10.1111/j.1469-8129.2011.00513.x</w:t>
      </w:r>
    </w:p>
    <w:p>
      <w:pPr>
        <w:ind w:left="709" w:hanging="709"/>
      </w:pPr>
      <w:r>
        <w:rPr>
          <w:rFonts w:ascii="Times New Roman" w:hAnsi="Times New Roman" w:eastAsia="Times New Roman" w:cs="Times New Roman"/>
          <w:color w:val="000000"/>
          <w:sz w:val="24"/>
        </w:rPr>
        <w:t xml:space="preserve">Porter, J. (1965). The Vertical Mosaic: An Analysis of Social Class and Power in Canada. </w:t>
      </w:r>
      <w:r>
        <w:rPr>
          <w:rFonts w:ascii="Times New Roman" w:hAnsi="Times New Roman" w:eastAsia="Times New Roman" w:cs="Times New Roman"/>
          <w:i/>
          <w:color w:val="000000"/>
          <w:sz w:val="24"/>
        </w:rPr>
        <w:t>Toronto : University of Toronto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Provincial Employment Roundtable (PERT) (2023). Census 2021 Update: A brief review of the latest data on employment among Québec's English speakers. </w:t>
      </w:r>
      <w:r>
        <w:rPr>
          <w:rFonts w:ascii="Times New Roman" w:hAnsi="Times New Roman" w:eastAsia="Times New Roman" w:cs="Times New Roman"/>
          <w:i/>
          <w:color w:val="000000"/>
          <w:sz w:val="24"/>
        </w:rPr>
        <w:t>Montréal : PERT</w:t>
      </w:r>
      <w:r>
        <w:rPr>
          <w:rFonts w:ascii="Times New Roman" w:hAnsi="Times New Roman" w:eastAsia="Times New Roman" w:cs="Times New Roman"/>
          <w:color w:val="000000"/>
          <w:sz w:val="24"/>
        </w:rPr>
        <w:t>. https://pertquebec.ca/wp-content/uploads/2023/05/Census-Brief-Update.pdf</w:t>
      </w:r>
    </w:p>
    <w:p>
      <w:pPr>
        <w:ind w:left="709" w:hanging="709"/>
      </w:pPr>
      <w:r>
        <w:rPr>
          <w:rFonts w:ascii="Times New Roman" w:hAnsi="Times New Roman" w:eastAsia="Times New Roman" w:cs="Times New Roman"/>
          <w:color w:val="000000"/>
          <w:sz w:val="24"/>
        </w:rPr>
        <w:t xml:space="preserve">Raynauld, A., Marion, G. et Béland, R. (1966). La répartition des revenus selon les groupes ethniques au Canada (3 vol.). </w:t>
      </w:r>
      <w:r>
        <w:rPr>
          <w:rFonts w:ascii="Times New Roman" w:hAnsi="Times New Roman" w:eastAsia="Times New Roman" w:cs="Times New Roman"/>
          <w:i/>
          <w:color w:val="000000"/>
          <w:sz w:val="24"/>
        </w:rPr>
        <w:t>Étude préparée pour la Commission royale d'enquête sur le bilinguisme et le biculturalisme (non publiée)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Shapiro, D. M. et Stelcner, M. (1997). Language and earnings in Quebec: Trends over twenty years, 1970-1990. </w:t>
      </w:r>
      <w:r>
        <w:rPr>
          <w:rFonts w:ascii="Times New Roman" w:hAnsi="Times New Roman" w:eastAsia="Times New Roman" w:cs="Times New Roman"/>
          <w:i/>
          <w:color w:val="000000"/>
          <w:sz w:val="24"/>
        </w:rPr>
        <w:t>Canadian Public Policy / Analyse de politiques, 23(2), 115-140</w:t>
      </w:r>
      <w:r>
        <w:rPr>
          <w:rFonts w:ascii="Times New Roman" w:hAnsi="Times New Roman" w:eastAsia="Times New Roman" w:cs="Times New Roman"/>
          <w:color w:val="000000"/>
          <w:sz w:val="24"/>
        </w:rPr>
        <w:t>. https://doi.org/10.2307/3551481</w:t>
      </w:r>
    </w:p>
    <w:p>
      <w:pPr>
        <w:ind w:left="709" w:hanging="709"/>
      </w:pPr>
      <w:r>
        <w:rPr>
          <w:rFonts w:ascii="Times New Roman" w:hAnsi="Times New Roman" w:eastAsia="Times New Roman" w:cs="Times New Roman"/>
          <w:color w:val="000000"/>
          <w:sz w:val="24"/>
        </w:rPr>
        <w:t xml:space="preserve">Vaillancourt, F. (1980). Differences in earnings by language groups in Quebec, 1970: An economic analysis. </w:t>
      </w:r>
      <w:r>
        <w:rPr>
          <w:rFonts w:ascii="Times New Roman" w:hAnsi="Times New Roman" w:eastAsia="Times New Roman" w:cs="Times New Roman"/>
          <w:i/>
          <w:color w:val="000000"/>
          <w:sz w:val="24"/>
        </w:rPr>
        <w:t>Québec : Centre international de recherche sur le bilinguisme (CIRB), Université Laval, Publication B-90</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(1996). Language and socioeconomic status in Quebec: measurement, findings, determinants, and policy costs. </w:t>
      </w:r>
      <w:r>
        <w:rPr>
          <w:rFonts w:ascii="Times New Roman" w:hAnsi="Times New Roman" w:eastAsia="Times New Roman" w:cs="Times New Roman"/>
          <w:i/>
          <w:color w:val="000000"/>
          <w:sz w:val="24"/>
        </w:rPr>
        <w:t>International Journal of the Sociology of Language, 121, 69-92</w:t>
      </w:r>
      <w:r>
        <w:rPr>
          <w:rFonts w:ascii="Times New Roman" w:hAnsi="Times New Roman" w:eastAsia="Times New Roman" w:cs="Times New Roman"/>
          <w:color w:val="000000"/>
          <w:sz w:val="24"/>
        </w:rPr>
        <w:t>. https://doi.org/10.1515/ijsl.1996.121.69</w:t>
      </w:r>
    </w:p>
    <w:p>
      <w:pPr>
        <w:ind w:left="709" w:hanging="709"/>
      </w:pPr>
      <w:r>
        <w:rPr>
          <w:rFonts w:ascii="Times New Roman" w:hAnsi="Times New Roman" w:eastAsia="Times New Roman" w:cs="Times New Roman"/>
          <w:color w:val="000000"/>
          <w:sz w:val="24"/>
        </w:rPr>
        <w:t xml:space="preserve">Vaillancourt, F. (2018). Analyse économique des politiques linguistiques au Québec : 40 ans de Loi 101. </w:t>
      </w:r>
      <w:r>
        <w:rPr>
          <w:rFonts w:ascii="Times New Roman" w:hAnsi="Times New Roman" w:eastAsia="Times New Roman" w:cs="Times New Roman"/>
          <w:i/>
          <w:color w:val="000000"/>
          <w:sz w:val="24"/>
        </w:rPr>
        <w:t>CIRANO, Cahier scientifique 2018s-16</w:t>
      </w:r>
      <w:r>
        <w:rPr>
          <w:rFonts w:ascii="Times New Roman" w:hAnsi="Times New Roman" w:eastAsia="Times New Roman" w:cs="Times New Roman"/>
          <w:color w:val="000000"/>
          <w:sz w:val="24"/>
        </w:rPr>
        <w:t>. https://cirano.qc.ca/files/publications/2018s-16.pdf</w:t>
      </w:r>
    </w:p>
    <w:p>
      <w:pPr>
        <w:ind w:left="709" w:hanging="709"/>
      </w:pPr>
      <w:r>
        <w:rPr>
          <w:rFonts w:ascii="Times New Roman" w:hAnsi="Times New Roman" w:eastAsia="Times New Roman" w:cs="Times New Roman"/>
          <w:color w:val="000000"/>
          <w:sz w:val="24"/>
        </w:rPr>
        <w:t xml:space="preserve">Vaillancourt, F., Lemay, D. et Vaillancourt, L. (2007). Laggards no more: The changed socioeconomic status of francophones in Quebec. </w:t>
      </w:r>
      <w:r>
        <w:rPr>
          <w:rFonts w:ascii="Times New Roman" w:hAnsi="Times New Roman" w:eastAsia="Times New Roman" w:cs="Times New Roman"/>
          <w:i/>
          <w:color w:val="000000"/>
          <w:sz w:val="24"/>
        </w:rPr>
        <w:t>C.D. Howe Institute Backgrounder no 103</w:t>
      </w:r>
      <w:r>
        <w:rPr>
          <w:rFonts w:ascii="Times New Roman" w:hAnsi="Times New Roman" w:eastAsia="Times New Roman" w:cs="Times New Roman"/>
          <w:color w:val="000000"/>
          <w:sz w:val="24"/>
        </w:rPr>
        <w:t>. https://cdhowe.org/wp-content/uploads/2024/04/backgrounder_103_english.pdf</w:t>
      </w:r>
    </w:p>
    <w:p>
      <w:pPr>
        <w:ind w:left="709" w:hanging="709"/>
      </w:pPr>
      <w:r>
        <w:rPr>
          <w:rFonts w:ascii="Times New Roman" w:hAnsi="Times New Roman" w:eastAsia="Times New Roman" w:cs="Times New Roman"/>
          <w:color w:val="000000"/>
          <w:sz w:val="24"/>
        </w:rPr>
        <w:t xml:space="preserve">Vaillancourt, F. et Touchette, C. (2001). Le statut du français sur le marché du travail au Québec, de 1970 à 1995 : les revenus de travail. </w:t>
      </w:r>
      <w:r>
        <w:rPr>
          <w:rFonts w:ascii="Times New Roman" w:hAnsi="Times New Roman" w:eastAsia="Times New Roman" w:cs="Times New Roman"/>
          <w:i/>
          <w:color w:val="000000"/>
          <w:sz w:val="24"/>
        </w:rPr>
        <w:t>Montréal : CIRANO, Rapport de projet 2001RP-04 (pour le Conseil de la langue française)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Tousignant, J., Chatel-DeRepentigny, J. et Coutu-Mantha, S. (2013). Revenus de travail et rendement des attributs linguistiques au Québec en 2005 et depuis 1970. </w:t>
      </w:r>
      <w:r>
        <w:rPr>
          <w:rFonts w:ascii="Times New Roman" w:hAnsi="Times New Roman" w:eastAsia="Times New Roman" w:cs="Times New Roman"/>
          <w:i/>
          <w:color w:val="000000"/>
          <w:sz w:val="24"/>
        </w:rPr>
        <w:t>Canadian Public Policy / Analyse de politiques, 39(S1), S25-S40</w:t>
      </w:r>
      <w:r>
        <w:rPr>
          <w:rFonts w:ascii="Times New Roman" w:hAnsi="Times New Roman" w:eastAsia="Times New Roman" w:cs="Times New Roman"/>
          <w:color w:val="000000"/>
          <w:sz w:val="24"/>
        </w:rPr>
        <w:t>. https://doi.org/10.3138/cpp.39.supplement1.s25</w:t>
      </w:r>
    </w:p>
    <w:p>
      <w:pPr>
        <w:ind w:left="709" w:hanging="709"/>
      </w:pPr>
      <w:r>
        <w:rPr>
          <w:rFonts w:ascii="Times New Roman" w:hAnsi="Times New Roman" w:eastAsia="Times New Roman" w:cs="Times New Roman"/>
          <w:color w:val="000000"/>
          <w:sz w:val="24"/>
        </w:rPr>
        <w:t xml:space="preserve">Vaillancourt, F. et Vaillancourt, L. (2005). La propriété des employeurs au Québec en 2003 selon le groupe d'appartenance linguistique. </w:t>
      </w:r>
      <w:r>
        <w:rPr>
          <w:rFonts w:ascii="Times New Roman" w:hAnsi="Times New Roman" w:eastAsia="Times New Roman" w:cs="Times New Roman"/>
          <w:i/>
          <w:color w:val="000000"/>
          <w:sz w:val="24"/>
        </w:rPr>
        <w:t>Québec : Conseil supérieur de la langue française</w:t>
      </w:r>
      <w:r>
        <w:rPr>
          <w:rFonts w:ascii="Times New Roman" w:hAnsi="Times New Roman" w:eastAsia="Times New Roman" w:cs="Times New Roman"/>
          <w:color w:val="000000"/>
          <w:sz w:val="24"/>
        </w:rPr>
        <w:t>.</w:t>
      </w:r>
    </w:p>
    <w:p>
      <w:pPr>
        <w:spacing w:line="480" w:lineRule="auto"/>
        <w:jc w:val="both"/>
      </w:pPr>
      <w:r>
        <w:rPr>
          <w:rFonts w:ascii="Times New Roman" w:hAnsi="Times New Roman" w:eastAsia="Times New Roman" w:cs="Times New Roman"/>
          <w:color w:val="000000"/>
          <w:sz w:val="24"/>
        </w:rPr>
        <w:t>&lt;/div&gt;</w:t>
      </w:r>
    </w:p>
    <w:sectPr w:rsidR="00FC693F" w:rsidRPr="0006063C" w:rsidSect="00034616">
      <w:footerReference w:type="default" r:id="rId10"/>
      <w:pgSz w:w="12240" w:h="15840"/>
      <w:pgMar w:top="1417" w:right="1417" w:bottom="1417" w:left="141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4"/>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eastAsia="Times New Roman" w:cs="Times New Roman"/>
        <w:b/>
        <w:color w:val="000000"/>
        <w:sz w:val="24"/>
      </w:rPr>
      <w:t>537380130 / MADUP212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jc w:val="both"/>
    </w:pPr>
    <w:rPr>
      <w:rFonts w:ascii="Times New Roman" w:hAnsi="Times New Roman" w:eastAsia="Times New Roman"/>
      <w:b w:val="0"/>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jc w:val="left"/>
    </w:pPr>
    <w:rPr>
      <w:rFonts w:ascii="Times New Roman" w:hAnsi="Times New Roman" w:eastAsia="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