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line="480" w:lineRule="auto"/>
        <w:jc w:val="center"/>
      </w:pPr>
      <w:r>
        <w:rPr>
          <w:rFonts w:ascii="Times New Roman" w:hAnsi="Times New Roman" w:eastAsia="Times New Roman" w:cs="Times New Roman"/>
          <w:b w:val="0"/>
          <w:color w:val="000000"/>
          <w:sz w:val="24"/>
        </w:rPr>
      </w:r>
    </w:p>
    <w:p>
      <w:pPr>
        <w:spacing w:before="0" w:line="480" w:lineRule="auto"/>
        <w:jc w:val="center"/>
      </w:pPr>
      <w:r>
        <w:rPr>
          <w:rFonts w:ascii="Times New Roman" w:hAnsi="Times New Roman" w:eastAsia="Times New Roman" w:cs="Times New Roman"/>
          <w:b/>
          <w:color w:val="000000"/>
          <w:sz w:val="32"/>
        </w:rPr>
        <w:t>TITRE</w:t>
      </w:r>
    </w:p>
    <w:p>
      <w:pPr>
        <w:spacing w:before="480" w:line="480" w:lineRule="auto"/>
        <w:jc w:val="center"/>
      </w:pPr>
      <w:r>
        <w:rPr>
          <w:rFonts w:ascii="Times New Roman" w:hAnsi="Times New Roman" w:eastAsia="Times New Roman" w:cs="Times New Roman"/>
          <w:b w:val="0"/>
          <w:color w:val="000000"/>
          <w:sz w:val="24"/>
        </w:rPr>
      </w:r>
    </w:p>
    <w:p>
      <w:pPr>
        <w:spacing w:before="0" w:line="480" w:lineRule="auto"/>
        <w:jc w:val="center"/>
      </w:pPr>
      <w:r>
        <w:rPr>
          <w:rFonts w:ascii="Times New Roman" w:hAnsi="Times New Roman" w:eastAsia="Times New Roman" w:cs="Times New Roman"/>
          <w:b w:val="0"/>
          <w:color w:val="000000"/>
          <w:sz w:val="24"/>
        </w:rPr>
        <w:t>Question de recherche : entre 1961 et 2021, comment l'écart de revenu d'emploi et de statut socioprofessionnel entre francophones et anglophones de langue maternelle au Québec a-t-il évolué, et à partir de quel recensement cet écart s'est-il inversé, si tant est qu'il l'ait fait ?</w:t>
      </w:r>
    </w:p>
    <w:p>
      <w:pPr>
        <w:spacing w:before="960" w:line="480" w:lineRule="auto"/>
        <w:jc w:val="center"/>
      </w:pPr>
      <w:r>
        <w:rPr>
          <w:rFonts w:ascii="Times New Roman" w:hAnsi="Times New Roman" w:eastAsia="Times New Roman" w:cs="Times New Roman"/>
          <w:b w:val="0"/>
          <w:color w:val="000000"/>
          <w:sz w:val="24"/>
        </w:rPr>
      </w:r>
    </w:p>
    <w:p>
      <w:pPr>
        <w:spacing w:before="0" w:line="480" w:lineRule="auto"/>
        <w:jc w:val="center"/>
      </w:pPr>
      <w:r>
        <w:rPr>
          <w:rFonts w:ascii="Times New Roman" w:hAnsi="Times New Roman" w:eastAsia="Times New Roman" w:cs="Times New Roman"/>
          <w:b w:val="0"/>
          <w:color w:val="000000"/>
          <w:sz w:val="24"/>
        </w:rPr>
        <w:t>[Sigle et titre du cours]</w:t>
      </w:r>
    </w:p>
    <w:p>
      <w:pPr>
        <w:spacing w:before="0" w:line="480" w:lineRule="auto"/>
        <w:jc w:val="center"/>
      </w:pPr>
      <w:r>
        <w:rPr>
          <w:rFonts w:ascii="Times New Roman" w:hAnsi="Times New Roman" w:eastAsia="Times New Roman" w:cs="Times New Roman"/>
          <w:b w:val="0"/>
          <w:color w:val="000000"/>
          <w:sz w:val="24"/>
        </w:rPr>
        <w:t>[Département et université]</w:t>
      </w:r>
    </w:p>
    <w:p>
      <w:pPr>
        <w:spacing w:before="480" w:line="480" w:lineRule="auto"/>
        <w:jc w:val="center"/>
      </w:pPr>
      <w:r>
        <w:rPr>
          <w:rFonts w:ascii="Times New Roman" w:hAnsi="Times New Roman" w:eastAsia="Times New Roman" w:cs="Times New Roman"/>
          <w:b w:val="0"/>
          <w:color w:val="000000"/>
          <w:sz w:val="24"/>
        </w:rPr>
      </w:r>
    </w:p>
    <w:p>
      <w:pPr>
        <w:spacing w:before="0" w:line="480" w:lineRule="auto"/>
        <w:jc w:val="center"/>
      </w:pPr>
      <w:r>
        <w:rPr>
          <w:rFonts w:ascii="Times New Roman" w:hAnsi="Times New Roman" w:eastAsia="Times New Roman" w:cs="Times New Roman"/>
          <w:b w:val="0"/>
          <w:color w:val="000000"/>
          <w:sz w:val="24"/>
        </w:rPr>
        <w:t>3 septembre 2026</w:t>
      </w:r>
    </w:p>
    <w:p>
      <w:pPr>
        <w:spacing w:before="480" w:line="480" w:lineRule="auto"/>
        <w:jc w:val="center"/>
      </w:pPr>
      <w:r>
        <w:rPr>
          <w:rFonts w:ascii="Times New Roman" w:hAnsi="Times New Roman" w:eastAsia="Times New Roman" w:cs="Times New Roman"/>
          <w:b w:val="0"/>
          <w:color w:val="000000"/>
          <w:sz w:val="24"/>
        </w:rPr>
      </w:r>
    </w:p>
    <w:p>
      <w:pPr>
        <w:spacing w:before="0" w:line="480" w:lineRule="auto"/>
        <w:jc w:val="center"/>
      </w:pPr>
      <w:r>
        <w:rPr>
          <w:rFonts w:ascii="Times New Roman" w:hAnsi="Times New Roman" w:eastAsia="Times New Roman" w:cs="Times New Roman"/>
          <w:b w:val="0"/>
          <w:color w:val="000000"/>
          <w:sz w:val="24"/>
        </w:rPr>
        <w:t>Nombre total de mots : 356 (page titre et bibliographie exclues)</w:t>
      </w:r>
    </w:p>
    <w:p>
      <w:pPr>
        <w:sectPr>
          <w:headerReference w:type="default" r:id="rId9"/>
          <w:pgSz w:w="12240" w:h="15840"/>
          <w:pgMar w:top="1417" w:right="1417" w:bottom="1417" w:left="1417" w:header="720" w:footer="720" w:gutter="0"/>
          <w:cols w:space="720"/>
          <w:docGrid w:linePitch="360"/>
        </w:sectPr>
      </w:pPr>
    </w:p>
    <w:p>
      <w:pPr>
        <w:pStyle w:val="Heading1"/>
      </w:pPr>
      <w:r>
        <w:rPr>
          <w:rFonts w:ascii="Times New Roman" w:hAnsi="Times New Roman" w:eastAsia="Times New Roman" w:cs="Times New Roman"/>
          <w:b/>
          <w:color w:val="000000"/>
          <w:sz w:val="24"/>
        </w:rPr>
        <w:t>1. Introduction</w:t>
      </w:r>
    </w:p>
    <w:p>
      <w:pPr>
        <w:spacing w:line="480" w:lineRule="auto"/>
        <w:jc w:val="both"/>
      </w:pPr>
      <w:r>
        <w:rPr>
          <w:rFonts w:ascii="Times New Roman" w:hAnsi="Times New Roman" w:eastAsia="Times New Roman" w:cs="Times New Roman"/>
          <w:color w:val="000000"/>
          <w:sz w:val="24"/>
        </w:rPr>
        <w:t>[À rédiger.]</w:t>
      </w:r>
    </w:p>
    <w:p>
      <w:pPr>
        <w:pStyle w:val="Heading1"/>
      </w:pPr>
      <w:r>
        <w:rPr>
          <w:rFonts w:ascii="Times New Roman" w:hAnsi="Times New Roman" w:eastAsia="Times New Roman" w:cs="Times New Roman"/>
          <w:b/>
          <w:color w:val="000000"/>
          <w:sz w:val="24"/>
        </w:rPr>
        <w:t>2. Méthode</w:t>
      </w:r>
    </w:p>
    <w:p>
      <w:pPr>
        <w:spacing w:line="480" w:lineRule="auto"/>
        <w:jc w:val="both"/>
      </w:pPr>
      <w:r>
        <w:rPr>
          <w:rFonts w:ascii="Times New Roman" w:hAnsi="Times New Roman" w:eastAsia="Times New Roman" w:cs="Times New Roman"/>
          <w:color w:val="000000"/>
          <w:sz w:val="24"/>
        </w:rPr>
        <w:t xml:space="preserve">Le repérage des sources suit la méthode du </w:t>
      </w:r>
      <w:r>
        <w:rPr>
          <w:rFonts w:ascii="Times New Roman" w:hAnsi="Times New Roman" w:eastAsia="Times New Roman" w:cs="Times New Roman"/>
          <w:i/>
          <w:color w:val="000000"/>
          <w:sz w:val="24"/>
        </w:rPr>
        <w:t>snowballing</w:t>
      </w:r>
      <w:r>
        <w:rPr>
          <w:rFonts w:ascii="Times New Roman" w:hAnsi="Times New Roman" w:eastAsia="Times New Roman" w:cs="Times New Roman"/>
          <w:color w:val="000000"/>
          <w:sz w:val="24"/>
        </w:rPr>
        <w:t xml:space="preserve"> (Jalali et Wohlin, 2012) : à partir d'un ensemble de départ de onze publications récentes couvrant cinq communautés savantes (économie du langage, histoire économique, sociologie de la stratification, aménagement linguistique, littérature grise sur le recensement de 2021), on dépouille les listes de références (</w:t>
      </w:r>
      <w:r>
        <w:rPr>
          <w:rFonts w:ascii="Times New Roman" w:hAnsi="Times New Roman" w:eastAsia="Times New Roman" w:cs="Times New Roman"/>
          <w:i/>
          <w:color w:val="000000"/>
          <w:sz w:val="24"/>
        </w:rPr>
        <w:t>backward</w:t>
      </w:r>
      <w:r>
        <w:rPr>
          <w:rFonts w:ascii="Times New Roman" w:hAnsi="Times New Roman" w:eastAsia="Times New Roman" w:cs="Times New Roman"/>
          <w:color w:val="000000"/>
          <w:sz w:val="24"/>
        </w:rPr>
        <w:t>) et les publications citantes (</w:t>
      </w:r>
      <w:r>
        <w:rPr>
          <w:rFonts w:ascii="Times New Roman" w:hAnsi="Times New Roman" w:eastAsia="Times New Roman" w:cs="Times New Roman"/>
          <w:i/>
          <w:color w:val="000000"/>
          <w:sz w:val="24"/>
        </w:rPr>
        <w:t>forward</w:t>
      </w:r>
      <w:r>
        <w:rPr>
          <w:rFonts w:ascii="Times New Roman" w:hAnsi="Times New Roman" w:eastAsia="Times New Roman" w:cs="Times New Roman"/>
          <w:color w:val="000000"/>
          <w:sz w:val="24"/>
        </w:rPr>
        <w:t xml:space="preserve">), puis on répète l'opération avec chaque texte retenu jusqu'à saturation. Quatre rondes, dont une consacrée aux travaux citant l'échelle professionnelle de Blishen (1958) et </w:t>
      </w:r>
      <w:r>
        <w:rPr>
          <w:rFonts w:ascii="Times New Roman" w:hAnsi="Times New Roman" w:eastAsia="Times New Roman" w:cs="Times New Roman"/>
          <w:i/>
          <w:color w:val="000000"/>
          <w:sz w:val="24"/>
        </w:rPr>
        <w:t>The Vertical Mosaic</w:t>
      </w:r>
      <w:r>
        <w:rPr>
          <w:rFonts w:ascii="Times New Roman" w:hAnsi="Times New Roman" w:eastAsia="Times New Roman" w:cs="Times New Roman"/>
          <w:color w:val="000000"/>
          <w:sz w:val="24"/>
        </w:rPr>
        <w:t xml:space="preserve"> de Porter (1965), ont produit un corpus de 103 publications et 101 bibliographies dépouillées. Une publication est retenue si elle compare explicitement francophones et anglophones au Québec (critère obligatoire) et si elle mesure le revenu d'emploi ou le statut socioprofessionnel, couvre un recensement de 1961 à 2021 ou propose une explication (au moins trois points sur six) ; les travaux de contexte sont conservés dans la grille sans être classés.</w:t>
      </w:r>
    </w:p>
    <w:p>
      <w:pPr>
        <w:spacing w:line="480" w:lineRule="auto"/>
        <w:jc w:val="both"/>
      </w:pPr>
      <w:r>
        <w:rPr>
          <w:rFonts w:ascii="Times New Roman" w:hAnsi="Times New Roman" w:eastAsia="Times New Roman" w:cs="Times New Roman"/>
          <w:color w:val="000000"/>
          <w:sz w:val="24"/>
        </w:rPr>
        <w:t xml:space="preserve">Chaque publication reçoit un indice de pertinence de 0 à 1, moyenne à poids égaux de trois indicateurs normalisés (min-max) : le nombre de citations Google Scholar (en logarithme ; relevé avec un script Python fondé sur la bibliothèque </w:t>
      </w:r>
      <w:r>
        <w:rPr>
          <w:rFonts w:ascii="Times New Roman" w:hAnsi="Times New Roman" w:eastAsia="Times New Roman" w:cs="Times New Roman"/>
          <w:i/>
          <w:color w:val="000000"/>
          <w:sz w:val="24"/>
        </w:rPr>
        <w:t>scholarly</w:t>
      </w:r>
      <w:r>
        <w:rPr>
          <w:rFonts w:ascii="Times New Roman" w:hAnsi="Times New Roman" w:eastAsia="Times New Roman" w:cs="Times New Roman"/>
          <w:color w:val="000000"/>
          <w:sz w:val="24"/>
        </w:rPr>
        <w:t xml:space="preserve">, sinon compte Consensus ramené à l'échelle de Google Scholar), l'année de publication et la récurrence, soit le nombre de bibliographies du corpus qui citent la publication. La figure 1 classe les trente publications incluses les mieux notées ; la figure 2 montre comment elles se citent, la disposition par forces rapprochant les textes qui se citent mutuellement. Les fondateurs vers lesquels convergent les flèches (Commission B-B, 1969 ; Raynauld et al., 1966 ; Vaillancourt, 1980) s'y distinguent des synthèses récentes qui citent sans être encore citées. La grille, les bibliographies, les scripts Python (grille, score, réseau, export Zotero) et le code R des figures sont dans le dépôt GitHub </w:t>
      </w:r>
      <w:r>
        <w:rPr>
          <w:rFonts w:ascii="Times New Roman" w:hAnsi="Times New Roman" w:eastAsia="Times New Roman" w:cs="Times New Roman"/>
          <w:color w:val="000000"/>
          <w:sz w:val="24"/>
        </w:rPr>
        <w:t>stratification_qc</w:t>
      </w:r>
      <w:r>
        <w:rPr>
          <w:rFonts w:ascii="Times New Roman" w:hAnsi="Times New Roman" w:eastAsia="Times New Roman" w:cs="Times New Roman"/>
          <w:color w:val="000000"/>
          <w:sz w:val="24"/>
        </w:rPr>
        <w:t xml:space="preserve"> ; les bibliographies ayant été reconstituées sans les PDF, les récurrences sont des bornes inférieures.</w:t>
      </w:r>
    </w:p>
    <w:p>
      <w:r>
        <w:br w:type="page"/>
      </w:r>
    </w:p>
    <w:p>
      <w:pPr>
        <w:jc w:val="center"/>
      </w:pPr>
      <w:r>
        <w:drawing>
          <wp:inline xmlns:a="http://schemas.openxmlformats.org/drawingml/2006/main" xmlns:pic="http://schemas.openxmlformats.org/drawingml/2006/picture">
            <wp:extent cx="5760720" cy="4443984"/>
            <wp:docPr id="1" name="Picture 1"/>
            <wp:cNvGraphicFramePr>
              <a:graphicFrameLocks noChangeAspect="1"/>
            </wp:cNvGraphicFramePr>
            <a:graphic>
              <a:graphicData uri="http://schemas.openxmlformats.org/drawingml/2006/picture">
                <pic:pic>
                  <pic:nvPicPr>
                    <pic:cNvPr id="0" name="lectures_snowballing_top30_court.png"/>
                    <pic:cNvPicPr/>
                  </pic:nvPicPr>
                  <pic:blipFill>
                    <a:blip r:embed="rId11"/>
                    <a:stretch>
                      <a:fillRect/>
                    </a:stretch>
                  </pic:blipFill>
                  <pic:spPr>
                    <a:xfrm>
                      <a:off x="0" y="0"/>
                      <a:ext cx="5760720" cy="4443984"/>
                    </a:xfrm>
                    <a:prstGeom prst="rect"/>
                  </pic:spPr>
                </pic:pic>
              </a:graphicData>
            </a:graphic>
          </wp:inline>
        </w:drawing>
      </w:r>
    </w:p>
    <w:p>
      <w:pPr>
        <w:pStyle w:val="Caption"/>
        <w:spacing w:line="240" w:lineRule="auto"/>
      </w:pPr>
      <w:r>
        <w:rPr>
          <w:rFonts w:ascii="Times New Roman" w:hAnsi="Times New Roman" w:eastAsia="Times New Roman" w:cs="Times New Roman"/>
          <w:color w:val="000000"/>
          <w:sz w:val="24"/>
        </w:rPr>
        <w:t>Figure 1. Les trente lectures les plus pertinentes (indice = moyenne à poids égaux des citations, de l'année et de la récurrence dans les bibliographies du corpus).</w:t>
      </w:r>
    </w:p>
    <w:p>
      <w:r>
        <w:br w:type="page"/>
      </w:r>
    </w:p>
    <w:p>
      <w:pPr>
        <w:jc w:val="center"/>
      </w:pPr>
      <w:r>
        <w:drawing>
          <wp:inline xmlns:a="http://schemas.openxmlformats.org/drawingml/2006/main" xmlns:pic="http://schemas.openxmlformats.org/drawingml/2006/picture">
            <wp:extent cx="5760720" cy="4680585"/>
            <wp:docPr id="2" name="Picture 2"/>
            <wp:cNvGraphicFramePr>
              <a:graphicFrameLocks noChangeAspect="1"/>
            </wp:cNvGraphicFramePr>
            <a:graphic>
              <a:graphicData uri="http://schemas.openxmlformats.org/drawingml/2006/picture">
                <pic:pic>
                  <pic:nvPicPr>
                    <pic:cNvPr id="0" name="reseau_citations_top30.png"/>
                    <pic:cNvPicPr/>
                  </pic:nvPicPr>
                  <pic:blipFill>
                    <a:blip r:embed="rId12"/>
                    <a:stretch>
                      <a:fillRect/>
                    </a:stretch>
                  </pic:blipFill>
                  <pic:spPr>
                    <a:xfrm>
                      <a:off x="0" y="0"/>
                      <a:ext cx="5760720" cy="4680585"/>
                    </a:xfrm>
                    <a:prstGeom prst="rect"/>
                  </pic:spPr>
                </pic:pic>
              </a:graphicData>
            </a:graphic>
          </wp:inline>
        </w:drawing>
      </w:r>
    </w:p>
    <w:p>
      <w:pPr>
        <w:pStyle w:val="Caption"/>
        <w:spacing w:line="240" w:lineRule="auto"/>
      </w:pPr>
      <w:r>
        <w:rPr>
          <w:rFonts w:ascii="Times New Roman" w:hAnsi="Times New Roman" w:eastAsia="Times New Roman" w:cs="Times New Roman"/>
          <w:color w:val="000000"/>
          <w:sz w:val="24"/>
        </w:rPr>
        <w:t>Figure 2. Réseau de citations entre les trente lectures (flèche : « cite » ; taille du point : citations reçues des autres lectures ; disposition par forces).</w:t>
      </w:r>
    </w:p>
    <w:p>
      <w:pPr>
        <w:pStyle w:val="Heading1"/>
      </w:pPr>
      <w:r>
        <w:rPr>
          <w:rFonts w:ascii="Times New Roman" w:hAnsi="Times New Roman" w:eastAsia="Times New Roman" w:cs="Times New Roman"/>
          <w:b/>
          <w:color w:val="000000"/>
          <w:sz w:val="24"/>
        </w:rPr>
        <w:t>3. Revue de littérature</w:t>
      </w:r>
    </w:p>
    <w:p>
      <w:pPr>
        <w:spacing w:line="480" w:lineRule="auto"/>
        <w:jc w:val="both"/>
      </w:pPr>
      <w:r>
        <w:rPr>
          <w:rFonts w:ascii="Times New Roman" w:hAnsi="Times New Roman" w:eastAsia="Times New Roman" w:cs="Times New Roman"/>
          <w:color w:val="000000"/>
          <w:sz w:val="24"/>
        </w:rPr>
        <w:t>[À rédiger.]</w:t>
      </w:r>
    </w:p>
    <w:p>
      <w:pPr>
        <w:pStyle w:val="Heading1"/>
      </w:pPr>
      <w:r>
        <w:rPr>
          <w:rFonts w:ascii="Times New Roman" w:hAnsi="Times New Roman" w:eastAsia="Times New Roman" w:cs="Times New Roman"/>
          <w:b/>
          <w:color w:val="000000"/>
          <w:sz w:val="24"/>
        </w:rPr>
        <w:t>Bibliographie</w:t>
      </w:r>
    </w:p>
    <w:p>
      <w:pPr>
        <w:ind w:left="709" w:hanging="709"/>
      </w:pPr>
      <w:r>
        <w:rPr>
          <w:rFonts w:ascii="Times New Roman" w:hAnsi="Times New Roman" w:eastAsia="Times New Roman" w:cs="Times New Roman"/>
          <w:color w:val="000000"/>
          <w:sz w:val="24"/>
        </w:rPr>
        <w:t xml:space="preserve">Albouy, D. (2008). The wage gap between Francophones and Anglophones: a Canadian perspective, 1970-2000. </w:t>
      </w:r>
      <w:r>
        <w:rPr>
          <w:rFonts w:ascii="Times New Roman" w:hAnsi="Times New Roman" w:eastAsia="Times New Roman" w:cs="Times New Roman"/>
          <w:i/>
          <w:color w:val="000000"/>
          <w:sz w:val="24"/>
        </w:rPr>
        <w:t>Canadian Journal of Economics, 41(4), 1211-1238</w:t>
      </w:r>
      <w:r>
        <w:rPr>
          <w:rFonts w:ascii="Times New Roman" w:hAnsi="Times New Roman" w:eastAsia="Times New Roman" w:cs="Times New Roman"/>
          <w:color w:val="000000"/>
          <w:sz w:val="24"/>
        </w:rPr>
        <w:t>. https://doi.org/10.1111/j.1540-5982.2008.00501.x</w:t>
      </w:r>
    </w:p>
    <w:p>
      <w:pPr>
        <w:ind w:left="709" w:hanging="709"/>
      </w:pPr>
      <w:r>
        <w:rPr>
          <w:rFonts w:ascii="Times New Roman" w:hAnsi="Times New Roman" w:eastAsia="Times New Roman" w:cs="Times New Roman"/>
          <w:color w:val="000000"/>
          <w:sz w:val="24"/>
        </w:rPr>
        <w:t xml:space="preserve">Blishen, B. R. (1958). The construction and use of an occupational class scale. </w:t>
      </w:r>
      <w:r>
        <w:rPr>
          <w:rFonts w:ascii="Times New Roman" w:hAnsi="Times New Roman" w:eastAsia="Times New Roman" w:cs="Times New Roman"/>
          <w:i/>
          <w:color w:val="000000"/>
          <w:sz w:val="24"/>
        </w:rPr>
        <w:t>Canadian Journal of Economics and Political Science, 24(4), 519-531</w:t>
      </w:r>
      <w:r>
        <w:rPr>
          <w:rFonts w:ascii="Times New Roman" w:hAnsi="Times New Roman" w:eastAsia="Times New Roman" w:cs="Times New Roman"/>
          <w:color w:val="000000"/>
          <w:sz w:val="24"/>
        </w:rPr>
        <w:t>. https://doi.org/10.2307/139088</w:t>
      </w:r>
    </w:p>
    <w:p>
      <w:pPr>
        <w:ind w:left="709" w:hanging="709"/>
      </w:pPr>
      <w:r>
        <w:rPr>
          <w:rFonts w:ascii="Times New Roman" w:hAnsi="Times New Roman" w:eastAsia="Times New Roman" w:cs="Times New Roman"/>
          <w:color w:val="000000"/>
          <w:sz w:val="24"/>
        </w:rPr>
        <w:t xml:space="preserve">Boulet, J. A. (1980). Language and Earnings in Montreal / La langue et le revenu du travail à Montréal. </w:t>
      </w:r>
      <w:r>
        <w:rPr>
          <w:rFonts w:ascii="Times New Roman" w:hAnsi="Times New Roman" w:eastAsia="Times New Roman" w:cs="Times New Roman"/>
          <w:i/>
          <w:color w:val="000000"/>
          <w:sz w:val="24"/>
        </w:rPr>
        <w:t>Ottawa : Conseil économique du Canada</w:t>
      </w:r>
      <w:r>
        <w:rPr>
          <w:rFonts w:ascii="Times New Roman" w:hAnsi="Times New Roman" w:eastAsia="Times New Roman" w:cs="Times New Roman"/>
          <w:color w:val="000000"/>
          <w:sz w:val="24"/>
        </w:rPr>
        <w:t>.</w:t>
      </w:r>
    </w:p>
    <w:p>
      <w:pPr>
        <w:ind w:left="709" w:hanging="709"/>
      </w:pPr>
      <w:r>
        <w:rPr>
          <w:rFonts w:ascii="Times New Roman" w:hAnsi="Times New Roman" w:eastAsia="Times New Roman" w:cs="Times New Roman"/>
          <w:color w:val="000000"/>
          <w:sz w:val="24"/>
        </w:rPr>
        <w:t xml:space="preserve">Bourhis, R. Y. (2019). Evaluating the impact of Bill 101 on the English-speaking communities of Quebec. </w:t>
      </w:r>
      <w:r>
        <w:rPr>
          <w:rFonts w:ascii="Times New Roman" w:hAnsi="Times New Roman" w:eastAsia="Times New Roman" w:cs="Times New Roman"/>
          <w:i/>
          <w:color w:val="000000"/>
          <w:sz w:val="24"/>
        </w:rPr>
        <w:t>Language Problems and Language Planning, 43(2)</w:t>
      </w:r>
      <w:r>
        <w:rPr>
          <w:rFonts w:ascii="Times New Roman" w:hAnsi="Times New Roman" w:eastAsia="Times New Roman" w:cs="Times New Roman"/>
          <w:color w:val="000000"/>
          <w:sz w:val="24"/>
        </w:rPr>
        <w:t>. https://doi.org/10.1075/lplp.00042.bou</w:t>
      </w:r>
    </w:p>
    <w:p>
      <w:pPr>
        <w:ind w:left="709" w:hanging="709"/>
      </w:pPr>
      <w:r>
        <w:rPr>
          <w:rFonts w:ascii="Times New Roman" w:hAnsi="Times New Roman" w:eastAsia="Times New Roman" w:cs="Times New Roman"/>
          <w:color w:val="000000"/>
          <w:sz w:val="24"/>
        </w:rPr>
        <w:t xml:space="preserve">Bourhis, R. Y. et Sioufi, R. (2017). Assessing forty years of language planning on the vitality of the francophone and anglophone communities of Quebec. </w:t>
      </w:r>
      <w:r>
        <w:rPr>
          <w:rFonts w:ascii="Times New Roman" w:hAnsi="Times New Roman" w:eastAsia="Times New Roman" w:cs="Times New Roman"/>
          <w:i/>
          <w:color w:val="000000"/>
          <w:sz w:val="24"/>
        </w:rPr>
        <w:t>Multilingua, 36(5), 627-661</w:t>
      </w:r>
      <w:r>
        <w:rPr>
          <w:rFonts w:ascii="Times New Roman" w:hAnsi="Times New Roman" w:eastAsia="Times New Roman" w:cs="Times New Roman"/>
          <w:color w:val="000000"/>
          <w:sz w:val="24"/>
        </w:rPr>
        <w:t>. https://doi.org/10.1515/multi-2017-3048</w:t>
      </w:r>
    </w:p>
    <w:p>
      <w:pPr>
        <w:ind w:left="709" w:hanging="709"/>
      </w:pPr>
      <w:r>
        <w:rPr>
          <w:rFonts w:ascii="Times New Roman" w:hAnsi="Times New Roman" w:eastAsia="Times New Roman" w:cs="Times New Roman"/>
          <w:color w:val="000000"/>
          <w:sz w:val="24"/>
        </w:rPr>
        <w:t xml:space="preserve">Boyd, M., Goyder, J., Jones, F. E., McRoberts, H. A., Pineo, P. C. et Porter, J. (1985). Ascription and Achievement: Studies in Mobility and Status Attainment in Canada. </w:t>
      </w:r>
      <w:r>
        <w:rPr>
          <w:rFonts w:ascii="Times New Roman" w:hAnsi="Times New Roman" w:eastAsia="Times New Roman" w:cs="Times New Roman"/>
          <w:i/>
          <w:color w:val="000000"/>
          <w:sz w:val="24"/>
        </w:rPr>
        <w:t>Ottawa : Carleton University Press</w:t>
      </w:r>
      <w:r>
        <w:rPr>
          <w:rFonts w:ascii="Times New Roman" w:hAnsi="Times New Roman" w:eastAsia="Times New Roman" w:cs="Times New Roman"/>
          <w:color w:val="000000"/>
          <w:sz w:val="24"/>
        </w:rPr>
        <w:t>.</w:t>
      </w:r>
    </w:p>
    <w:p>
      <w:pPr>
        <w:ind w:left="709" w:hanging="709"/>
      </w:pPr>
      <w:r>
        <w:rPr>
          <w:rFonts w:ascii="Times New Roman" w:hAnsi="Times New Roman" w:eastAsia="Times New Roman" w:cs="Times New Roman"/>
          <w:color w:val="000000"/>
          <w:sz w:val="24"/>
        </w:rPr>
        <w:t xml:space="preserve">Carliner, G. (1981). Wage differences by language group and the market for language skills in Canada. </w:t>
      </w:r>
      <w:r>
        <w:rPr>
          <w:rFonts w:ascii="Times New Roman" w:hAnsi="Times New Roman" w:eastAsia="Times New Roman" w:cs="Times New Roman"/>
          <w:i/>
          <w:color w:val="000000"/>
          <w:sz w:val="24"/>
        </w:rPr>
        <w:t>Journal of Human Resources, 16(3), 384-399</w:t>
      </w:r>
      <w:r>
        <w:rPr>
          <w:rFonts w:ascii="Times New Roman" w:hAnsi="Times New Roman" w:eastAsia="Times New Roman" w:cs="Times New Roman"/>
          <w:color w:val="000000"/>
          <w:sz w:val="24"/>
        </w:rPr>
        <w:t>. https://doi.org/10.2307/145627</w:t>
      </w:r>
    </w:p>
    <w:p>
      <w:pPr>
        <w:ind w:left="709" w:hanging="709"/>
      </w:pPr>
      <w:r>
        <w:rPr>
          <w:rFonts w:ascii="Times New Roman" w:hAnsi="Times New Roman" w:eastAsia="Times New Roman" w:cs="Times New Roman"/>
          <w:color w:val="000000"/>
          <w:sz w:val="24"/>
        </w:rPr>
        <w:t xml:space="preserve">Chiswick, B. R. et Miller, P. W. (1988). Earnings in Canada: The roles of immigrant generation, French ethnicity, and language. </w:t>
      </w:r>
      <w:r>
        <w:rPr>
          <w:rFonts w:ascii="Times New Roman" w:hAnsi="Times New Roman" w:eastAsia="Times New Roman" w:cs="Times New Roman"/>
          <w:i/>
          <w:color w:val="000000"/>
          <w:sz w:val="24"/>
        </w:rPr>
        <w:t>Research in Population Economics, 6, 183-228</w:t>
      </w:r>
      <w:r>
        <w:rPr>
          <w:rFonts w:ascii="Times New Roman" w:hAnsi="Times New Roman" w:eastAsia="Times New Roman" w:cs="Times New Roman"/>
          <w:color w:val="000000"/>
          <w:sz w:val="24"/>
        </w:rPr>
        <w:t>. https://doi.org/10.4324/9780203963159-26</w:t>
      </w:r>
    </w:p>
    <w:p>
      <w:pPr>
        <w:ind w:left="709" w:hanging="709"/>
      </w:pPr>
      <w:r>
        <w:rPr>
          <w:rFonts w:ascii="Times New Roman" w:hAnsi="Times New Roman" w:eastAsia="Times New Roman" w:cs="Times New Roman"/>
          <w:color w:val="000000"/>
          <w:sz w:val="24"/>
        </w:rPr>
        <w:t xml:space="preserve">Christofides, L. N. et Swidinsky, R. (2010). The economic returns to the knowledge and use of a second official language: English in Quebec and French in the rest-of-Canada. </w:t>
      </w:r>
      <w:r>
        <w:rPr>
          <w:rFonts w:ascii="Times New Roman" w:hAnsi="Times New Roman" w:eastAsia="Times New Roman" w:cs="Times New Roman"/>
          <w:i/>
          <w:color w:val="000000"/>
          <w:sz w:val="24"/>
        </w:rPr>
        <w:t>Canadian Public Policy / Analyse de politiques, 36(2), 137-158</w:t>
      </w:r>
      <w:r>
        <w:rPr>
          <w:rFonts w:ascii="Times New Roman" w:hAnsi="Times New Roman" w:eastAsia="Times New Roman" w:cs="Times New Roman"/>
          <w:color w:val="000000"/>
          <w:sz w:val="24"/>
        </w:rPr>
        <w:t>. https://doi.org/10.3138/cpp.36.2.137</w:t>
      </w:r>
    </w:p>
    <w:p>
      <w:pPr>
        <w:ind w:left="709" w:hanging="709"/>
      </w:pPr>
      <w:r>
        <w:rPr>
          <w:rFonts w:ascii="Times New Roman" w:hAnsi="Times New Roman" w:eastAsia="Times New Roman" w:cs="Times New Roman"/>
          <w:color w:val="000000"/>
          <w:sz w:val="24"/>
        </w:rPr>
        <w:t xml:space="preserve">Commission royale d'enquête sur le bilinguisme et le biculturalisme (Laurendeau-Dunton) (1969). Rapport de la Commission royale d'enquête sur le bilinguisme et le biculturalisme, Livre III : Le monde du travail. </w:t>
      </w:r>
      <w:r>
        <w:rPr>
          <w:rFonts w:ascii="Times New Roman" w:hAnsi="Times New Roman" w:eastAsia="Times New Roman" w:cs="Times New Roman"/>
          <w:i/>
          <w:color w:val="000000"/>
          <w:sz w:val="24"/>
        </w:rPr>
        <w:t>Ottawa : Imprimeur de la Reine</w:t>
      </w:r>
      <w:r>
        <w:rPr>
          <w:rFonts w:ascii="Times New Roman" w:hAnsi="Times New Roman" w:eastAsia="Times New Roman" w:cs="Times New Roman"/>
          <w:color w:val="000000"/>
          <w:sz w:val="24"/>
        </w:rPr>
        <w:t>.</w:t>
      </w:r>
    </w:p>
    <w:p>
      <w:pPr>
        <w:ind w:left="709" w:hanging="709"/>
      </w:pPr>
      <w:r>
        <w:rPr>
          <w:rFonts w:ascii="Times New Roman" w:hAnsi="Times New Roman" w:eastAsia="Times New Roman" w:cs="Times New Roman"/>
          <w:color w:val="000000"/>
          <w:sz w:val="24"/>
        </w:rPr>
        <w:t xml:space="preserve">Dean, J. et Geloso, V. (2022). The linguistic wage gap in Quebec, 1901 to 1951. </w:t>
      </w:r>
      <w:r>
        <w:rPr>
          <w:rFonts w:ascii="Times New Roman" w:hAnsi="Times New Roman" w:eastAsia="Times New Roman" w:cs="Times New Roman"/>
          <w:i/>
          <w:color w:val="000000"/>
          <w:sz w:val="24"/>
        </w:rPr>
        <w:t>Cliometrica</w:t>
      </w:r>
      <w:r>
        <w:rPr>
          <w:rFonts w:ascii="Times New Roman" w:hAnsi="Times New Roman" w:eastAsia="Times New Roman" w:cs="Times New Roman"/>
          <w:color w:val="000000"/>
          <w:sz w:val="24"/>
        </w:rPr>
        <w:t>. https://doi.org/10.1007/s11698-021-00236-3</w:t>
      </w:r>
    </w:p>
    <w:p>
      <w:pPr>
        <w:ind w:left="709" w:hanging="709"/>
      </w:pPr>
      <w:r>
        <w:rPr>
          <w:rFonts w:ascii="Times New Roman" w:hAnsi="Times New Roman" w:eastAsia="Times New Roman" w:cs="Times New Roman"/>
          <w:color w:val="000000"/>
          <w:sz w:val="24"/>
        </w:rPr>
        <w:t xml:space="preserve">Floch, W. et Pocock, J. (2012). The socio-economic status of English-speaking Quebec: Those who left and those who stayed. </w:t>
      </w:r>
      <w:r>
        <w:rPr>
          <w:rFonts w:ascii="Times New Roman" w:hAnsi="Times New Roman" w:eastAsia="Times New Roman" w:cs="Times New Roman"/>
          <w:i/>
          <w:color w:val="000000"/>
          <w:sz w:val="24"/>
        </w:rPr>
        <w:t>In R. Y. Bourhis (dir.), Decline and Prospects of the English-Speaking Communities of Quebec, Ottawa : Patrimoine canadien, 127-173</w:t>
      </w:r>
      <w:r>
        <w:rPr>
          <w:rFonts w:ascii="Times New Roman" w:hAnsi="Times New Roman" w:eastAsia="Times New Roman" w:cs="Times New Roman"/>
          <w:color w:val="000000"/>
          <w:sz w:val="24"/>
        </w:rPr>
        <w:t>.</w:t>
      </w:r>
    </w:p>
    <w:p>
      <w:pPr>
        <w:ind w:left="709" w:hanging="709"/>
      </w:pPr>
      <w:r>
        <w:rPr>
          <w:rFonts w:ascii="Times New Roman" w:hAnsi="Times New Roman" w:eastAsia="Times New Roman" w:cs="Times New Roman"/>
          <w:color w:val="000000"/>
          <w:sz w:val="24"/>
        </w:rPr>
        <w:t xml:space="preserve">Gagnon, J., Geloso, V. et Isabelle, M. (2023). The incubated revolution: Education, cohort effects, and the linguistic wage gap in Quebec during the 20th century. </w:t>
      </w:r>
      <w:r>
        <w:rPr>
          <w:rFonts w:ascii="Times New Roman" w:hAnsi="Times New Roman" w:eastAsia="Times New Roman" w:cs="Times New Roman"/>
          <w:i/>
          <w:color w:val="000000"/>
          <w:sz w:val="24"/>
        </w:rPr>
        <w:t>Journal of Economic Behavior &amp; Organization</w:t>
      </w:r>
      <w:r>
        <w:rPr>
          <w:rFonts w:ascii="Times New Roman" w:hAnsi="Times New Roman" w:eastAsia="Times New Roman" w:cs="Times New Roman"/>
          <w:color w:val="000000"/>
          <w:sz w:val="24"/>
        </w:rPr>
        <w:t>. https://doi.org/10.1016/j.jebo.2022.12.017</w:t>
      </w:r>
    </w:p>
    <w:p>
      <w:pPr>
        <w:ind w:left="709" w:hanging="709"/>
      </w:pPr>
      <w:r>
        <w:rPr>
          <w:rFonts w:ascii="Times New Roman" w:hAnsi="Times New Roman" w:eastAsia="Times New Roman" w:cs="Times New Roman"/>
          <w:color w:val="000000"/>
          <w:sz w:val="24"/>
        </w:rPr>
        <w:t xml:space="preserve">Grenier, G. (1987). Earnings by language group in Quebec in 1980 and emigration from Quebec between 1976 and 1981. </w:t>
      </w:r>
      <w:r>
        <w:rPr>
          <w:rFonts w:ascii="Times New Roman" w:hAnsi="Times New Roman" w:eastAsia="Times New Roman" w:cs="Times New Roman"/>
          <w:i/>
          <w:color w:val="000000"/>
          <w:sz w:val="24"/>
        </w:rPr>
        <w:t>Canadian Journal of Economics, 20(4), 774-791</w:t>
      </w:r>
      <w:r>
        <w:rPr>
          <w:rFonts w:ascii="Times New Roman" w:hAnsi="Times New Roman" w:eastAsia="Times New Roman" w:cs="Times New Roman"/>
          <w:color w:val="000000"/>
          <w:sz w:val="24"/>
        </w:rPr>
        <w:t>. https://doi.org/10.2307/135415</w:t>
      </w:r>
    </w:p>
    <w:p>
      <w:pPr>
        <w:ind w:left="709" w:hanging="709"/>
      </w:pPr>
      <w:r>
        <w:rPr>
          <w:rFonts w:ascii="Times New Roman" w:hAnsi="Times New Roman" w:eastAsia="Times New Roman" w:cs="Times New Roman"/>
          <w:color w:val="000000"/>
          <w:sz w:val="24"/>
        </w:rPr>
        <w:t xml:space="preserve">Grenier, G. et Nadeau, S. (2016). English as the lingua franca and the economic value of other languages: The case of the language of work in the Montreal labor market. </w:t>
      </w:r>
      <w:r>
        <w:rPr>
          <w:rFonts w:ascii="Times New Roman" w:hAnsi="Times New Roman" w:eastAsia="Times New Roman" w:cs="Times New Roman"/>
          <w:i/>
          <w:color w:val="000000"/>
          <w:sz w:val="24"/>
        </w:rPr>
        <w:t>In M. Gazzola et B.-A. Wickström (dir.), The Economics of Language Policy, Cambridge (MA) : MIT Press, 267-312</w:t>
      </w:r>
      <w:r>
        <w:rPr>
          <w:rFonts w:ascii="Times New Roman" w:hAnsi="Times New Roman" w:eastAsia="Times New Roman" w:cs="Times New Roman"/>
          <w:color w:val="000000"/>
          <w:sz w:val="24"/>
        </w:rPr>
        <w:t>.</w:t>
      </w:r>
    </w:p>
    <w:p>
      <w:pPr>
        <w:ind w:left="709" w:hanging="709"/>
      </w:pPr>
      <w:r>
        <w:rPr>
          <w:rFonts w:ascii="Times New Roman" w:hAnsi="Times New Roman" w:eastAsia="Times New Roman" w:cs="Times New Roman"/>
          <w:color w:val="000000"/>
          <w:sz w:val="24"/>
        </w:rPr>
        <w:t xml:space="preserve">Levine, M. V. (1990). The Reconquest of Montreal: Language Policy and Social Change in a Bilingual City. </w:t>
      </w:r>
      <w:r>
        <w:rPr>
          <w:rFonts w:ascii="Times New Roman" w:hAnsi="Times New Roman" w:eastAsia="Times New Roman" w:cs="Times New Roman"/>
          <w:i/>
          <w:color w:val="000000"/>
          <w:sz w:val="24"/>
        </w:rPr>
        <w:t>Philadelphia : Temple University Press</w:t>
      </w:r>
      <w:r>
        <w:rPr>
          <w:rFonts w:ascii="Times New Roman" w:hAnsi="Times New Roman" w:eastAsia="Times New Roman" w:cs="Times New Roman"/>
          <w:color w:val="000000"/>
          <w:sz w:val="24"/>
        </w:rPr>
        <w:t>.</w:t>
      </w:r>
    </w:p>
    <w:p>
      <w:pPr>
        <w:ind w:left="709" w:hanging="709"/>
      </w:pPr>
      <w:r>
        <w:rPr>
          <w:rFonts w:ascii="Times New Roman" w:hAnsi="Times New Roman" w:eastAsia="Times New Roman" w:cs="Times New Roman"/>
          <w:color w:val="000000"/>
          <w:sz w:val="24"/>
        </w:rPr>
        <w:t xml:space="preserve">Lieberson, S. (1970). Language and Ethnic Relations in Canada. </w:t>
      </w:r>
      <w:r>
        <w:rPr>
          <w:rFonts w:ascii="Times New Roman" w:hAnsi="Times New Roman" w:eastAsia="Times New Roman" w:cs="Times New Roman"/>
          <w:i/>
          <w:color w:val="000000"/>
          <w:sz w:val="24"/>
        </w:rPr>
        <w:t>New York : John Wiley &amp; Sons</w:t>
      </w:r>
      <w:r>
        <w:rPr>
          <w:rFonts w:ascii="Times New Roman" w:hAnsi="Times New Roman" w:eastAsia="Times New Roman" w:cs="Times New Roman"/>
          <w:color w:val="000000"/>
          <w:sz w:val="24"/>
        </w:rPr>
        <w:t>.</w:t>
      </w:r>
    </w:p>
    <w:p>
      <w:pPr>
        <w:ind w:left="709" w:hanging="709"/>
      </w:pPr>
      <w:r>
        <w:rPr>
          <w:rFonts w:ascii="Times New Roman" w:hAnsi="Times New Roman" w:eastAsia="Times New Roman" w:cs="Times New Roman"/>
          <w:color w:val="000000"/>
          <w:sz w:val="24"/>
        </w:rPr>
        <w:t xml:space="preserve">Nadeau, S. (2010). Another look at the Francophone wage gap in Canada: Public and private sectors, Quebec and outside Quebec. </w:t>
      </w:r>
      <w:r>
        <w:rPr>
          <w:rFonts w:ascii="Times New Roman" w:hAnsi="Times New Roman" w:eastAsia="Times New Roman" w:cs="Times New Roman"/>
          <w:i/>
          <w:color w:val="000000"/>
          <w:sz w:val="24"/>
        </w:rPr>
        <w:t>Canadian Public Policy / Analyse de politiques, 36(2), 159-179</w:t>
      </w:r>
      <w:r>
        <w:rPr>
          <w:rFonts w:ascii="Times New Roman" w:hAnsi="Times New Roman" w:eastAsia="Times New Roman" w:cs="Times New Roman"/>
          <w:color w:val="000000"/>
          <w:sz w:val="24"/>
        </w:rPr>
        <w:t>. https://doi.org/10.3138/cpp.36.2.159</w:t>
      </w:r>
    </w:p>
    <w:p>
      <w:pPr>
        <w:ind w:left="709" w:hanging="709"/>
      </w:pPr>
      <w:r>
        <w:rPr>
          <w:rFonts w:ascii="Times New Roman" w:hAnsi="Times New Roman" w:eastAsia="Times New Roman" w:cs="Times New Roman"/>
          <w:color w:val="000000"/>
          <w:sz w:val="24"/>
        </w:rPr>
        <w:t xml:space="preserve">Office québécois de la langue française (2022). Portrait du revenu d'emploi au Québec en 2015 selon les langues utilisées au travail. </w:t>
      </w:r>
      <w:r>
        <w:rPr>
          <w:rFonts w:ascii="Times New Roman" w:hAnsi="Times New Roman" w:eastAsia="Times New Roman" w:cs="Times New Roman"/>
          <w:i/>
          <w:color w:val="000000"/>
          <w:sz w:val="24"/>
        </w:rPr>
        <w:t>Québec : OQLF (étude fondée sur le recensement de 2016)</w:t>
      </w:r>
      <w:r>
        <w:rPr>
          <w:rFonts w:ascii="Times New Roman" w:hAnsi="Times New Roman" w:eastAsia="Times New Roman" w:cs="Times New Roman"/>
          <w:color w:val="000000"/>
          <w:sz w:val="24"/>
        </w:rPr>
        <w:t>. https://www.oqlf.gouv.qc.ca/ressources/sociolinguistique/2022/2022_etude_revenu-emploi-selon-langues-utilisees-travail.pdf</w:t>
      </w:r>
    </w:p>
    <w:p>
      <w:pPr>
        <w:ind w:left="709" w:hanging="709"/>
      </w:pPr>
      <w:r>
        <w:rPr>
          <w:rFonts w:ascii="Times New Roman" w:hAnsi="Times New Roman" w:eastAsia="Times New Roman" w:cs="Times New Roman"/>
          <w:color w:val="000000"/>
          <w:sz w:val="24"/>
        </w:rPr>
        <w:t xml:space="preserve">Porter, J. (1965). The Vertical Mosaic: An Analysis of Social Class and Power in Canada. </w:t>
      </w:r>
      <w:r>
        <w:rPr>
          <w:rFonts w:ascii="Times New Roman" w:hAnsi="Times New Roman" w:eastAsia="Times New Roman" w:cs="Times New Roman"/>
          <w:i/>
          <w:color w:val="000000"/>
          <w:sz w:val="24"/>
        </w:rPr>
        <w:t>Toronto : University of Toronto Press</w:t>
      </w:r>
      <w:r>
        <w:rPr>
          <w:rFonts w:ascii="Times New Roman" w:hAnsi="Times New Roman" w:eastAsia="Times New Roman" w:cs="Times New Roman"/>
          <w:color w:val="000000"/>
          <w:sz w:val="24"/>
        </w:rPr>
        <w:t>.</w:t>
      </w:r>
    </w:p>
    <w:p>
      <w:pPr>
        <w:ind w:left="709" w:hanging="709"/>
      </w:pPr>
      <w:r>
        <w:rPr>
          <w:rFonts w:ascii="Times New Roman" w:hAnsi="Times New Roman" w:eastAsia="Times New Roman" w:cs="Times New Roman"/>
          <w:color w:val="000000"/>
          <w:sz w:val="24"/>
        </w:rPr>
        <w:t xml:space="preserve">Provincial Employment Roundtable (PERT) (2023). Census 2021 Update: A brief review of the latest data on employment among Québec's English speakers. </w:t>
      </w:r>
      <w:r>
        <w:rPr>
          <w:rFonts w:ascii="Times New Roman" w:hAnsi="Times New Roman" w:eastAsia="Times New Roman" w:cs="Times New Roman"/>
          <w:i/>
          <w:color w:val="000000"/>
          <w:sz w:val="24"/>
        </w:rPr>
        <w:t>Montréal : PERT</w:t>
      </w:r>
      <w:r>
        <w:rPr>
          <w:rFonts w:ascii="Times New Roman" w:hAnsi="Times New Roman" w:eastAsia="Times New Roman" w:cs="Times New Roman"/>
          <w:color w:val="000000"/>
          <w:sz w:val="24"/>
        </w:rPr>
        <w:t>. https://pertquebec.ca/wp-content/uploads/2023/05/Census-Brief-Update.pdf</w:t>
      </w:r>
    </w:p>
    <w:p>
      <w:pPr>
        <w:ind w:left="709" w:hanging="709"/>
      </w:pPr>
      <w:r>
        <w:rPr>
          <w:rFonts w:ascii="Times New Roman" w:hAnsi="Times New Roman" w:eastAsia="Times New Roman" w:cs="Times New Roman"/>
          <w:color w:val="000000"/>
          <w:sz w:val="24"/>
        </w:rPr>
        <w:t xml:space="preserve">Raynauld, A., Marion, G. et Béland, R. (1966). La répartition des revenus selon les groupes ethniques au Canada (3 vol.). </w:t>
      </w:r>
      <w:r>
        <w:rPr>
          <w:rFonts w:ascii="Times New Roman" w:hAnsi="Times New Roman" w:eastAsia="Times New Roman" w:cs="Times New Roman"/>
          <w:i/>
          <w:color w:val="000000"/>
          <w:sz w:val="24"/>
        </w:rPr>
        <w:t>Étude préparée pour la Commission royale d'enquête sur le bilinguisme et le biculturalisme (non publiée)</w:t>
      </w:r>
      <w:r>
        <w:rPr>
          <w:rFonts w:ascii="Times New Roman" w:hAnsi="Times New Roman" w:eastAsia="Times New Roman" w:cs="Times New Roman"/>
          <w:color w:val="000000"/>
          <w:sz w:val="24"/>
        </w:rPr>
        <w:t>.</w:t>
      </w:r>
    </w:p>
    <w:p>
      <w:pPr>
        <w:ind w:left="709" w:hanging="709"/>
      </w:pPr>
      <w:r>
        <w:rPr>
          <w:rFonts w:ascii="Times New Roman" w:hAnsi="Times New Roman" w:eastAsia="Times New Roman" w:cs="Times New Roman"/>
          <w:color w:val="000000"/>
          <w:sz w:val="24"/>
        </w:rPr>
        <w:t xml:space="preserve">Shapiro, D. M. et Stelcner, M. (1997). Language and earnings in Quebec: Trends over twenty years, 1970-1990. </w:t>
      </w:r>
      <w:r>
        <w:rPr>
          <w:rFonts w:ascii="Times New Roman" w:hAnsi="Times New Roman" w:eastAsia="Times New Roman" w:cs="Times New Roman"/>
          <w:i/>
          <w:color w:val="000000"/>
          <w:sz w:val="24"/>
        </w:rPr>
        <w:t>Canadian Public Policy / Analyse de politiques, 23(2), 115-140</w:t>
      </w:r>
      <w:r>
        <w:rPr>
          <w:rFonts w:ascii="Times New Roman" w:hAnsi="Times New Roman" w:eastAsia="Times New Roman" w:cs="Times New Roman"/>
          <w:color w:val="000000"/>
          <w:sz w:val="24"/>
        </w:rPr>
        <w:t>. https://doi.org/10.2307/3551481</w:t>
      </w:r>
    </w:p>
    <w:p>
      <w:pPr>
        <w:ind w:left="709" w:hanging="709"/>
      </w:pPr>
      <w:r>
        <w:rPr>
          <w:rFonts w:ascii="Times New Roman" w:hAnsi="Times New Roman" w:eastAsia="Times New Roman" w:cs="Times New Roman"/>
          <w:color w:val="000000"/>
          <w:sz w:val="24"/>
        </w:rPr>
        <w:t xml:space="preserve">Vaillancourt, F. (1980). Differences in earnings by language groups in Quebec, 1970: An economic analysis. </w:t>
      </w:r>
      <w:r>
        <w:rPr>
          <w:rFonts w:ascii="Times New Roman" w:hAnsi="Times New Roman" w:eastAsia="Times New Roman" w:cs="Times New Roman"/>
          <w:i/>
          <w:color w:val="000000"/>
          <w:sz w:val="24"/>
        </w:rPr>
        <w:t>Québec : Centre international de recherche sur le bilinguisme (CIRB), Université Laval, Publication B-90</w:t>
      </w:r>
      <w:r>
        <w:rPr>
          <w:rFonts w:ascii="Times New Roman" w:hAnsi="Times New Roman" w:eastAsia="Times New Roman" w:cs="Times New Roman"/>
          <w:color w:val="000000"/>
          <w:sz w:val="24"/>
        </w:rPr>
        <w:t>.</w:t>
      </w:r>
    </w:p>
    <w:p>
      <w:pPr>
        <w:ind w:left="709" w:hanging="709"/>
      </w:pPr>
      <w:r>
        <w:rPr>
          <w:rFonts w:ascii="Times New Roman" w:hAnsi="Times New Roman" w:eastAsia="Times New Roman" w:cs="Times New Roman"/>
          <w:color w:val="000000"/>
          <w:sz w:val="24"/>
        </w:rPr>
        <w:t xml:space="preserve">Vaillancourt, F. (1988). Langue et disparités de statut économique au Québec, 1970 et 1980. </w:t>
      </w:r>
      <w:r>
        <w:rPr>
          <w:rFonts w:ascii="Times New Roman" w:hAnsi="Times New Roman" w:eastAsia="Times New Roman" w:cs="Times New Roman"/>
          <w:i/>
          <w:color w:val="000000"/>
          <w:sz w:val="24"/>
        </w:rPr>
        <w:t>Québec : Conseil de la langue française, coll. Dossiers no 28</w:t>
      </w:r>
      <w:r>
        <w:rPr>
          <w:rFonts w:ascii="Times New Roman" w:hAnsi="Times New Roman" w:eastAsia="Times New Roman" w:cs="Times New Roman"/>
          <w:color w:val="000000"/>
          <w:sz w:val="24"/>
        </w:rPr>
        <w:t>.</w:t>
      </w:r>
    </w:p>
    <w:p>
      <w:pPr>
        <w:ind w:left="709" w:hanging="709"/>
      </w:pPr>
      <w:r>
        <w:rPr>
          <w:rFonts w:ascii="Times New Roman" w:hAnsi="Times New Roman" w:eastAsia="Times New Roman" w:cs="Times New Roman"/>
          <w:color w:val="000000"/>
          <w:sz w:val="24"/>
        </w:rPr>
        <w:t xml:space="preserve">Vaillancourt, F. (1996). Language and socioeconomic status in Quebec: measurement, findings, determinants, and policy costs. </w:t>
      </w:r>
      <w:r>
        <w:rPr>
          <w:rFonts w:ascii="Times New Roman" w:hAnsi="Times New Roman" w:eastAsia="Times New Roman" w:cs="Times New Roman"/>
          <w:i/>
          <w:color w:val="000000"/>
          <w:sz w:val="24"/>
        </w:rPr>
        <w:t>International Journal of the Sociology of Language, 121, 69-92</w:t>
      </w:r>
      <w:r>
        <w:rPr>
          <w:rFonts w:ascii="Times New Roman" w:hAnsi="Times New Roman" w:eastAsia="Times New Roman" w:cs="Times New Roman"/>
          <w:color w:val="000000"/>
          <w:sz w:val="24"/>
        </w:rPr>
        <w:t>. https://doi.org/10.1515/ijsl.1996.121.69</w:t>
      </w:r>
    </w:p>
    <w:p>
      <w:pPr>
        <w:ind w:left="709" w:hanging="709"/>
      </w:pPr>
      <w:r>
        <w:rPr>
          <w:rFonts w:ascii="Times New Roman" w:hAnsi="Times New Roman" w:eastAsia="Times New Roman" w:cs="Times New Roman"/>
          <w:color w:val="000000"/>
          <w:sz w:val="24"/>
        </w:rPr>
        <w:t xml:space="preserve">Vaillancourt, F. (2018). Analyse économique des politiques linguistiques au Québec : 40 ans de Loi 101. </w:t>
      </w:r>
      <w:r>
        <w:rPr>
          <w:rFonts w:ascii="Times New Roman" w:hAnsi="Times New Roman" w:eastAsia="Times New Roman" w:cs="Times New Roman"/>
          <w:i/>
          <w:color w:val="000000"/>
          <w:sz w:val="24"/>
        </w:rPr>
        <w:t>CIRANO, Cahier scientifique 2018s-16</w:t>
      </w:r>
      <w:r>
        <w:rPr>
          <w:rFonts w:ascii="Times New Roman" w:hAnsi="Times New Roman" w:eastAsia="Times New Roman" w:cs="Times New Roman"/>
          <w:color w:val="000000"/>
          <w:sz w:val="24"/>
        </w:rPr>
        <w:t>. https://cirano.qc.ca/files/publications/2018s-16.pdf</w:t>
      </w:r>
    </w:p>
    <w:p>
      <w:pPr>
        <w:ind w:left="709" w:hanging="709"/>
      </w:pPr>
      <w:r>
        <w:rPr>
          <w:rFonts w:ascii="Times New Roman" w:hAnsi="Times New Roman" w:eastAsia="Times New Roman" w:cs="Times New Roman"/>
          <w:color w:val="000000"/>
          <w:sz w:val="24"/>
        </w:rPr>
        <w:t xml:space="preserve">Vaillancourt, F. (2020). La rémunération des attributs linguistiques au Québec : résultats pour 2015 et comparaison 1970-2015. </w:t>
      </w:r>
      <w:r>
        <w:rPr>
          <w:rFonts w:ascii="Times New Roman" w:hAnsi="Times New Roman" w:eastAsia="Times New Roman" w:cs="Times New Roman"/>
          <w:i/>
          <w:color w:val="000000"/>
          <w:sz w:val="24"/>
        </w:rPr>
        <w:t>CIRANO, Rapport 2020s-52 ; version anglaise REAL Working Paper 20-8 (Ulster University)</w:t>
      </w:r>
      <w:r>
        <w:rPr>
          <w:rFonts w:ascii="Times New Roman" w:hAnsi="Times New Roman" w:eastAsia="Times New Roman" w:cs="Times New Roman"/>
          <w:color w:val="000000"/>
          <w:sz w:val="24"/>
        </w:rPr>
        <w:t>. https://cirano.qc.ca/files/publications/2020s-52.pdf</w:t>
      </w:r>
    </w:p>
    <w:p>
      <w:pPr>
        <w:ind w:left="709" w:hanging="709"/>
      </w:pPr>
      <w:r>
        <w:rPr>
          <w:rFonts w:ascii="Times New Roman" w:hAnsi="Times New Roman" w:eastAsia="Times New Roman" w:cs="Times New Roman"/>
          <w:color w:val="000000"/>
          <w:sz w:val="24"/>
        </w:rPr>
        <w:t xml:space="preserve">Vaillancourt, F., Lemay, D. et Vaillancourt, L. (2007). Laggards no more: The changed socioeconomic status of francophones in Quebec. </w:t>
      </w:r>
      <w:r>
        <w:rPr>
          <w:rFonts w:ascii="Times New Roman" w:hAnsi="Times New Roman" w:eastAsia="Times New Roman" w:cs="Times New Roman"/>
          <w:i/>
          <w:color w:val="000000"/>
          <w:sz w:val="24"/>
        </w:rPr>
        <w:t>C.D. Howe Institute Backgrounder no 103</w:t>
      </w:r>
      <w:r>
        <w:rPr>
          <w:rFonts w:ascii="Times New Roman" w:hAnsi="Times New Roman" w:eastAsia="Times New Roman" w:cs="Times New Roman"/>
          <w:color w:val="000000"/>
          <w:sz w:val="24"/>
        </w:rPr>
        <w:t>. https://cdhowe.org/wp-content/uploads/2024/04/backgrounder_103_english.pdf</w:t>
      </w:r>
    </w:p>
    <w:p>
      <w:pPr>
        <w:ind w:left="709" w:hanging="709"/>
      </w:pPr>
      <w:r>
        <w:rPr>
          <w:rFonts w:ascii="Times New Roman" w:hAnsi="Times New Roman" w:eastAsia="Times New Roman" w:cs="Times New Roman"/>
          <w:color w:val="000000"/>
          <w:sz w:val="24"/>
        </w:rPr>
        <w:t xml:space="preserve">Vaillancourt, F., Tousignant, J., Chatel-DeRepentigny, J. et Coutu-Mantha, S. (2013). Revenus de travail et rendement des attributs linguistiques au Québec en 2005 et depuis 1970. </w:t>
      </w:r>
      <w:r>
        <w:rPr>
          <w:rFonts w:ascii="Times New Roman" w:hAnsi="Times New Roman" w:eastAsia="Times New Roman" w:cs="Times New Roman"/>
          <w:i/>
          <w:color w:val="000000"/>
          <w:sz w:val="24"/>
        </w:rPr>
        <w:t>Canadian Public Policy / Analyse de politiques, 39(S1), S25-S40</w:t>
      </w:r>
      <w:r>
        <w:rPr>
          <w:rFonts w:ascii="Times New Roman" w:hAnsi="Times New Roman" w:eastAsia="Times New Roman" w:cs="Times New Roman"/>
          <w:color w:val="000000"/>
          <w:sz w:val="24"/>
        </w:rPr>
        <w:t>. https://doi.org/10.3138/cpp.39.supplement1.s25</w:t>
      </w:r>
    </w:p>
    <w:p>
      <w:pPr>
        <w:ind w:left="709" w:hanging="709"/>
      </w:pPr>
      <w:r>
        <w:rPr>
          <w:rFonts w:ascii="Times New Roman" w:hAnsi="Times New Roman" w:eastAsia="Times New Roman" w:cs="Times New Roman"/>
          <w:color w:val="000000"/>
          <w:sz w:val="24"/>
        </w:rPr>
        <w:t xml:space="preserve">Jalali, S. et Wohlin, C. (2012). Systematic literature studies: Database searches vs. backward snowballing. </w:t>
      </w:r>
      <w:r>
        <w:rPr>
          <w:rFonts w:ascii="Times New Roman" w:hAnsi="Times New Roman" w:eastAsia="Times New Roman" w:cs="Times New Roman"/>
          <w:i/>
          <w:color w:val="000000"/>
          <w:sz w:val="24"/>
        </w:rPr>
        <w:t>Proceedings of the ACM-IEEE International Symposium on Empirical Software Engineering and Measurement</w:t>
      </w:r>
      <w:r>
        <w:rPr>
          <w:rFonts w:ascii="Times New Roman" w:hAnsi="Times New Roman" w:eastAsia="Times New Roman" w:cs="Times New Roman"/>
          <w:color w:val="000000"/>
          <w:sz w:val="24"/>
        </w:rPr>
        <w:t>, 29-38. https://doi.org/10.1145/2372251.2372257</w:t>
      </w:r>
    </w:p>
    <w:p>
      <w:pPr>
        <w:spacing w:line="480" w:lineRule="auto"/>
        <w:jc w:val="both"/>
      </w:pPr>
      <w:r>
        <w:rPr>
          <w:rFonts w:ascii="Times New Roman" w:hAnsi="Times New Roman" w:eastAsia="Times New Roman" w:cs="Times New Roman"/>
          <w:color w:val="000000"/>
          <w:sz w:val="24"/>
        </w:rPr>
        <w:t>::: {#refs} :::</w:t>
      </w:r>
    </w:p>
    <w:sectPr w:rsidR="00FC693F" w:rsidRPr="0006063C" w:rsidSect="00034616">
      <w:footerReference w:type="default" r:id="rId10"/>
      <w:pgSz w:w="12240" w:h="15840"/>
      <w:pgMar w:top="1417" w:right="1417" w:bottom="1417" w:left="1417"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eastAsia="Times New Roman" w:cs="Times New Roman"/>
        <w:b/>
        <w:color w:val="000000"/>
        <w:sz w:val="24"/>
      </w:rPr>
      <w:t>537380130 / MADUP212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jc w:val="both"/>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jc w:val="both"/>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contextualSpacing/>
      <w:jc w:val="both"/>
    </w:pPr>
    <w:rPr>
      <w:rFonts w:ascii="Times New Roman" w:hAnsi="Times New Roman" w:eastAsia="Times New Roman"/>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after="0"/>
      <w:jc w:val="left"/>
    </w:pPr>
    <w:rPr>
      <w:rFonts w:ascii="Times New Roman" w:hAnsi="Times New Roman" w:eastAsia="Times New Roman"/>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