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0439C" w14:textId="77777777" w:rsidR="00D846FE" w:rsidRPr="00D846FE" w:rsidRDefault="00D846FE" w:rsidP="00D846FE">
      <w:pPr>
        <w:tabs>
          <w:tab w:val="num" w:pos="720"/>
        </w:tabs>
        <w:jc w:val="both"/>
        <w:rPr>
          <w:rFonts w:cstheme="minorHAnsi"/>
          <w:b/>
          <w:sz w:val="24"/>
          <w:szCs w:val="24"/>
        </w:rPr>
      </w:pPr>
      <w:bookmarkStart w:id="0" w:name="_Hlk110164647"/>
      <w:r w:rsidRPr="00D846FE">
        <w:rPr>
          <w:rFonts w:cstheme="minorHAnsi"/>
          <w:b/>
          <w:sz w:val="24"/>
          <w:szCs w:val="24"/>
        </w:rPr>
        <w:t>The effect of Type 1 diabetes (T1D) on maternal contribution to the neonatal microbiome</w:t>
      </w:r>
    </w:p>
    <w:p w14:paraId="420E63E1" w14:textId="77777777" w:rsidR="00D846FE" w:rsidRPr="00D846FE" w:rsidRDefault="00D846FE" w:rsidP="00D846FE">
      <w:pPr>
        <w:tabs>
          <w:tab w:val="num" w:pos="720"/>
        </w:tabs>
        <w:jc w:val="both"/>
        <w:rPr>
          <w:rFonts w:cstheme="minorHAnsi"/>
          <w:b/>
          <w:sz w:val="24"/>
          <w:szCs w:val="24"/>
        </w:rPr>
      </w:pPr>
      <w:r w:rsidRPr="00D846FE">
        <w:rPr>
          <w:rFonts w:cstheme="minorHAnsi"/>
          <w:b/>
          <w:sz w:val="24"/>
          <w:szCs w:val="24"/>
        </w:rPr>
        <w:t xml:space="preserve">Background: </w:t>
      </w:r>
    </w:p>
    <w:p w14:paraId="3D1A8F06" w14:textId="163FB6B3" w:rsidR="00D846FE" w:rsidRPr="00D846FE" w:rsidRDefault="00D846FE" w:rsidP="00D846FE">
      <w:pPr>
        <w:tabs>
          <w:tab w:val="num" w:pos="720"/>
        </w:tabs>
        <w:jc w:val="both"/>
        <w:rPr>
          <w:rFonts w:cstheme="minorHAnsi"/>
          <w:bCs/>
          <w:sz w:val="24"/>
          <w:szCs w:val="24"/>
        </w:rPr>
      </w:pPr>
      <w:r w:rsidRPr="00D846FE">
        <w:rPr>
          <w:rFonts w:cstheme="minorHAnsi"/>
          <w:bCs/>
          <w:sz w:val="24"/>
          <w:szCs w:val="24"/>
        </w:rPr>
        <w:t xml:space="preserve">It has previously been reported that the neonates from Type1 diabetic mothers have altered microbiota at birth and in early childhood. However, distinguishing the relative impact of underlying maternal disease from confounding effects of glycemic control, medications, and mode of delivery is challenging. Neonatal microbiomes are primarily inoculated from their mothers, with secondary contributions from their surrounding environment, but the effect of T1D may influence maternal microbiome capacity to contribute to the inoculation and establishment of the neonatal microbiome. This study sought to investigate the impact of T1D on ability for maternal (sources) microbiomes to contribute to the inoculation and establishment of the neonatal (sinks) microbiomes, hypothesizing that when T1D glycemic index was properly controlled, the confounding effects of maternal disease would bear a greater influence on the maternal microbiomes ability to impact the offspring’s microbiome community assemblages when compared to the disease itself. To control for these and other covariates and co-morbidities common among women with T1D, we utilized maternal - neonatal dyad with T1D (n=92) paired with case controls (n=90), resulting in a total </w:t>
      </w:r>
      <w:r w:rsidRPr="00D846FE">
        <w:rPr>
          <w:rFonts w:cstheme="minorHAnsi"/>
          <w:bCs/>
          <w:sz w:val="24"/>
          <w:szCs w:val="24"/>
        </w:rPr>
        <w:t>of 527</w:t>
      </w:r>
      <w:r w:rsidRPr="00D846FE">
        <w:rPr>
          <w:rFonts w:cstheme="minorHAnsi"/>
          <w:bCs/>
          <w:sz w:val="24"/>
          <w:szCs w:val="24"/>
        </w:rPr>
        <w:t xml:space="preserve"> vaginal, rectum, and ear-skin swabs and stool samples.</w:t>
      </w:r>
    </w:p>
    <w:p w14:paraId="3EEDB352" w14:textId="77777777" w:rsidR="00D846FE" w:rsidRPr="00D846FE" w:rsidRDefault="00D846FE" w:rsidP="00D846FE">
      <w:pPr>
        <w:tabs>
          <w:tab w:val="num" w:pos="720"/>
        </w:tabs>
        <w:jc w:val="both"/>
        <w:rPr>
          <w:rFonts w:cstheme="minorHAnsi"/>
          <w:b/>
          <w:sz w:val="24"/>
          <w:szCs w:val="24"/>
        </w:rPr>
      </w:pPr>
      <w:r w:rsidRPr="00D846FE">
        <w:rPr>
          <w:rFonts w:cstheme="minorHAnsi"/>
          <w:b/>
          <w:sz w:val="24"/>
          <w:szCs w:val="24"/>
        </w:rPr>
        <w:t xml:space="preserve">Methods: </w:t>
      </w:r>
    </w:p>
    <w:p w14:paraId="400517F9" w14:textId="77777777" w:rsidR="00D846FE" w:rsidRPr="00D846FE" w:rsidRDefault="00D846FE" w:rsidP="00D846FE">
      <w:pPr>
        <w:tabs>
          <w:tab w:val="num" w:pos="720"/>
        </w:tabs>
        <w:jc w:val="both"/>
        <w:rPr>
          <w:rFonts w:cstheme="minorHAnsi"/>
          <w:bCs/>
          <w:sz w:val="24"/>
          <w:szCs w:val="24"/>
        </w:rPr>
      </w:pPr>
      <w:r w:rsidRPr="00D846FE">
        <w:rPr>
          <w:rFonts w:cstheme="minorHAnsi"/>
          <w:bCs/>
          <w:sz w:val="24"/>
          <w:szCs w:val="24"/>
        </w:rPr>
        <w:t xml:space="preserve">DNA extractions from all samples were sent for 16S V4 amplicon metagenomic sequencing (Illumina) followed by bioinformatics analyses (DADA2) and contribution estimates of the proportions of different maternal sources to a sample of a neonatal sink was obtained with sourcetracker2 by dyad pair. </w:t>
      </w:r>
    </w:p>
    <w:p w14:paraId="1E75745D" w14:textId="77777777" w:rsidR="00D846FE" w:rsidRPr="00D846FE" w:rsidRDefault="00D846FE" w:rsidP="00D846FE">
      <w:pPr>
        <w:tabs>
          <w:tab w:val="num" w:pos="720"/>
        </w:tabs>
        <w:jc w:val="both"/>
        <w:rPr>
          <w:rFonts w:cstheme="minorHAnsi"/>
          <w:b/>
          <w:sz w:val="24"/>
          <w:szCs w:val="24"/>
        </w:rPr>
      </w:pPr>
      <w:r w:rsidRPr="00D846FE">
        <w:rPr>
          <w:rFonts w:cstheme="minorHAnsi"/>
          <w:b/>
          <w:sz w:val="24"/>
          <w:szCs w:val="24"/>
        </w:rPr>
        <w:t xml:space="preserve">Results: </w:t>
      </w:r>
    </w:p>
    <w:p w14:paraId="1AFDE383" w14:textId="77777777" w:rsidR="00D846FE" w:rsidRPr="00D846FE" w:rsidRDefault="00D846FE" w:rsidP="00D846FE">
      <w:pPr>
        <w:tabs>
          <w:tab w:val="num" w:pos="720"/>
        </w:tabs>
        <w:jc w:val="both"/>
        <w:rPr>
          <w:rFonts w:cstheme="minorHAnsi"/>
          <w:bCs/>
          <w:sz w:val="24"/>
          <w:szCs w:val="24"/>
        </w:rPr>
      </w:pPr>
      <w:r w:rsidRPr="00D846FE">
        <w:rPr>
          <w:rFonts w:cstheme="minorHAnsi"/>
          <w:bCs/>
          <w:sz w:val="24"/>
          <w:szCs w:val="24"/>
        </w:rPr>
        <w:t>Overall, results revealed that there was not a significant impact on the maternal microbiome’s ability to influence the neonatal microbiome.  When stratified by source type and delivery method, we observed a significant effect of disease on maternal contribution from the maternal source microbiomes to the neonatal ear microbiome amongst vaginally delivery patients, but all other source contributions comparisons were deemed not significant, or a product of delivery method and not an effect of the impact of disease.</w:t>
      </w:r>
    </w:p>
    <w:p w14:paraId="3BE04B77" w14:textId="5416249D" w:rsidR="006A5827" w:rsidRDefault="00D846FE" w:rsidP="00920F39">
      <w:pPr>
        <w:tabs>
          <w:tab w:val="num" w:pos="720"/>
        </w:tabs>
        <w:jc w:val="both"/>
        <w:rPr>
          <w:rFonts w:cstheme="minorHAnsi"/>
          <w:sz w:val="24"/>
          <w:szCs w:val="24"/>
          <w:lang w:val="en"/>
        </w:rPr>
        <w:sectPr w:rsidR="006A5827" w:rsidSect="00D846FE">
          <w:pgSz w:w="12240" w:h="15840"/>
          <w:pgMar w:top="1440" w:right="1440" w:bottom="1440" w:left="1440" w:header="720" w:footer="720" w:gutter="0"/>
          <w:cols w:space="720"/>
          <w:docGrid w:linePitch="360"/>
        </w:sectPr>
      </w:pPr>
      <w:r w:rsidRPr="00D846FE">
        <w:rPr>
          <w:rFonts w:cstheme="minorHAnsi"/>
          <w:b/>
          <w:sz w:val="24"/>
          <w:szCs w:val="24"/>
        </w:rPr>
        <w:t xml:space="preserve">Conclusion: </w:t>
      </w:r>
      <w:r w:rsidRPr="00D846FE">
        <w:rPr>
          <w:rFonts w:cstheme="minorHAnsi"/>
          <w:bCs/>
          <w:sz w:val="24"/>
          <w:szCs w:val="24"/>
        </w:rPr>
        <w:t xml:space="preserve">Although this study is limited with respect subject diversity, these findings by and large suggest that maternal contributions to the neonatal microbiome is not impacted by T1D in a </w:t>
      </w:r>
      <w:r w:rsidRPr="00D846FE">
        <w:rPr>
          <w:rFonts w:cstheme="minorHAnsi"/>
          <w:bCs/>
          <w:sz w:val="24"/>
          <w:szCs w:val="24"/>
        </w:rPr>
        <w:t>manner independent</w:t>
      </w:r>
      <w:r w:rsidRPr="00D846FE">
        <w:rPr>
          <w:rFonts w:cstheme="minorHAnsi"/>
          <w:bCs/>
          <w:sz w:val="24"/>
          <w:szCs w:val="24"/>
        </w:rPr>
        <w:t xml:space="preserve"> of confounding variables. These data collectively suggest that confounding effects of maternal disease such as the extent of glycemic control, mode of delivery, or prophylactic antibiotic usage allows a greater impact on the emergent neonatal microbiome community assemblage and function.</w:t>
      </w:r>
      <w:r w:rsidRPr="00D846FE">
        <w:rPr>
          <w:rFonts w:cstheme="minorHAnsi"/>
          <w:b/>
          <w:sz w:val="24"/>
          <w:szCs w:val="24"/>
        </w:rPr>
        <w:tab/>
      </w:r>
      <w:r w:rsidR="006A5827">
        <w:rPr>
          <w:rFonts w:cstheme="minorHAnsi"/>
          <w:sz w:val="24"/>
          <w:szCs w:val="24"/>
          <w:lang w:val="en"/>
        </w:rPr>
        <w:br/>
      </w:r>
    </w:p>
    <w:bookmarkEnd w:id="0"/>
    <w:p w14:paraId="536C2A76" w14:textId="20167FE4" w:rsidR="006A5827" w:rsidRDefault="00920F39" w:rsidP="006A5827">
      <w:r w:rsidRPr="00920F39">
        <w:rPr>
          <w:rFonts w:cstheme="minorHAnsi"/>
          <w:noProof/>
        </w:rPr>
        <w:lastRenderedPageBreak/>
        <mc:AlternateContent>
          <mc:Choice Requires="wps">
            <w:drawing>
              <wp:anchor distT="0" distB="0" distL="114300" distR="114300" simplePos="0" relativeHeight="251661312" behindDoc="0" locked="0" layoutInCell="1" allowOverlap="1" wp14:anchorId="7FF46650" wp14:editId="1DEAFCD8">
                <wp:simplePos x="0" y="0"/>
                <wp:positionH relativeFrom="column">
                  <wp:posOffset>-495300</wp:posOffset>
                </wp:positionH>
                <wp:positionV relativeFrom="paragraph">
                  <wp:posOffset>4752975</wp:posOffset>
                </wp:positionV>
                <wp:extent cx="9477375" cy="635"/>
                <wp:effectExtent l="0" t="0" r="9525" b="0"/>
                <wp:wrapTopAndBottom/>
                <wp:docPr id="1" name="Text Box 1"/>
                <wp:cNvGraphicFramePr/>
                <a:graphic xmlns:a="http://schemas.openxmlformats.org/drawingml/2006/main">
                  <a:graphicData uri="http://schemas.microsoft.com/office/word/2010/wordprocessingShape">
                    <wps:wsp>
                      <wps:cNvSpPr txBox="1"/>
                      <wps:spPr>
                        <a:xfrm>
                          <a:off x="0" y="0"/>
                          <a:ext cx="9477375" cy="635"/>
                        </a:xfrm>
                        <a:prstGeom prst="rect">
                          <a:avLst/>
                        </a:prstGeom>
                        <a:solidFill>
                          <a:prstClr val="white"/>
                        </a:solidFill>
                        <a:ln>
                          <a:noFill/>
                        </a:ln>
                      </wps:spPr>
                      <wps:txbx>
                        <w:txbxContent>
                          <w:p w14:paraId="4E641BCF" w14:textId="5B61D566" w:rsidR="00F34C55" w:rsidRPr="00943C9E" w:rsidRDefault="00920F39" w:rsidP="00D846FE">
                            <w:pPr>
                              <w:pStyle w:val="Caption"/>
                            </w:pPr>
                            <w:r w:rsidRPr="00920F39">
                              <w:t xml:space="preserve">Figure 9.  </w:t>
                            </w:r>
                            <w:r w:rsidRPr="00D846FE">
                              <w:rPr>
                                <w:b w:val="0"/>
                                <w:bCs/>
                              </w:rPr>
                              <w:t>Network plot of Sourcetracker2 derived maternal contributions (outside nodes) to neonatal microbiomes (inside nodes) by disease states A) Control and B) Type one diabetes by delivery modes Cesarean (left) and Vaginal (right). Maternal contributions are depicted and annotated by line thickness and demonstrate a statistically significant increase in maternal Rectum source contributions to the neonatal ear microbiome when comparing vaginally delivered neonatal ear microbiomes from type 1 diabetic mothers to the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F46650" id="_x0000_t202" coordsize="21600,21600" o:spt="202" path="m,l,21600r21600,l21600,xe">
                <v:stroke joinstyle="miter"/>
                <v:path gradientshapeok="t" o:connecttype="rect"/>
              </v:shapetype>
              <v:shape id="Text Box 1" o:spid="_x0000_s1026" type="#_x0000_t202" style="position:absolute;margin-left:-39pt;margin-top:374.25pt;width:746.2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" stroked="f">
                <v:textbox style="mso-fit-shape-to-text:t" inset="0,0,0,0">
                  <w:txbxContent>
                    <w:p w14:paraId="4E641BCF" w14:textId="5B61D566" w:rsidR="00F34C55" w:rsidRPr="00943C9E" w:rsidRDefault="00920F39" w:rsidP="00D846FE">
                      <w:pPr>
                        <w:pStyle w:val="Caption"/>
                      </w:pPr>
                      <w:r w:rsidRPr="00920F39">
                        <w:t xml:space="preserve">Figure 9.  </w:t>
                      </w:r>
                      <w:r w:rsidRPr="00D846FE">
                        <w:rPr>
                          <w:b w:val="0"/>
                          <w:bCs/>
                        </w:rPr>
                        <w:t>Network plot of Sourcetracker2 derived maternal contributions (outside nodes) to neonatal microbiomes (inside nodes) by disease states A) Control and B) Type one diabetes by delivery modes Cesarean (left) and Vaginal (right). Maternal contributions are depicted and annotated by line thickness and demonstrate a statistically significant increase in maternal Rectum source contributions to the neonatal ear microbiome when comparing vaginally delivered neonatal ear microbiomes from type 1 diabetic mothers to the control.</w:t>
                      </w:r>
                    </w:p>
                  </w:txbxContent>
                </v:textbox>
                <w10:wrap type="topAndBottom"/>
              </v:shape>
            </w:pict>
          </mc:Fallback>
        </mc:AlternateContent>
      </w:r>
      <w:r>
        <w:rPr>
          <w:rFonts w:cstheme="minorHAnsi"/>
          <w:noProof/>
          <w:lang w:val="en"/>
        </w:rPr>
        <w:drawing>
          <wp:anchor distT="0" distB="0" distL="114300" distR="114300" simplePos="0" relativeHeight="251662336" behindDoc="0" locked="0" layoutInCell="1" allowOverlap="1" wp14:anchorId="1563F601" wp14:editId="3566DE47">
            <wp:simplePos x="0" y="0"/>
            <wp:positionH relativeFrom="margin">
              <wp:align>center</wp:align>
            </wp:positionH>
            <wp:positionV relativeFrom="paragraph">
              <wp:posOffset>0</wp:posOffset>
            </wp:positionV>
            <wp:extent cx="9504680" cy="4638675"/>
            <wp:effectExtent l="0" t="0" r="127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10434"/>
                    <a:stretch/>
                  </pic:blipFill>
                  <pic:spPr bwMode="auto">
                    <a:xfrm>
                      <a:off x="0" y="0"/>
                      <a:ext cx="9505315" cy="463895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FADECD" w14:textId="0C3E771C" w:rsidR="00B02B17" w:rsidRPr="00D846FE" w:rsidRDefault="00B02B17" w:rsidP="00D846FE">
      <w:pPr>
        <w:jc w:val="center"/>
        <w:rPr>
          <w:sz w:val="24"/>
          <w:szCs w:val="24"/>
        </w:rPr>
      </w:pPr>
      <w:r w:rsidRPr="00D846FE">
        <w:rPr>
          <w:b/>
          <w:bCs/>
          <w:sz w:val="24"/>
          <w:szCs w:val="24"/>
        </w:rPr>
        <w:lastRenderedPageBreak/>
        <w:t xml:space="preserve">Table </w:t>
      </w:r>
      <w:r w:rsidRPr="00D846FE">
        <w:rPr>
          <w:b/>
          <w:bCs/>
          <w:iCs/>
          <w:sz w:val="24"/>
          <w:szCs w:val="24"/>
        </w:rPr>
        <w:fldChar w:fldCharType="begin"/>
      </w:r>
      <w:r w:rsidRPr="00D846FE">
        <w:rPr>
          <w:b/>
          <w:bCs/>
          <w:iCs/>
          <w:sz w:val="24"/>
          <w:szCs w:val="24"/>
        </w:rPr>
        <w:instrText xml:space="preserve"> SEQ Table \* ARABIC </w:instrText>
      </w:r>
      <w:r w:rsidRPr="00D846FE">
        <w:rPr>
          <w:b/>
          <w:bCs/>
          <w:iCs/>
          <w:sz w:val="24"/>
          <w:szCs w:val="24"/>
        </w:rPr>
        <w:fldChar w:fldCharType="separate"/>
      </w:r>
      <w:r w:rsidRPr="00D846FE">
        <w:rPr>
          <w:b/>
          <w:bCs/>
          <w:iCs/>
          <w:noProof/>
          <w:sz w:val="24"/>
          <w:szCs w:val="24"/>
        </w:rPr>
        <w:t>1</w:t>
      </w:r>
      <w:r w:rsidRPr="00D846FE">
        <w:rPr>
          <w:b/>
          <w:bCs/>
          <w:iCs/>
          <w:sz w:val="24"/>
          <w:szCs w:val="24"/>
        </w:rPr>
        <w:fldChar w:fldCharType="end"/>
      </w:r>
      <w:r w:rsidRPr="00D846FE">
        <w:rPr>
          <w:b/>
          <w:bCs/>
          <w:sz w:val="24"/>
          <w:szCs w:val="24"/>
        </w:rPr>
        <w:t>.</w:t>
      </w:r>
      <w:r w:rsidRPr="00D846FE">
        <w:rPr>
          <w:b/>
          <w:iCs/>
          <w:sz w:val="24"/>
          <w:szCs w:val="24"/>
        </w:rPr>
        <w:t xml:space="preserve"> </w:t>
      </w:r>
      <w:r w:rsidR="00920F39" w:rsidRPr="00D846FE">
        <w:rPr>
          <w:sz w:val="24"/>
          <w:szCs w:val="24"/>
        </w:rPr>
        <w:t>Overview of maternal source mean contributions to newborn sinks by disease and delivery method.</w:t>
      </w:r>
    </w:p>
    <w:tbl>
      <w:tblPr>
        <w:tblW w:w="13480" w:type="dxa"/>
        <w:tblInd w:w="-255" w:type="dxa"/>
        <w:tblCellMar>
          <w:left w:w="0" w:type="dxa"/>
          <w:right w:w="0" w:type="dxa"/>
        </w:tblCellMar>
        <w:tblLook w:val="04A0" w:firstRow="1" w:lastRow="0" w:firstColumn="1" w:lastColumn="0" w:noHBand="0" w:noVBand="1"/>
      </w:tblPr>
      <w:tblGrid>
        <w:gridCol w:w="1381"/>
        <w:gridCol w:w="1121"/>
        <w:gridCol w:w="1823"/>
        <w:gridCol w:w="1823"/>
        <w:gridCol w:w="1823"/>
        <w:gridCol w:w="1823"/>
        <w:gridCol w:w="1823"/>
        <w:gridCol w:w="1863"/>
      </w:tblGrid>
      <w:tr w:rsidR="00920F39" w:rsidRPr="00920F39" w14:paraId="3C1E53E5" w14:textId="77777777" w:rsidTr="00D846FE">
        <w:trPr>
          <w:trHeight w:val="297"/>
        </w:trPr>
        <w:tc>
          <w:tcPr>
            <w:tcW w:w="1381" w:type="dxa"/>
            <w:tcBorders>
              <w:top w:val="nil"/>
              <w:left w:val="nil"/>
              <w:bottom w:val="nil"/>
              <w:right w:val="nil"/>
            </w:tcBorders>
            <w:shd w:val="clear" w:color="auto" w:fill="auto"/>
            <w:tcMar>
              <w:top w:w="15" w:type="dxa"/>
              <w:left w:w="68" w:type="dxa"/>
              <w:bottom w:w="0" w:type="dxa"/>
              <w:right w:w="68" w:type="dxa"/>
            </w:tcMar>
            <w:vAlign w:val="bottom"/>
            <w:hideMark/>
          </w:tcPr>
          <w:p w14:paraId="5FAE1A20" w14:textId="77777777" w:rsidR="00920F39" w:rsidRPr="00920F39" w:rsidRDefault="00920F39" w:rsidP="00920F39">
            <w:pPr>
              <w:spacing w:after="0" w:line="240" w:lineRule="auto"/>
              <w:rPr>
                <w:rFonts w:ascii="Times New Roman" w:eastAsia="Times New Roman" w:hAnsi="Times New Roman" w:cs="Times New Roman"/>
                <w:sz w:val="24"/>
                <w:szCs w:val="24"/>
              </w:rPr>
            </w:pPr>
          </w:p>
        </w:tc>
        <w:tc>
          <w:tcPr>
            <w:tcW w:w="1121" w:type="dxa"/>
            <w:tcBorders>
              <w:top w:val="nil"/>
              <w:left w:val="nil"/>
              <w:bottom w:val="nil"/>
              <w:right w:val="nil"/>
            </w:tcBorders>
            <w:shd w:val="clear" w:color="auto" w:fill="auto"/>
            <w:tcMar>
              <w:top w:w="15" w:type="dxa"/>
              <w:left w:w="68" w:type="dxa"/>
              <w:bottom w:w="0" w:type="dxa"/>
              <w:right w:w="68" w:type="dxa"/>
            </w:tcMar>
            <w:vAlign w:val="bottom"/>
            <w:hideMark/>
          </w:tcPr>
          <w:p w14:paraId="352D216E" w14:textId="77777777" w:rsidR="00920F39" w:rsidRPr="00920F39" w:rsidRDefault="00920F39" w:rsidP="00920F39">
            <w:pPr>
              <w:spacing w:after="0" w:line="240" w:lineRule="auto"/>
              <w:rPr>
                <w:rFonts w:ascii="Times New Roman" w:eastAsia="Times New Roman" w:hAnsi="Times New Roman" w:cs="Times New Roman"/>
                <w:sz w:val="20"/>
                <w:szCs w:val="20"/>
              </w:rPr>
            </w:pPr>
          </w:p>
        </w:tc>
        <w:tc>
          <w:tcPr>
            <w:tcW w:w="1823" w:type="dxa"/>
            <w:tcBorders>
              <w:top w:val="nil"/>
              <w:left w:val="nil"/>
              <w:bottom w:val="nil"/>
              <w:right w:val="nil"/>
            </w:tcBorders>
            <w:shd w:val="clear" w:color="auto" w:fill="auto"/>
            <w:tcMar>
              <w:top w:w="15" w:type="dxa"/>
              <w:left w:w="68" w:type="dxa"/>
              <w:bottom w:w="0" w:type="dxa"/>
              <w:right w:w="68" w:type="dxa"/>
            </w:tcMar>
            <w:vAlign w:val="bottom"/>
            <w:hideMark/>
          </w:tcPr>
          <w:p w14:paraId="1F6850B4" w14:textId="77777777" w:rsidR="00920F39" w:rsidRPr="00920F39" w:rsidRDefault="00920F39" w:rsidP="00920F39">
            <w:pPr>
              <w:spacing w:after="0" w:line="240" w:lineRule="auto"/>
              <w:rPr>
                <w:rFonts w:ascii="Times New Roman" w:eastAsia="Times New Roman" w:hAnsi="Times New Roman" w:cs="Times New Roman"/>
                <w:sz w:val="20"/>
                <w:szCs w:val="20"/>
              </w:rPr>
            </w:pPr>
          </w:p>
        </w:tc>
        <w:tc>
          <w:tcPr>
            <w:tcW w:w="9155" w:type="dxa"/>
            <w:gridSpan w:val="5"/>
            <w:tcBorders>
              <w:top w:val="nil"/>
              <w:left w:val="nil"/>
              <w:bottom w:val="single" w:sz="8" w:space="0" w:color="000000"/>
              <w:right w:val="nil"/>
            </w:tcBorders>
            <w:shd w:val="clear" w:color="auto" w:fill="auto"/>
            <w:tcMar>
              <w:top w:w="15" w:type="dxa"/>
              <w:left w:w="68" w:type="dxa"/>
              <w:bottom w:w="0" w:type="dxa"/>
              <w:right w:w="68" w:type="dxa"/>
            </w:tcMar>
            <w:vAlign w:val="bottom"/>
            <w:hideMark/>
          </w:tcPr>
          <w:p w14:paraId="7FECD7C3"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Source (mean ± std. error)</w:t>
            </w:r>
          </w:p>
        </w:tc>
      </w:tr>
      <w:tr w:rsidR="00920F39" w:rsidRPr="00920F39" w14:paraId="42311635" w14:textId="77777777" w:rsidTr="00D846FE">
        <w:trPr>
          <w:trHeight w:val="297"/>
        </w:trPr>
        <w:tc>
          <w:tcPr>
            <w:tcW w:w="1381" w:type="dxa"/>
            <w:tcBorders>
              <w:top w:val="nil"/>
              <w:left w:val="nil"/>
              <w:bottom w:val="single" w:sz="8" w:space="0" w:color="000000"/>
              <w:right w:val="nil"/>
            </w:tcBorders>
            <w:shd w:val="clear" w:color="auto" w:fill="auto"/>
            <w:tcMar>
              <w:top w:w="15" w:type="dxa"/>
              <w:left w:w="68" w:type="dxa"/>
              <w:bottom w:w="0" w:type="dxa"/>
              <w:right w:w="68" w:type="dxa"/>
            </w:tcMar>
            <w:vAlign w:val="bottom"/>
            <w:hideMark/>
          </w:tcPr>
          <w:p w14:paraId="72853C00"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Delivery</w:t>
            </w:r>
          </w:p>
        </w:tc>
        <w:tc>
          <w:tcPr>
            <w:tcW w:w="1121" w:type="dxa"/>
            <w:tcBorders>
              <w:top w:val="nil"/>
              <w:left w:val="nil"/>
              <w:bottom w:val="single" w:sz="8" w:space="0" w:color="000000"/>
              <w:right w:val="nil"/>
            </w:tcBorders>
            <w:shd w:val="clear" w:color="auto" w:fill="auto"/>
            <w:tcMar>
              <w:top w:w="15" w:type="dxa"/>
              <w:left w:w="68" w:type="dxa"/>
              <w:bottom w:w="0" w:type="dxa"/>
              <w:right w:w="68" w:type="dxa"/>
            </w:tcMar>
            <w:vAlign w:val="center"/>
            <w:hideMark/>
          </w:tcPr>
          <w:p w14:paraId="7C5BB499"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Sink</w:t>
            </w:r>
          </w:p>
        </w:tc>
        <w:tc>
          <w:tcPr>
            <w:tcW w:w="1823" w:type="dxa"/>
            <w:tcBorders>
              <w:top w:val="nil"/>
              <w:left w:val="nil"/>
              <w:bottom w:val="single" w:sz="8" w:space="0" w:color="000000"/>
              <w:right w:val="nil"/>
            </w:tcBorders>
            <w:shd w:val="clear" w:color="auto" w:fill="auto"/>
            <w:tcMar>
              <w:top w:w="15" w:type="dxa"/>
              <w:left w:w="68" w:type="dxa"/>
              <w:bottom w:w="0" w:type="dxa"/>
              <w:right w:w="68" w:type="dxa"/>
            </w:tcMar>
            <w:vAlign w:val="center"/>
            <w:hideMark/>
          </w:tcPr>
          <w:p w14:paraId="652C414C"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Disease</w:t>
            </w:r>
          </w:p>
        </w:tc>
        <w:tc>
          <w:tcPr>
            <w:tcW w:w="1823" w:type="dxa"/>
            <w:tcBorders>
              <w:top w:val="single" w:sz="8" w:space="0" w:color="000000"/>
              <w:left w:val="nil"/>
              <w:bottom w:val="single" w:sz="8" w:space="0" w:color="000000"/>
              <w:right w:val="nil"/>
            </w:tcBorders>
            <w:shd w:val="clear" w:color="auto" w:fill="auto"/>
            <w:tcMar>
              <w:top w:w="15" w:type="dxa"/>
              <w:left w:w="68" w:type="dxa"/>
              <w:bottom w:w="0" w:type="dxa"/>
              <w:right w:w="68" w:type="dxa"/>
            </w:tcMar>
            <w:vAlign w:val="center"/>
            <w:hideMark/>
          </w:tcPr>
          <w:p w14:paraId="6DD1FA37"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Rectum</w:t>
            </w:r>
          </w:p>
        </w:tc>
        <w:tc>
          <w:tcPr>
            <w:tcW w:w="1823" w:type="dxa"/>
            <w:tcBorders>
              <w:top w:val="single" w:sz="8" w:space="0" w:color="000000"/>
              <w:left w:val="nil"/>
              <w:bottom w:val="single" w:sz="8" w:space="0" w:color="000000"/>
              <w:right w:val="nil"/>
            </w:tcBorders>
            <w:shd w:val="clear" w:color="auto" w:fill="auto"/>
            <w:tcMar>
              <w:top w:w="15" w:type="dxa"/>
              <w:left w:w="68" w:type="dxa"/>
              <w:bottom w:w="0" w:type="dxa"/>
              <w:right w:w="68" w:type="dxa"/>
            </w:tcMar>
            <w:vAlign w:val="center"/>
            <w:hideMark/>
          </w:tcPr>
          <w:p w14:paraId="2B79089E"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Cervix</w:t>
            </w:r>
          </w:p>
        </w:tc>
        <w:tc>
          <w:tcPr>
            <w:tcW w:w="1823" w:type="dxa"/>
            <w:tcBorders>
              <w:top w:val="single" w:sz="8" w:space="0" w:color="000000"/>
              <w:left w:val="nil"/>
              <w:bottom w:val="single" w:sz="8" w:space="0" w:color="000000"/>
              <w:right w:val="nil"/>
            </w:tcBorders>
            <w:shd w:val="clear" w:color="auto" w:fill="auto"/>
            <w:tcMar>
              <w:top w:w="15" w:type="dxa"/>
              <w:left w:w="68" w:type="dxa"/>
              <w:bottom w:w="0" w:type="dxa"/>
              <w:right w:w="68" w:type="dxa"/>
            </w:tcMar>
            <w:vAlign w:val="center"/>
            <w:hideMark/>
          </w:tcPr>
          <w:p w14:paraId="5D4C59F5"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Introitus</w:t>
            </w:r>
          </w:p>
        </w:tc>
        <w:tc>
          <w:tcPr>
            <w:tcW w:w="1823" w:type="dxa"/>
            <w:tcBorders>
              <w:top w:val="single" w:sz="8" w:space="0" w:color="000000"/>
              <w:left w:val="nil"/>
              <w:bottom w:val="single" w:sz="8" w:space="0" w:color="000000"/>
              <w:right w:val="nil"/>
            </w:tcBorders>
            <w:shd w:val="clear" w:color="auto" w:fill="auto"/>
            <w:tcMar>
              <w:top w:w="15" w:type="dxa"/>
              <w:left w:w="68" w:type="dxa"/>
              <w:bottom w:w="0" w:type="dxa"/>
              <w:right w:w="68" w:type="dxa"/>
            </w:tcMar>
            <w:vAlign w:val="center"/>
            <w:hideMark/>
          </w:tcPr>
          <w:p w14:paraId="5523ED8F"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Unknown</w:t>
            </w:r>
          </w:p>
        </w:tc>
        <w:tc>
          <w:tcPr>
            <w:tcW w:w="1863" w:type="dxa"/>
            <w:tcBorders>
              <w:top w:val="single" w:sz="8" w:space="0" w:color="000000"/>
              <w:left w:val="nil"/>
              <w:bottom w:val="single" w:sz="8" w:space="0" w:color="000000"/>
              <w:right w:val="nil"/>
            </w:tcBorders>
            <w:shd w:val="clear" w:color="auto" w:fill="auto"/>
            <w:tcMar>
              <w:top w:w="15" w:type="dxa"/>
              <w:left w:w="68" w:type="dxa"/>
              <w:bottom w:w="0" w:type="dxa"/>
              <w:right w:w="68" w:type="dxa"/>
            </w:tcMar>
            <w:vAlign w:val="center"/>
            <w:hideMark/>
          </w:tcPr>
          <w:p w14:paraId="5E5D73D2"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Vagina</w:t>
            </w:r>
          </w:p>
        </w:tc>
      </w:tr>
      <w:tr w:rsidR="00920F39" w:rsidRPr="00920F39" w14:paraId="6CDB8B8E" w14:textId="77777777" w:rsidTr="00D846FE">
        <w:trPr>
          <w:trHeight w:val="297"/>
        </w:trPr>
        <w:tc>
          <w:tcPr>
            <w:tcW w:w="1381" w:type="dxa"/>
            <w:vMerge w:val="restart"/>
            <w:tcBorders>
              <w:top w:val="single" w:sz="8" w:space="0" w:color="000000"/>
              <w:left w:val="nil"/>
              <w:bottom w:val="nil"/>
              <w:right w:val="nil"/>
            </w:tcBorders>
            <w:shd w:val="clear" w:color="auto" w:fill="auto"/>
            <w:tcMar>
              <w:top w:w="15" w:type="dxa"/>
              <w:left w:w="68" w:type="dxa"/>
              <w:bottom w:w="0" w:type="dxa"/>
              <w:right w:w="68" w:type="dxa"/>
            </w:tcMar>
            <w:vAlign w:val="center"/>
            <w:hideMark/>
          </w:tcPr>
          <w:p w14:paraId="702DBDB4"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C-section</w:t>
            </w:r>
          </w:p>
        </w:tc>
        <w:tc>
          <w:tcPr>
            <w:tcW w:w="1121" w:type="dxa"/>
            <w:vMerge w:val="restart"/>
            <w:tcBorders>
              <w:top w:val="single" w:sz="8" w:space="0" w:color="000000"/>
              <w:left w:val="nil"/>
              <w:bottom w:val="nil"/>
              <w:right w:val="nil"/>
            </w:tcBorders>
            <w:shd w:val="clear" w:color="auto" w:fill="auto"/>
            <w:tcMar>
              <w:top w:w="15" w:type="dxa"/>
              <w:left w:w="68" w:type="dxa"/>
              <w:bottom w:w="0" w:type="dxa"/>
              <w:right w:w="68" w:type="dxa"/>
            </w:tcMar>
            <w:vAlign w:val="center"/>
            <w:hideMark/>
          </w:tcPr>
          <w:p w14:paraId="25D3830D"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Ear</w:t>
            </w:r>
          </w:p>
        </w:tc>
        <w:tc>
          <w:tcPr>
            <w:tcW w:w="1823" w:type="dxa"/>
            <w:tcBorders>
              <w:top w:val="single" w:sz="8" w:space="0" w:color="000000"/>
              <w:left w:val="nil"/>
              <w:bottom w:val="nil"/>
              <w:right w:val="nil"/>
            </w:tcBorders>
            <w:shd w:val="clear" w:color="auto" w:fill="auto"/>
            <w:tcMar>
              <w:top w:w="15" w:type="dxa"/>
              <w:left w:w="68" w:type="dxa"/>
              <w:bottom w:w="0" w:type="dxa"/>
              <w:right w:w="68" w:type="dxa"/>
            </w:tcMar>
            <w:vAlign w:val="center"/>
            <w:hideMark/>
          </w:tcPr>
          <w:p w14:paraId="3E57497D"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Control</w:t>
            </w:r>
          </w:p>
        </w:tc>
        <w:tc>
          <w:tcPr>
            <w:tcW w:w="1823" w:type="dxa"/>
            <w:tcBorders>
              <w:top w:val="single" w:sz="8" w:space="0" w:color="000000"/>
              <w:left w:val="nil"/>
              <w:bottom w:val="nil"/>
              <w:right w:val="nil"/>
            </w:tcBorders>
            <w:shd w:val="clear" w:color="auto" w:fill="auto"/>
            <w:tcMar>
              <w:top w:w="15" w:type="dxa"/>
              <w:left w:w="68" w:type="dxa"/>
              <w:bottom w:w="0" w:type="dxa"/>
              <w:right w:w="68" w:type="dxa"/>
            </w:tcMar>
            <w:vAlign w:val="center"/>
            <w:hideMark/>
          </w:tcPr>
          <w:p w14:paraId="35AB09FE"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0.635 ± 0.31</w:t>
            </w:r>
          </w:p>
        </w:tc>
        <w:tc>
          <w:tcPr>
            <w:tcW w:w="1823" w:type="dxa"/>
            <w:tcBorders>
              <w:top w:val="single" w:sz="8" w:space="0" w:color="000000"/>
              <w:left w:val="nil"/>
              <w:bottom w:val="nil"/>
              <w:right w:val="nil"/>
            </w:tcBorders>
            <w:shd w:val="clear" w:color="auto" w:fill="auto"/>
            <w:tcMar>
              <w:top w:w="15" w:type="dxa"/>
              <w:left w:w="68" w:type="dxa"/>
              <w:bottom w:w="0" w:type="dxa"/>
              <w:right w:w="68" w:type="dxa"/>
            </w:tcMar>
            <w:vAlign w:val="center"/>
            <w:hideMark/>
          </w:tcPr>
          <w:p w14:paraId="7DAB16FB"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0.022 ± 0.048</w:t>
            </w:r>
          </w:p>
        </w:tc>
        <w:tc>
          <w:tcPr>
            <w:tcW w:w="1823" w:type="dxa"/>
            <w:tcBorders>
              <w:top w:val="single" w:sz="8" w:space="0" w:color="000000"/>
              <w:left w:val="nil"/>
              <w:bottom w:val="nil"/>
              <w:right w:val="nil"/>
            </w:tcBorders>
            <w:shd w:val="clear" w:color="auto" w:fill="auto"/>
            <w:tcMar>
              <w:top w:w="15" w:type="dxa"/>
              <w:left w:w="68" w:type="dxa"/>
              <w:bottom w:w="0" w:type="dxa"/>
              <w:right w:w="68" w:type="dxa"/>
            </w:tcMar>
            <w:vAlign w:val="center"/>
            <w:hideMark/>
          </w:tcPr>
          <w:p w14:paraId="279DA6DA"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0.035 ± 0.043</w:t>
            </w:r>
          </w:p>
        </w:tc>
        <w:tc>
          <w:tcPr>
            <w:tcW w:w="1823" w:type="dxa"/>
            <w:tcBorders>
              <w:top w:val="single" w:sz="8" w:space="0" w:color="000000"/>
              <w:left w:val="nil"/>
              <w:bottom w:val="nil"/>
              <w:right w:val="nil"/>
            </w:tcBorders>
            <w:shd w:val="clear" w:color="auto" w:fill="auto"/>
            <w:tcMar>
              <w:top w:w="15" w:type="dxa"/>
              <w:left w:w="68" w:type="dxa"/>
              <w:bottom w:w="0" w:type="dxa"/>
              <w:right w:w="68" w:type="dxa"/>
            </w:tcMar>
            <w:vAlign w:val="center"/>
            <w:hideMark/>
          </w:tcPr>
          <w:p w14:paraId="6616C2D9"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0.276 ± 0.285</w:t>
            </w:r>
          </w:p>
        </w:tc>
        <w:tc>
          <w:tcPr>
            <w:tcW w:w="1863" w:type="dxa"/>
            <w:tcBorders>
              <w:top w:val="single" w:sz="8" w:space="0" w:color="000000"/>
              <w:left w:val="nil"/>
              <w:bottom w:val="nil"/>
              <w:right w:val="nil"/>
            </w:tcBorders>
            <w:shd w:val="clear" w:color="auto" w:fill="auto"/>
            <w:tcMar>
              <w:top w:w="15" w:type="dxa"/>
              <w:left w:w="68" w:type="dxa"/>
              <w:bottom w:w="0" w:type="dxa"/>
              <w:right w:w="68" w:type="dxa"/>
            </w:tcMar>
            <w:vAlign w:val="center"/>
            <w:hideMark/>
          </w:tcPr>
          <w:p w14:paraId="123DEDE1"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0.031 ± 0.051</w:t>
            </w:r>
          </w:p>
        </w:tc>
      </w:tr>
      <w:tr w:rsidR="00920F39" w:rsidRPr="00920F39" w14:paraId="7C8FD21E" w14:textId="77777777" w:rsidTr="00D846FE">
        <w:trPr>
          <w:trHeight w:val="297"/>
        </w:trPr>
        <w:tc>
          <w:tcPr>
            <w:tcW w:w="0" w:type="auto"/>
            <w:vMerge/>
            <w:tcBorders>
              <w:top w:val="single" w:sz="8" w:space="0" w:color="000000"/>
              <w:left w:val="nil"/>
              <w:bottom w:val="nil"/>
              <w:right w:val="nil"/>
            </w:tcBorders>
            <w:vAlign w:val="center"/>
            <w:hideMark/>
          </w:tcPr>
          <w:p w14:paraId="3D85B6FB" w14:textId="77777777" w:rsidR="00920F39" w:rsidRPr="00920F39" w:rsidRDefault="00920F39" w:rsidP="00920F39">
            <w:pPr>
              <w:spacing w:after="0" w:line="240" w:lineRule="auto"/>
              <w:rPr>
                <w:rFonts w:ascii="Arial" w:eastAsia="Times New Roman" w:hAnsi="Arial" w:cs="Arial"/>
                <w:sz w:val="36"/>
                <w:szCs w:val="36"/>
              </w:rPr>
            </w:pPr>
          </w:p>
        </w:tc>
        <w:tc>
          <w:tcPr>
            <w:tcW w:w="0" w:type="auto"/>
            <w:vMerge/>
            <w:tcBorders>
              <w:top w:val="single" w:sz="8" w:space="0" w:color="000000"/>
              <w:left w:val="nil"/>
              <w:bottom w:val="nil"/>
              <w:right w:val="nil"/>
            </w:tcBorders>
            <w:vAlign w:val="center"/>
            <w:hideMark/>
          </w:tcPr>
          <w:p w14:paraId="4DC98058" w14:textId="77777777" w:rsidR="00920F39" w:rsidRPr="00920F39" w:rsidRDefault="00920F39" w:rsidP="00920F39">
            <w:pPr>
              <w:spacing w:after="0" w:line="240" w:lineRule="auto"/>
              <w:rPr>
                <w:rFonts w:ascii="Arial" w:eastAsia="Times New Roman" w:hAnsi="Arial" w:cs="Arial"/>
                <w:sz w:val="36"/>
                <w:szCs w:val="36"/>
              </w:rPr>
            </w:pP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464D7C8C"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T1D</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25AFD2C3"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0.691 ± 0.28</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65355CC0"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0.02 ± 0.03</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4B3430C1"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0.039 ± 0.038</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2C3F3162"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0.22 ± 0.25</w:t>
            </w:r>
          </w:p>
        </w:tc>
        <w:tc>
          <w:tcPr>
            <w:tcW w:w="1863" w:type="dxa"/>
            <w:tcBorders>
              <w:top w:val="nil"/>
              <w:left w:val="nil"/>
              <w:bottom w:val="nil"/>
              <w:right w:val="nil"/>
            </w:tcBorders>
            <w:shd w:val="clear" w:color="auto" w:fill="auto"/>
            <w:tcMar>
              <w:top w:w="15" w:type="dxa"/>
              <w:left w:w="68" w:type="dxa"/>
              <w:bottom w:w="0" w:type="dxa"/>
              <w:right w:w="68" w:type="dxa"/>
            </w:tcMar>
            <w:vAlign w:val="center"/>
            <w:hideMark/>
          </w:tcPr>
          <w:p w14:paraId="0F564B34"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0.031 ± 0.032</w:t>
            </w:r>
          </w:p>
        </w:tc>
      </w:tr>
      <w:tr w:rsidR="00920F39" w:rsidRPr="00920F39" w14:paraId="082B8831" w14:textId="77777777" w:rsidTr="00D846FE">
        <w:trPr>
          <w:trHeight w:val="297"/>
        </w:trPr>
        <w:tc>
          <w:tcPr>
            <w:tcW w:w="0" w:type="auto"/>
            <w:vMerge/>
            <w:tcBorders>
              <w:top w:val="single" w:sz="8" w:space="0" w:color="000000"/>
              <w:left w:val="nil"/>
              <w:bottom w:val="nil"/>
              <w:right w:val="nil"/>
            </w:tcBorders>
            <w:vAlign w:val="center"/>
            <w:hideMark/>
          </w:tcPr>
          <w:p w14:paraId="347CCD00" w14:textId="77777777" w:rsidR="00920F39" w:rsidRPr="00920F39" w:rsidRDefault="00920F39" w:rsidP="00920F39">
            <w:pPr>
              <w:spacing w:after="0" w:line="240" w:lineRule="auto"/>
              <w:rPr>
                <w:rFonts w:ascii="Arial" w:eastAsia="Times New Roman" w:hAnsi="Arial" w:cs="Arial"/>
                <w:sz w:val="36"/>
                <w:szCs w:val="36"/>
              </w:rPr>
            </w:pPr>
          </w:p>
        </w:tc>
        <w:tc>
          <w:tcPr>
            <w:tcW w:w="1121" w:type="dxa"/>
            <w:vMerge w:val="restart"/>
            <w:tcBorders>
              <w:top w:val="nil"/>
              <w:left w:val="nil"/>
              <w:bottom w:val="nil"/>
              <w:right w:val="nil"/>
            </w:tcBorders>
            <w:shd w:val="clear" w:color="auto" w:fill="auto"/>
            <w:tcMar>
              <w:top w:w="15" w:type="dxa"/>
              <w:left w:w="68" w:type="dxa"/>
              <w:bottom w:w="0" w:type="dxa"/>
              <w:right w:w="68" w:type="dxa"/>
            </w:tcMar>
            <w:vAlign w:val="center"/>
            <w:hideMark/>
          </w:tcPr>
          <w:p w14:paraId="32D13578"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Stool</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1EFD067A"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Control</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6BEE2D8A"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0.839 ± 0.104</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2B560251"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0.003 ± 0.003</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1DA3A895"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0.067 ± 0.033</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2A8716B9"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0.046 ± 0.111</w:t>
            </w:r>
          </w:p>
        </w:tc>
        <w:tc>
          <w:tcPr>
            <w:tcW w:w="1863" w:type="dxa"/>
            <w:tcBorders>
              <w:top w:val="nil"/>
              <w:left w:val="nil"/>
              <w:bottom w:val="nil"/>
              <w:right w:val="nil"/>
            </w:tcBorders>
            <w:shd w:val="clear" w:color="auto" w:fill="auto"/>
            <w:tcMar>
              <w:top w:w="15" w:type="dxa"/>
              <w:left w:w="68" w:type="dxa"/>
              <w:bottom w:w="0" w:type="dxa"/>
              <w:right w:w="68" w:type="dxa"/>
            </w:tcMar>
            <w:vAlign w:val="center"/>
            <w:hideMark/>
          </w:tcPr>
          <w:p w14:paraId="1B7F92B2"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0.044 ± 0.024</w:t>
            </w:r>
          </w:p>
        </w:tc>
      </w:tr>
      <w:tr w:rsidR="00920F39" w:rsidRPr="00920F39" w14:paraId="16BBFCF9" w14:textId="77777777" w:rsidTr="00D846FE">
        <w:trPr>
          <w:trHeight w:val="297"/>
        </w:trPr>
        <w:tc>
          <w:tcPr>
            <w:tcW w:w="0" w:type="auto"/>
            <w:vMerge/>
            <w:tcBorders>
              <w:top w:val="single" w:sz="8" w:space="0" w:color="000000"/>
              <w:left w:val="nil"/>
              <w:bottom w:val="nil"/>
              <w:right w:val="nil"/>
            </w:tcBorders>
            <w:vAlign w:val="center"/>
            <w:hideMark/>
          </w:tcPr>
          <w:p w14:paraId="091464E5" w14:textId="77777777" w:rsidR="00920F39" w:rsidRPr="00920F39" w:rsidRDefault="00920F39" w:rsidP="00920F39">
            <w:pPr>
              <w:spacing w:after="0" w:line="240" w:lineRule="auto"/>
              <w:rPr>
                <w:rFonts w:ascii="Arial" w:eastAsia="Times New Roman" w:hAnsi="Arial" w:cs="Arial"/>
                <w:sz w:val="36"/>
                <w:szCs w:val="36"/>
              </w:rPr>
            </w:pPr>
          </w:p>
        </w:tc>
        <w:tc>
          <w:tcPr>
            <w:tcW w:w="0" w:type="auto"/>
            <w:vMerge/>
            <w:tcBorders>
              <w:top w:val="nil"/>
              <w:left w:val="nil"/>
              <w:bottom w:val="nil"/>
              <w:right w:val="nil"/>
            </w:tcBorders>
            <w:vAlign w:val="center"/>
            <w:hideMark/>
          </w:tcPr>
          <w:p w14:paraId="6E6F554B" w14:textId="77777777" w:rsidR="00920F39" w:rsidRPr="00920F39" w:rsidRDefault="00920F39" w:rsidP="00920F39">
            <w:pPr>
              <w:spacing w:after="0" w:line="240" w:lineRule="auto"/>
              <w:rPr>
                <w:rFonts w:ascii="Arial" w:eastAsia="Times New Roman" w:hAnsi="Arial" w:cs="Arial"/>
                <w:sz w:val="36"/>
                <w:szCs w:val="36"/>
              </w:rPr>
            </w:pP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40280F9D"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T1D</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5BEBCD21"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0.764 ± 0.252</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002955B1"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0.003 ± 0.005</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4CC90D97"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0.09 ± 0.091</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581B2CBA"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0.091 ± 0.209</w:t>
            </w:r>
          </w:p>
        </w:tc>
        <w:tc>
          <w:tcPr>
            <w:tcW w:w="1863" w:type="dxa"/>
            <w:tcBorders>
              <w:top w:val="nil"/>
              <w:left w:val="nil"/>
              <w:bottom w:val="nil"/>
              <w:right w:val="nil"/>
            </w:tcBorders>
            <w:shd w:val="clear" w:color="auto" w:fill="auto"/>
            <w:tcMar>
              <w:top w:w="15" w:type="dxa"/>
              <w:left w:w="68" w:type="dxa"/>
              <w:bottom w:w="0" w:type="dxa"/>
              <w:right w:w="68" w:type="dxa"/>
            </w:tcMar>
            <w:vAlign w:val="center"/>
            <w:hideMark/>
          </w:tcPr>
          <w:p w14:paraId="258FBFC0"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0.052 ± 0.069</w:t>
            </w:r>
          </w:p>
        </w:tc>
      </w:tr>
      <w:tr w:rsidR="00920F39" w:rsidRPr="00920F39" w14:paraId="14CD58C1" w14:textId="77777777" w:rsidTr="00D846FE">
        <w:trPr>
          <w:trHeight w:val="297"/>
        </w:trPr>
        <w:tc>
          <w:tcPr>
            <w:tcW w:w="1381" w:type="dxa"/>
            <w:vMerge w:val="restart"/>
            <w:tcBorders>
              <w:top w:val="nil"/>
              <w:left w:val="nil"/>
              <w:bottom w:val="nil"/>
              <w:right w:val="nil"/>
            </w:tcBorders>
            <w:shd w:val="clear" w:color="auto" w:fill="auto"/>
            <w:tcMar>
              <w:top w:w="15" w:type="dxa"/>
              <w:left w:w="68" w:type="dxa"/>
              <w:bottom w:w="0" w:type="dxa"/>
              <w:right w:w="68" w:type="dxa"/>
            </w:tcMar>
            <w:vAlign w:val="center"/>
            <w:hideMark/>
          </w:tcPr>
          <w:p w14:paraId="44E4963A"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Vaginal</w:t>
            </w:r>
          </w:p>
        </w:tc>
        <w:tc>
          <w:tcPr>
            <w:tcW w:w="1121" w:type="dxa"/>
            <w:vMerge w:val="restart"/>
            <w:tcBorders>
              <w:top w:val="nil"/>
              <w:left w:val="nil"/>
              <w:bottom w:val="nil"/>
              <w:right w:val="nil"/>
            </w:tcBorders>
            <w:shd w:val="clear" w:color="auto" w:fill="auto"/>
            <w:tcMar>
              <w:top w:w="15" w:type="dxa"/>
              <w:left w:w="68" w:type="dxa"/>
              <w:bottom w:w="0" w:type="dxa"/>
              <w:right w:w="68" w:type="dxa"/>
            </w:tcMar>
            <w:vAlign w:val="center"/>
            <w:hideMark/>
          </w:tcPr>
          <w:p w14:paraId="10640AA3"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Ear</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68F8C157"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Control</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2A1E144D"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0.595 ± 0.311</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5EFDA4D0"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0.052 ± 0.092</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43A8AD68"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0.09 ± 0.096</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39115390"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0.18 ± 0.247</w:t>
            </w:r>
          </w:p>
        </w:tc>
        <w:tc>
          <w:tcPr>
            <w:tcW w:w="1863" w:type="dxa"/>
            <w:tcBorders>
              <w:top w:val="nil"/>
              <w:left w:val="nil"/>
              <w:bottom w:val="nil"/>
              <w:right w:val="nil"/>
            </w:tcBorders>
            <w:shd w:val="clear" w:color="auto" w:fill="auto"/>
            <w:tcMar>
              <w:top w:w="15" w:type="dxa"/>
              <w:left w:w="68" w:type="dxa"/>
              <w:bottom w:w="0" w:type="dxa"/>
              <w:right w:w="68" w:type="dxa"/>
            </w:tcMar>
            <w:vAlign w:val="center"/>
            <w:hideMark/>
          </w:tcPr>
          <w:p w14:paraId="68BF7A8D"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0.083 ± 0.105</w:t>
            </w:r>
          </w:p>
        </w:tc>
      </w:tr>
      <w:tr w:rsidR="00920F39" w:rsidRPr="00920F39" w14:paraId="3005798B" w14:textId="77777777" w:rsidTr="00D846FE">
        <w:trPr>
          <w:trHeight w:val="297"/>
        </w:trPr>
        <w:tc>
          <w:tcPr>
            <w:tcW w:w="0" w:type="auto"/>
            <w:vMerge/>
            <w:tcBorders>
              <w:top w:val="nil"/>
              <w:left w:val="nil"/>
              <w:bottom w:val="nil"/>
              <w:right w:val="nil"/>
            </w:tcBorders>
            <w:vAlign w:val="center"/>
            <w:hideMark/>
          </w:tcPr>
          <w:p w14:paraId="24D29C50" w14:textId="77777777" w:rsidR="00920F39" w:rsidRPr="00920F39" w:rsidRDefault="00920F39" w:rsidP="00920F39">
            <w:pPr>
              <w:spacing w:after="0" w:line="240" w:lineRule="auto"/>
              <w:rPr>
                <w:rFonts w:ascii="Arial" w:eastAsia="Times New Roman" w:hAnsi="Arial" w:cs="Arial"/>
                <w:sz w:val="36"/>
                <w:szCs w:val="36"/>
              </w:rPr>
            </w:pPr>
          </w:p>
        </w:tc>
        <w:tc>
          <w:tcPr>
            <w:tcW w:w="0" w:type="auto"/>
            <w:vMerge/>
            <w:tcBorders>
              <w:top w:val="nil"/>
              <w:left w:val="nil"/>
              <w:bottom w:val="nil"/>
              <w:right w:val="nil"/>
            </w:tcBorders>
            <w:vAlign w:val="center"/>
            <w:hideMark/>
          </w:tcPr>
          <w:p w14:paraId="3EC36561" w14:textId="77777777" w:rsidR="00920F39" w:rsidRPr="00920F39" w:rsidRDefault="00920F39" w:rsidP="00920F39">
            <w:pPr>
              <w:spacing w:after="0" w:line="240" w:lineRule="auto"/>
              <w:rPr>
                <w:rFonts w:ascii="Arial" w:eastAsia="Times New Roman" w:hAnsi="Arial" w:cs="Arial"/>
                <w:sz w:val="36"/>
                <w:szCs w:val="36"/>
              </w:rPr>
            </w:pP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69151C8B"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T1D</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69F4E652"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0.832 ± 0.198</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7334D238"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0.007 ± 0.011</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4C71A6E7"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0.051 ± 0.076</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3F1CCFCC"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0.08 ± 0.174</w:t>
            </w:r>
          </w:p>
        </w:tc>
        <w:tc>
          <w:tcPr>
            <w:tcW w:w="1863" w:type="dxa"/>
            <w:tcBorders>
              <w:top w:val="nil"/>
              <w:left w:val="nil"/>
              <w:bottom w:val="nil"/>
              <w:right w:val="nil"/>
            </w:tcBorders>
            <w:shd w:val="clear" w:color="auto" w:fill="auto"/>
            <w:tcMar>
              <w:top w:w="15" w:type="dxa"/>
              <w:left w:w="68" w:type="dxa"/>
              <w:bottom w:w="0" w:type="dxa"/>
              <w:right w:w="68" w:type="dxa"/>
            </w:tcMar>
            <w:vAlign w:val="center"/>
            <w:hideMark/>
          </w:tcPr>
          <w:p w14:paraId="4F5CA3D1"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0.03 ± 0.047</w:t>
            </w:r>
          </w:p>
        </w:tc>
      </w:tr>
      <w:tr w:rsidR="00920F39" w:rsidRPr="00920F39" w14:paraId="67BFE679" w14:textId="77777777" w:rsidTr="00D846FE">
        <w:trPr>
          <w:trHeight w:val="297"/>
        </w:trPr>
        <w:tc>
          <w:tcPr>
            <w:tcW w:w="0" w:type="auto"/>
            <w:vMerge/>
            <w:tcBorders>
              <w:top w:val="nil"/>
              <w:left w:val="nil"/>
              <w:bottom w:val="nil"/>
              <w:right w:val="nil"/>
            </w:tcBorders>
            <w:vAlign w:val="center"/>
            <w:hideMark/>
          </w:tcPr>
          <w:p w14:paraId="5D14A38F" w14:textId="77777777" w:rsidR="00920F39" w:rsidRPr="00920F39" w:rsidRDefault="00920F39" w:rsidP="00920F39">
            <w:pPr>
              <w:spacing w:after="0" w:line="240" w:lineRule="auto"/>
              <w:rPr>
                <w:rFonts w:ascii="Arial" w:eastAsia="Times New Roman" w:hAnsi="Arial" w:cs="Arial"/>
                <w:sz w:val="36"/>
                <w:szCs w:val="36"/>
              </w:rPr>
            </w:pPr>
          </w:p>
        </w:tc>
        <w:tc>
          <w:tcPr>
            <w:tcW w:w="1121" w:type="dxa"/>
            <w:vMerge w:val="restart"/>
            <w:tcBorders>
              <w:top w:val="nil"/>
              <w:left w:val="nil"/>
              <w:bottom w:val="nil"/>
              <w:right w:val="nil"/>
            </w:tcBorders>
            <w:shd w:val="clear" w:color="auto" w:fill="auto"/>
            <w:tcMar>
              <w:top w:w="15" w:type="dxa"/>
              <w:left w:w="68" w:type="dxa"/>
              <w:bottom w:w="0" w:type="dxa"/>
              <w:right w:w="68" w:type="dxa"/>
            </w:tcMar>
            <w:vAlign w:val="center"/>
            <w:hideMark/>
          </w:tcPr>
          <w:p w14:paraId="7BD38B86"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Stool</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7D9C8711"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Control</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78F68CE3"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0.653 ± 0.317</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2587C818"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0.006 ± 0.006</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6513FC49"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0.038 ± 0.024</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4AC265DE"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0.282 ± 0.331</w:t>
            </w:r>
          </w:p>
        </w:tc>
        <w:tc>
          <w:tcPr>
            <w:tcW w:w="1863" w:type="dxa"/>
            <w:tcBorders>
              <w:top w:val="nil"/>
              <w:left w:val="nil"/>
              <w:bottom w:val="nil"/>
              <w:right w:val="nil"/>
            </w:tcBorders>
            <w:shd w:val="clear" w:color="auto" w:fill="auto"/>
            <w:tcMar>
              <w:top w:w="15" w:type="dxa"/>
              <w:left w:w="68" w:type="dxa"/>
              <w:bottom w:w="0" w:type="dxa"/>
              <w:right w:w="68" w:type="dxa"/>
            </w:tcMar>
            <w:vAlign w:val="center"/>
            <w:hideMark/>
          </w:tcPr>
          <w:p w14:paraId="1ECADE53"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0.021 ± 0.014</w:t>
            </w:r>
          </w:p>
        </w:tc>
      </w:tr>
      <w:tr w:rsidR="00920F39" w:rsidRPr="00920F39" w14:paraId="5FB4E352" w14:textId="77777777" w:rsidTr="00D846FE">
        <w:trPr>
          <w:trHeight w:val="297"/>
        </w:trPr>
        <w:tc>
          <w:tcPr>
            <w:tcW w:w="0" w:type="auto"/>
            <w:vMerge/>
            <w:tcBorders>
              <w:top w:val="nil"/>
              <w:left w:val="nil"/>
              <w:bottom w:val="nil"/>
              <w:right w:val="nil"/>
            </w:tcBorders>
            <w:vAlign w:val="center"/>
            <w:hideMark/>
          </w:tcPr>
          <w:p w14:paraId="47F9A55F" w14:textId="77777777" w:rsidR="00920F39" w:rsidRPr="00920F39" w:rsidRDefault="00920F39" w:rsidP="00920F39">
            <w:pPr>
              <w:spacing w:after="0" w:line="240" w:lineRule="auto"/>
              <w:rPr>
                <w:rFonts w:ascii="Arial" w:eastAsia="Times New Roman" w:hAnsi="Arial" w:cs="Arial"/>
                <w:sz w:val="36"/>
                <w:szCs w:val="36"/>
              </w:rPr>
            </w:pPr>
          </w:p>
        </w:tc>
        <w:tc>
          <w:tcPr>
            <w:tcW w:w="0" w:type="auto"/>
            <w:vMerge/>
            <w:tcBorders>
              <w:top w:val="nil"/>
              <w:left w:val="nil"/>
              <w:bottom w:val="nil"/>
              <w:right w:val="nil"/>
            </w:tcBorders>
            <w:vAlign w:val="center"/>
            <w:hideMark/>
          </w:tcPr>
          <w:p w14:paraId="4F49F930" w14:textId="77777777" w:rsidR="00920F39" w:rsidRPr="00920F39" w:rsidRDefault="00920F39" w:rsidP="00920F39">
            <w:pPr>
              <w:spacing w:after="0" w:line="240" w:lineRule="auto"/>
              <w:rPr>
                <w:rFonts w:ascii="Arial" w:eastAsia="Times New Roman" w:hAnsi="Arial" w:cs="Arial"/>
                <w:sz w:val="36"/>
                <w:szCs w:val="36"/>
              </w:rPr>
            </w:pP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63E991CF"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T1D</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128B9735"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0.545 ± 0.336</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10347A0A"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0.02 ± 0.062</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483A846F"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0.053 ± 0.053</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07F77603"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0.346 ± 0.343</w:t>
            </w:r>
          </w:p>
        </w:tc>
        <w:tc>
          <w:tcPr>
            <w:tcW w:w="1863" w:type="dxa"/>
            <w:tcBorders>
              <w:top w:val="nil"/>
              <w:left w:val="nil"/>
              <w:bottom w:val="nil"/>
              <w:right w:val="nil"/>
            </w:tcBorders>
            <w:shd w:val="clear" w:color="auto" w:fill="auto"/>
            <w:tcMar>
              <w:top w:w="15" w:type="dxa"/>
              <w:left w:w="68" w:type="dxa"/>
              <w:bottom w:w="0" w:type="dxa"/>
              <w:right w:w="68" w:type="dxa"/>
            </w:tcMar>
            <w:vAlign w:val="center"/>
            <w:hideMark/>
          </w:tcPr>
          <w:p w14:paraId="3B7702D8"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0.036 ± 0.042</w:t>
            </w:r>
          </w:p>
        </w:tc>
      </w:tr>
    </w:tbl>
    <w:p w14:paraId="201E5218" w14:textId="4DF3DE72" w:rsidR="00EA573A" w:rsidRPr="00920F39" w:rsidRDefault="00EA573A" w:rsidP="00A548A8">
      <w:pPr>
        <w:tabs>
          <w:tab w:val="num" w:pos="720"/>
        </w:tabs>
        <w:jc w:val="both"/>
        <w:rPr>
          <w:rFonts w:cstheme="minorHAnsi"/>
        </w:rPr>
      </w:pPr>
    </w:p>
    <w:sectPr w:rsidR="00EA573A" w:rsidRPr="00920F39" w:rsidSect="00D846F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2488"/>
    <w:multiLevelType w:val="hybridMultilevel"/>
    <w:tmpl w:val="38DA8EE6"/>
    <w:lvl w:ilvl="0" w:tplc="990014EC">
      <w:start w:val="1"/>
      <w:numFmt w:val="bullet"/>
      <w:lvlText w:val="•"/>
      <w:lvlJc w:val="left"/>
      <w:pPr>
        <w:tabs>
          <w:tab w:val="num" w:pos="720"/>
        </w:tabs>
        <w:ind w:left="720" w:hanging="360"/>
      </w:pPr>
      <w:rPr>
        <w:rFonts w:ascii="Arial" w:hAnsi="Arial" w:hint="default"/>
      </w:rPr>
    </w:lvl>
    <w:lvl w:ilvl="1" w:tplc="158AD566" w:tentative="1">
      <w:start w:val="1"/>
      <w:numFmt w:val="bullet"/>
      <w:lvlText w:val="•"/>
      <w:lvlJc w:val="left"/>
      <w:pPr>
        <w:tabs>
          <w:tab w:val="num" w:pos="1440"/>
        </w:tabs>
        <w:ind w:left="1440" w:hanging="360"/>
      </w:pPr>
      <w:rPr>
        <w:rFonts w:ascii="Arial" w:hAnsi="Arial" w:hint="default"/>
      </w:rPr>
    </w:lvl>
    <w:lvl w:ilvl="2" w:tplc="41DAA2E6" w:tentative="1">
      <w:start w:val="1"/>
      <w:numFmt w:val="bullet"/>
      <w:lvlText w:val="•"/>
      <w:lvlJc w:val="left"/>
      <w:pPr>
        <w:tabs>
          <w:tab w:val="num" w:pos="2160"/>
        </w:tabs>
        <w:ind w:left="2160" w:hanging="360"/>
      </w:pPr>
      <w:rPr>
        <w:rFonts w:ascii="Arial" w:hAnsi="Arial" w:hint="default"/>
      </w:rPr>
    </w:lvl>
    <w:lvl w:ilvl="3" w:tplc="EEAE1FC2" w:tentative="1">
      <w:start w:val="1"/>
      <w:numFmt w:val="bullet"/>
      <w:lvlText w:val="•"/>
      <w:lvlJc w:val="left"/>
      <w:pPr>
        <w:tabs>
          <w:tab w:val="num" w:pos="2880"/>
        </w:tabs>
        <w:ind w:left="2880" w:hanging="360"/>
      </w:pPr>
      <w:rPr>
        <w:rFonts w:ascii="Arial" w:hAnsi="Arial" w:hint="default"/>
      </w:rPr>
    </w:lvl>
    <w:lvl w:ilvl="4" w:tplc="BAFCE2AC" w:tentative="1">
      <w:start w:val="1"/>
      <w:numFmt w:val="bullet"/>
      <w:lvlText w:val="•"/>
      <w:lvlJc w:val="left"/>
      <w:pPr>
        <w:tabs>
          <w:tab w:val="num" w:pos="3600"/>
        </w:tabs>
        <w:ind w:left="3600" w:hanging="360"/>
      </w:pPr>
      <w:rPr>
        <w:rFonts w:ascii="Arial" w:hAnsi="Arial" w:hint="default"/>
      </w:rPr>
    </w:lvl>
    <w:lvl w:ilvl="5" w:tplc="A1DE30BC" w:tentative="1">
      <w:start w:val="1"/>
      <w:numFmt w:val="bullet"/>
      <w:lvlText w:val="•"/>
      <w:lvlJc w:val="left"/>
      <w:pPr>
        <w:tabs>
          <w:tab w:val="num" w:pos="4320"/>
        </w:tabs>
        <w:ind w:left="4320" w:hanging="360"/>
      </w:pPr>
      <w:rPr>
        <w:rFonts w:ascii="Arial" w:hAnsi="Arial" w:hint="default"/>
      </w:rPr>
    </w:lvl>
    <w:lvl w:ilvl="6" w:tplc="FB9294E8" w:tentative="1">
      <w:start w:val="1"/>
      <w:numFmt w:val="bullet"/>
      <w:lvlText w:val="•"/>
      <w:lvlJc w:val="left"/>
      <w:pPr>
        <w:tabs>
          <w:tab w:val="num" w:pos="5040"/>
        </w:tabs>
        <w:ind w:left="5040" w:hanging="360"/>
      </w:pPr>
      <w:rPr>
        <w:rFonts w:ascii="Arial" w:hAnsi="Arial" w:hint="default"/>
      </w:rPr>
    </w:lvl>
    <w:lvl w:ilvl="7" w:tplc="1C067050" w:tentative="1">
      <w:start w:val="1"/>
      <w:numFmt w:val="bullet"/>
      <w:lvlText w:val="•"/>
      <w:lvlJc w:val="left"/>
      <w:pPr>
        <w:tabs>
          <w:tab w:val="num" w:pos="5760"/>
        </w:tabs>
        <w:ind w:left="5760" w:hanging="360"/>
      </w:pPr>
      <w:rPr>
        <w:rFonts w:ascii="Arial" w:hAnsi="Arial" w:hint="default"/>
      </w:rPr>
    </w:lvl>
    <w:lvl w:ilvl="8" w:tplc="2AB254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33D353C"/>
    <w:multiLevelType w:val="hybridMultilevel"/>
    <w:tmpl w:val="033C6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F9272D"/>
    <w:multiLevelType w:val="hybridMultilevel"/>
    <w:tmpl w:val="677C68F2"/>
    <w:lvl w:ilvl="0" w:tplc="ADF070CE">
      <w:start w:val="1"/>
      <w:numFmt w:val="bullet"/>
      <w:lvlText w:val="•"/>
      <w:lvlJc w:val="left"/>
      <w:pPr>
        <w:tabs>
          <w:tab w:val="num" w:pos="720"/>
        </w:tabs>
        <w:ind w:left="720" w:hanging="360"/>
      </w:pPr>
      <w:rPr>
        <w:rFonts w:ascii="Arial" w:hAnsi="Arial" w:hint="default"/>
      </w:rPr>
    </w:lvl>
    <w:lvl w:ilvl="1" w:tplc="16D2F366" w:tentative="1">
      <w:start w:val="1"/>
      <w:numFmt w:val="bullet"/>
      <w:lvlText w:val="•"/>
      <w:lvlJc w:val="left"/>
      <w:pPr>
        <w:tabs>
          <w:tab w:val="num" w:pos="1440"/>
        </w:tabs>
        <w:ind w:left="1440" w:hanging="360"/>
      </w:pPr>
      <w:rPr>
        <w:rFonts w:ascii="Arial" w:hAnsi="Arial" w:hint="default"/>
      </w:rPr>
    </w:lvl>
    <w:lvl w:ilvl="2" w:tplc="2E608E08" w:tentative="1">
      <w:start w:val="1"/>
      <w:numFmt w:val="bullet"/>
      <w:lvlText w:val="•"/>
      <w:lvlJc w:val="left"/>
      <w:pPr>
        <w:tabs>
          <w:tab w:val="num" w:pos="2160"/>
        </w:tabs>
        <w:ind w:left="2160" w:hanging="360"/>
      </w:pPr>
      <w:rPr>
        <w:rFonts w:ascii="Arial" w:hAnsi="Arial" w:hint="default"/>
      </w:rPr>
    </w:lvl>
    <w:lvl w:ilvl="3" w:tplc="3230C77C" w:tentative="1">
      <w:start w:val="1"/>
      <w:numFmt w:val="bullet"/>
      <w:lvlText w:val="•"/>
      <w:lvlJc w:val="left"/>
      <w:pPr>
        <w:tabs>
          <w:tab w:val="num" w:pos="2880"/>
        </w:tabs>
        <w:ind w:left="2880" w:hanging="360"/>
      </w:pPr>
      <w:rPr>
        <w:rFonts w:ascii="Arial" w:hAnsi="Arial" w:hint="default"/>
      </w:rPr>
    </w:lvl>
    <w:lvl w:ilvl="4" w:tplc="9E9E99AE" w:tentative="1">
      <w:start w:val="1"/>
      <w:numFmt w:val="bullet"/>
      <w:lvlText w:val="•"/>
      <w:lvlJc w:val="left"/>
      <w:pPr>
        <w:tabs>
          <w:tab w:val="num" w:pos="3600"/>
        </w:tabs>
        <w:ind w:left="3600" w:hanging="360"/>
      </w:pPr>
      <w:rPr>
        <w:rFonts w:ascii="Arial" w:hAnsi="Arial" w:hint="default"/>
      </w:rPr>
    </w:lvl>
    <w:lvl w:ilvl="5" w:tplc="3E0CC74E" w:tentative="1">
      <w:start w:val="1"/>
      <w:numFmt w:val="bullet"/>
      <w:lvlText w:val="•"/>
      <w:lvlJc w:val="left"/>
      <w:pPr>
        <w:tabs>
          <w:tab w:val="num" w:pos="4320"/>
        </w:tabs>
        <w:ind w:left="4320" w:hanging="360"/>
      </w:pPr>
      <w:rPr>
        <w:rFonts w:ascii="Arial" w:hAnsi="Arial" w:hint="default"/>
      </w:rPr>
    </w:lvl>
    <w:lvl w:ilvl="6" w:tplc="B5F60C1C" w:tentative="1">
      <w:start w:val="1"/>
      <w:numFmt w:val="bullet"/>
      <w:lvlText w:val="•"/>
      <w:lvlJc w:val="left"/>
      <w:pPr>
        <w:tabs>
          <w:tab w:val="num" w:pos="5040"/>
        </w:tabs>
        <w:ind w:left="5040" w:hanging="360"/>
      </w:pPr>
      <w:rPr>
        <w:rFonts w:ascii="Arial" w:hAnsi="Arial" w:hint="default"/>
      </w:rPr>
    </w:lvl>
    <w:lvl w:ilvl="7" w:tplc="0B700EEC" w:tentative="1">
      <w:start w:val="1"/>
      <w:numFmt w:val="bullet"/>
      <w:lvlText w:val="•"/>
      <w:lvlJc w:val="left"/>
      <w:pPr>
        <w:tabs>
          <w:tab w:val="num" w:pos="5760"/>
        </w:tabs>
        <w:ind w:left="5760" w:hanging="360"/>
      </w:pPr>
      <w:rPr>
        <w:rFonts w:ascii="Arial" w:hAnsi="Arial" w:hint="default"/>
      </w:rPr>
    </w:lvl>
    <w:lvl w:ilvl="8" w:tplc="D10AF8E4" w:tentative="1">
      <w:start w:val="1"/>
      <w:numFmt w:val="bullet"/>
      <w:lvlText w:val="•"/>
      <w:lvlJc w:val="left"/>
      <w:pPr>
        <w:tabs>
          <w:tab w:val="num" w:pos="6480"/>
        </w:tabs>
        <w:ind w:left="6480" w:hanging="360"/>
      </w:pPr>
      <w:rPr>
        <w:rFonts w:ascii="Arial" w:hAnsi="Arial" w:hint="default"/>
      </w:rPr>
    </w:lvl>
  </w:abstractNum>
  <w:num w:numId="1" w16cid:durableId="1467355080">
    <w:abstractNumId w:val="2"/>
  </w:num>
  <w:num w:numId="2" w16cid:durableId="837228676">
    <w:abstractNumId w:val="0"/>
  </w:num>
  <w:num w:numId="3" w16cid:durableId="1113087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8A8"/>
    <w:rsid w:val="0000653F"/>
    <w:rsid w:val="00032AA6"/>
    <w:rsid w:val="00092A21"/>
    <w:rsid w:val="0009693F"/>
    <w:rsid w:val="000D0580"/>
    <w:rsid w:val="001574BE"/>
    <w:rsid w:val="00193DE8"/>
    <w:rsid w:val="001C0356"/>
    <w:rsid w:val="001D6A44"/>
    <w:rsid w:val="001E2590"/>
    <w:rsid w:val="001E277F"/>
    <w:rsid w:val="00225863"/>
    <w:rsid w:val="00226BFE"/>
    <w:rsid w:val="00245C22"/>
    <w:rsid w:val="00276F7D"/>
    <w:rsid w:val="002C285E"/>
    <w:rsid w:val="002F1453"/>
    <w:rsid w:val="002F69CD"/>
    <w:rsid w:val="0031281E"/>
    <w:rsid w:val="00380C62"/>
    <w:rsid w:val="00413D17"/>
    <w:rsid w:val="00421537"/>
    <w:rsid w:val="00431D54"/>
    <w:rsid w:val="004327CB"/>
    <w:rsid w:val="00474221"/>
    <w:rsid w:val="00482DC4"/>
    <w:rsid w:val="004C57FC"/>
    <w:rsid w:val="00526B46"/>
    <w:rsid w:val="0056089B"/>
    <w:rsid w:val="0056791D"/>
    <w:rsid w:val="00572FA9"/>
    <w:rsid w:val="00574E66"/>
    <w:rsid w:val="0058665B"/>
    <w:rsid w:val="005F2920"/>
    <w:rsid w:val="005F2929"/>
    <w:rsid w:val="0061061D"/>
    <w:rsid w:val="00613E3E"/>
    <w:rsid w:val="00642C1D"/>
    <w:rsid w:val="00680A74"/>
    <w:rsid w:val="00682F6A"/>
    <w:rsid w:val="006957C1"/>
    <w:rsid w:val="006A00C2"/>
    <w:rsid w:val="006A5827"/>
    <w:rsid w:val="006E3FA3"/>
    <w:rsid w:val="00713CD2"/>
    <w:rsid w:val="00723F85"/>
    <w:rsid w:val="00744BEB"/>
    <w:rsid w:val="00776412"/>
    <w:rsid w:val="00785001"/>
    <w:rsid w:val="007B4CCB"/>
    <w:rsid w:val="007C0E57"/>
    <w:rsid w:val="007C7319"/>
    <w:rsid w:val="007D61CB"/>
    <w:rsid w:val="007F7502"/>
    <w:rsid w:val="00850C96"/>
    <w:rsid w:val="00856C4E"/>
    <w:rsid w:val="008731D3"/>
    <w:rsid w:val="008D61A2"/>
    <w:rsid w:val="00912ED0"/>
    <w:rsid w:val="00920F39"/>
    <w:rsid w:val="009236AA"/>
    <w:rsid w:val="009423FF"/>
    <w:rsid w:val="00943C9E"/>
    <w:rsid w:val="00954209"/>
    <w:rsid w:val="009702E5"/>
    <w:rsid w:val="0098052B"/>
    <w:rsid w:val="00A548A8"/>
    <w:rsid w:val="00A94FB4"/>
    <w:rsid w:val="00AF4562"/>
    <w:rsid w:val="00AF5796"/>
    <w:rsid w:val="00B02B17"/>
    <w:rsid w:val="00BA541F"/>
    <w:rsid w:val="00BD153D"/>
    <w:rsid w:val="00BF01F3"/>
    <w:rsid w:val="00BF0883"/>
    <w:rsid w:val="00BF7ED9"/>
    <w:rsid w:val="00C05811"/>
    <w:rsid w:val="00C40ADA"/>
    <w:rsid w:val="00C44AE6"/>
    <w:rsid w:val="00CB06C8"/>
    <w:rsid w:val="00CD0351"/>
    <w:rsid w:val="00CD3ED7"/>
    <w:rsid w:val="00CE1F8E"/>
    <w:rsid w:val="00CE2233"/>
    <w:rsid w:val="00CE2E60"/>
    <w:rsid w:val="00CE7CC7"/>
    <w:rsid w:val="00CF157D"/>
    <w:rsid w:val="00D150C0"/>
    <w:rsid w:val="00D20E6C"/>
    <w:rsid w:val="00D846FE"/>
    <w:rsid w:val="00DA6494"/>
    <w:rsid w:val="00DB2F6A"/>
    <w:rsid w:val="00DD6D8A"/>
    <w:rsid w:val="00E127EF"/>
    <w:rsid w:val="00E27ADC"/>
    <w:rsid w:val="00E45B05"/>
    <w:rsid w:val="00E54AD7"/>
    <w:rsid w:val="00E57932"/>
    <w:rsid w:val="00EA573A"/>
    <w:rsid w:val="00EE7E26"/>
    <w:rsid w:val="00F30D4B"/>
    <w:rsid w:val="00F34C55"/>
    <w:rsid w:val="00F55B95"/>
    <w:rsid w:val="00F708FA"/>
    <w:rsid w:val="00FC10A9"/>
    <w:rsid w:val="00FC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56C8"/>
  <w15:chartTrackingRefBased/>
  <w15:docId w15:val="{0149849D-FE6C-408B-8A21-6E2CF154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autoRedefine/>
    <w:uiPriority w:val="35"/>
    <w:unhideWhenUsed/>
    <w:qFormat/>
    <w:rsid w:val="00920F39"/>
    <w:pPr>
      <w:keepNext/>
      <w:spacing w:after="200" w:line="240" w:lineRule="auto"/>
    </w:pPr>
    <w:rPr>
      <w:rFonts w:eastAsia="Times New Roman" w:cstheme="minorHAnsi"/>
      <w:b/>
      <w:iCs/>
      <w:sz w:val="24"/>
      <w:szCs w:val="18"/>
    </w:rPr>
  </w:style>
  <w:style w:type="character" w:styleId="CommentReference">
    <w:name w:val="annotation reference"/>
    <w:basedOn w:val="DefaultParagraphFont"/>
    <w:uiPriority w:val="99"/>
    <w:semiHidden/>
    <w:unhideWhenUsed/>
    <w:rsid w:val="00C44AE6"/>
    <w:rPr>
      <w:sz w:val="16"/>
      <w:szCs w:val="16"/>
    </w:rPr>
  </w:style>
  <w:style w:type="paragraph" w:styleId="CommentText">
    <w:name w:val="annotation text"/>
    <w:basedOn w:val="Normal"/>
    <w:link w:val="CommentTextChar"/>
    <w:uiPriority w:val="99"/>
    <w:semiHidden/>
    <w:unhideWhenUsed/>
    <w:rsid w:val="00C44AE6"/>
    <w:pPr>
      <w:spacing w:line="240" w:lineRule="auto"/>
    </w:pPr>
    <w:rPr>
      <w:sz w:val="20"/>
      <w:szCs w:val="20"/>
    </w:rPr>
  </w:style>
  <w:style w:type="character" w:customStyle="1" w:styleId="CommentTextChar">
    <w:name w:val="Comment Text Char"/>
    <w:basedOn w:val="DefaultParagraphFont"/>
    <w:link w:val="CommentText"/>
    <w:uiPriority w:val="99"/>
    <w:semiHidden/>
    <w:rsid w:val="00C44AE6"/>
    <w:rPr>
      <w:sz w:val="20"/>
      <w:szCs w:val="20"/>
    </w:rPr>
  </w:style>
  <w:style w:type="paragraph" w:styleId="CommentSubject">
    <w:name w:val="annotation subject"/>
    <w:basedOn w:val="CommentText"/>
    <w:next w:val="CommentText"/>
    <w:link w:val="CommentSubjectChar"/>
    <w:uiPriority w:val="99"/>
    <w:semiHidden/>
    <w:unhideWhenUsed/>
    <w:rsid w:val="00C44AE6"/>
    <w:rPr>
      <w:b/>
      <w:bCs/>
    </w:rPr>
  </w:style>
  <w:style w:type="character" w:customStyle="1" w:styleId="CommentSubjectChar">
    <w:name w:val="Comment Subject Char"/>
    <w:basedOn w:val="CommentTextChar"/>
    <w:link w:val="CommentSubject"/>
    <w:uiPriority w:val="99"/>
    <w:semiHidden/>
    <w:rsid w:val="00C44AE6"/>
    <w:rPr>
      <w:b/>
      <w:bCs/>
      <w:sz w:val="20"/>
      <w:szCs w:val="20"/>
    </w:rPr>
  </w:style>
  <w:style w:type="paragraph" w:styleId="BalloonText">
    <w:name w:val="Balloon Text"/>
    <w:basedOn w:val="Normal"/>
    <w:link w:val="BalloonTextChar"/>
    <w:uiPriority w:val="99"/>
    <w:semiHidden/>
    <w:unhideWhenUsed/>
    <w:rsid w:val="008731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1D3"/>
    <w:rPr>
      <w:rFonts w:ascii="Segoe UI" w:hAnsi="Segoe UI" w:cs="Segoe UI"/>
      <w:sz w:val="18"/>
      <w:szCs w:val="18"/>
    </w:rPr>
  </w:style>
  <w:style w:type="paragraph" w:styleId="ListParagraph">
    <w:name w:val="List Paragraph"/>
    <w:basedOn w:val="Normal"/>
    <w:uiPriority w:val="34"/>
    <w:qFormat/>
    <w:rsid w:val="002C285E"/>
    <w:pPr>
      <w:ind w:left="720"/>
      <w:contextualSpacing/>
    </w:pPr>
  </w:style>
  <w:style w:type="paragraph" w:styleId="Revision">
    <w:name w:val="Revision"/>
    <w:hidden/>
    <w:uiPriority w:val="99"/>
    <w:semiHidden/>
    <w:rsid w:val="00943C9E"/>
    <w:pPr>
      <w:spacing w:after="0" w:line="240" w:lineRule="auto"/>
    </w:pPr>
  </w:style>
  <w:style w:type="paragraph" w:styleId="NormalWeb">
    <w:name w:val="Normal (Web)"/>
    <w:basedOn w:val="Normal"/>
    <w:uiPriority w:val="99"/>
    <w:semiHidden/>
    <w:unhideWhenUsed/>
    <w:rsid w:val="00920F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71722">
      <w:bodyDiv w:val="1"/>
      <w:marLeft w:val="0"/>
      <w:marRight w:val="0"/>
      <w:marTop w:val="0"/>
      <w:marBottom w:val="0"/>
      <w:divBdr>
        <w:top w:val="none" w:sz="0" w:space="0" w:color="auto"/>
        <w:left w:val="none" w:sz="0" w:space="0" w:color="auto"/>
        <w:bottom w:val="none" w:sz="0" w:space="0" w:color="auto"/>
        <w:right w:val="none" w:sz="0" w:space="0" w:color="auto"/>
      </w:divBdr>
    </w:div>
    <w:div w:id="790175725">
      <w:bodyDiv w:val="1"/>
      <w:marLeft w:val="0"/>
      <w:marRight w:val="0"/>
      <w:marTop w:val="0"/>
      <w:marBottom w:val="0"/>
      <w:divBdr>
        <w:top w:val="none" w:sz="0" w:space="0" w:color="auto"/>
        <w:left w:val="none" w:sz="0" w:space="0" w:color="auto"/>
        <w:bottom w:val="none" w:sz="0" w:space="0" w:color="auto"/>
        <w:right w:val="none" w:sz="0" w:space="0" w:color="auto"/>
      </w:divBdr>
    </w:div>
    <w:div w:id="803348938">
      <w:bodyDiv w:val="1"/>
      <w:marLeft w:val="0"/>
      <w:marRight w:val="0"/>
      <w:marTop w:val="0"/>
      <w:marBottom w:val="0"/>
      <w:divBdr>
        <w:top w:val="none" w:sz="0" w:space="0" w:color="auto"/>
        <w:left w:val="none" w:sz="0" w:space="0" w:color="auto"/>
        <w:bottom w:val="none" w:sz="0" w:space="0" w:color="auto"/>
        <w:right w:val="none" w:sz="0" w:space="0" w:color="auto"/>
      </w:divBdr>
    </w:div>
    <w:div w:id="819538767">
      <w:bodyDiv w:val="1"/>
      <w:marLeft w:val="0"/>
      <w:marRight w:val="0"/>
      <w:marTop w:val="0"/>
      <w:marBottom w:val="0"/>
      <w:divBdr>
        <w:top w:val="none" w:sz="0" w:space="0" w:color="auto"/>
        <w:left w:val="none" w:sz="0" w:space="0" w:color="auto"/>
        <w:bottom w:val="none" w:sz="0" w:space="0" w:color="auto"/>
        <w:right w:val="none" w:sz="0" w:space="0" w:color="auto"/>
      </w:divBdr>
    </w:div>
    <w:div w:id="908081021">
      <w:bodyDiv w:val="1"/>
      <w:marLeft w:val="0"/>
      <w:marRight w:val="0"/>
      <w:marTop w:val="0"/>
      <w:marBottom w:val="0"/>
      <w:divBdr>
        <w:top w:val="none" w:sz="0" w:space="0" w:color="auto"/>
        <w:left w:val="none" w:sz="0" w:space="0" w:color="auto"/>
        <w:bottom w:val="none" w:sz="0" w:space="0" w:color="auto"/>
        <w:right w:val="none" w:sz="0" w:space="0" w:color="auto"/>
      </w:divBdr>
    </w:div>
    <w:div w:id="987978775">
      <w:bodyDiv w:val="1"/>
      <w:marLeft w:val="0"/>
      <w:marRight w:val="0"/>
      <w:marTop w:val="0"/>
      <w:marBottom w:val="0"/>
      <w:divBdr>
        <w:top w:val="none" w:sz="0" w:space="0" w:color="auto"/>
        <w:left w:val="none" w:sz="0" w:space="0" w:color="auto"/>
        <w:bottom w:val="none" w:sz="0" w:space="0" w:color="auto"/>
        <w:right w:val="none" w:sz="0" w:space="0" w:color="auto"/>
      </w:divBdr>
      <w:divsChild>
        <w:div w:id="487792277">
          <w:marLeft w:val="720"/>
          <w:marRight w:val="0"/>
          <w:marTop w:val="0"/>
          <w:marBottom w:val="0"/>
          <w:divBdr>
            <w:top w:val="none" w:sz="0" w:space="0" w:color="auto"/>
            <w:left w:val="none" w:sz="0" w:space="0" w:color="auto"/>
            <w:bottom w:val="none" w:sz="0" w:space="0" w:color="auto"/>
            <w:right w:val="none" w:sz="0" w:space="0" w:color="auto"/>
          </w:divBdr>
        </w:div>
        <w:div w:id="2023822814">
          <w:marLeft w:val="720"/>
          <w:marRight w:val="0"/>
          <w:marTop w:val="0"/>
          <w:marBottom w:val="0"/>
          <w:divBdr>
            <w:top w:val="none" w:sz="0" w:space="0" w:color="auto"/>
            <w:left w:val="none" w:sz="0" w:space="0" w:color="auto"/>
            <w:bottom w:val="none" w:sz="0" w:space="0" w:color="auto"/>
            <w:right w:val="none" w:sz="0" w:space="0" w:color="auto"/>
          </w:divBdr>
        </w:div>
        <w:div w:id="177815311">
          <w:marLeft w:val="720"/>
          <w:marRight w:val="0"/>
          <w:marTop w:val="0"/>
          <w:marBottom w:val="0"/>
          <w:divBdr>
            <w:top w:val="none" w:sz="0" w:space="0" w:color="auto"/>
            <w:left w:val="none" w:sz="0" w:space="0" w:color="auto"/>
            <w:bottom w:val="none" w:sz="0" w:space="0" w:color="auto"/>
            <w:right w:val="none" w:sz="0" w:space="0" w:color="auto"/>
          </w:divBdr>
        </w:div>
        <w:div w:id="1574051243">
          <w:marLeft w:val="720"/>
          <w:marRight w:val="0"/>
          <w:marTop w:val="0"/>
          <w:marBottom w:val="0"/>
          <w:divBdr>
            <w:top w:val="none" w:sz="0" w:space="0" w:color="auto"/>
            <w:left w:val="none" w:sz="0" w:space="0" w:color="auto"/>
            <w:bottom w:val="none" w:sz="0" w:space="0" w:color="auto"/>
            <w:right w:val="none" w:sz="0" w:space="0" w:color="auto"/>
          </w:divBdr>
        </w:div>
      </w:divsChild>
    </w:div>
    <w:div w:id="1125391842">
      <w:bodyDiv w:val="1"/>
      <w:marLeft w:val="0"/>
      <w:marRight w:val="0"/>
      <w:marTop w:val="0"/>
      <w:marBottom w:val="0"/>
      <w:divBdr>
        <w:top w:val="none" w:sz="0" w:space="0" w:color="auto"/>
        <w:left w:val="none" w:sz="0" w:space="0" w:color="auto"/>
        <w:bottom w:val="none" w:sz="0" w:space="0" w:color="auto"/>
        <w:right w:val="none" w:sz="0" w:space="0" w:color="auto"/>
      </w:divBdr>
      <w:divsChild>
        <w:div w:id="1474175412">
          <w:marLeft w:val="0"/>
          <w:marRight w:val="0"/>
          <w:marTop w:val="150"/>
          <w:marBottom w:val="270"/>
          <w:divBdr>
            <w:top w:val="none" w:sz="0" w:space="0" w:color="auto"/>
            <w:left w:val="none" w:sz="0" w:space="0" w:color="auto"/>
            <w:bottom w:val="none" w:sz="0" w:space="0" w:color="auto"/>
            <w:right w:val="none" w:sz="0" w:space="0" w:color="auto"/>
          </w:divBdr>
        </w:div>
        <w:div w:id="274334594">
          <w:marLeft w:val="0"/>
          <w:marRight w:val="0"/>
          <w:marTop w:val="150"/>
          <w:marBottom w:val="270"/>
          <w:divBdr>
            <w:top w:val="none" w:sz="0" w:space="0" w:color="auto"/>
            <w:left w:val="none" w:sz="0" w:space="0" w:color="auto"/>
            <w:bottom w:val="none" w:sz="0" w:space="0" w:color="auto"/>
            <w:right w:val="none" w:sz="0" w:space="0" w:color="auto"/>
          </w:divBdr>
        </w:div>
        <w:div w:id="223294821">
          <w:marLeft w:val="0"/>
          <w:marRight w:val="0"/>
          <w:marTop w:val="150"/>
          <w:marBottom w:val="270"/>
          <w:divBdr>
            <w:top w:val="none" w:sz="0" w:space="0" w:color="auto"/>
            <w:left w:val="none" w:sz="0" w:space="0" w:color="auto"/>
            <w:bottom w:val="none" w:sz="0" w:space="0" w:color="auto"/>
            <w:right w:val="none" w:sz="0" w:space="0" w:color="auto"/>
          </w:divBdr>
        </w:div>
        <w:div w:id="1920170134">
          <w:marLeft w:val="0"/>
          <w:marRight w:val="0"/>
          <w:marTop w:val="150"/>
          <w:marBottom w:val="270"/>
          <w:divBdr>
            <w:top w:val="none" w:sz="0" w:space="0" w:color="auto"/>
            <w:left w:val="none" w:sz="0" w:space="0" w:color="auto"/>
            <w:bottom w:val="none" w:sz="0" w:space="0" w:color="auto"/>
            <w:right w:val="none" w:sz="0" w:space="0" w:color="auto"/>
          </w:divBdr>
        </w:div>
      </w:divsChild>
    </w:div>
    <w:div w:id="1192378445">
      <w:bodyDiv w:val="1"/>
      <w:marLeft w:val="0"/>
      <w:marRight w:val="0"/>
      <w:marTop w:val="0"/>
      <w:marBottom w:val="0"/>
      <w:divBdr>
        <w:top w:val="none" w:sz="0" w:space="0" w:color="auto"/>
        <w:left w:val="none" w:sz="0" w:space="0" w:color="auto"/>
        <w:bottom w:val="none" w:sz="0" w:space="0" w:color="auto"/>
        <w:right w:val="none" w:sz="0" w:space="0" w:color="auto"/>
      </w:divBdr>
    </w:div>
    <w:div w:id="1507474404">
      <w:bodyDiv w:val="1"/>
      <w:marLeft w:val="0"/>
      <w:marRight w:val="0"/>
      <w:marTop w:val="0"/>
      <w:marBottom w:val="0"/>
      <w:divBdr>
        <w:top w:val="none" w:sz="0" w:space="0" w:color="auto"/>
        <w:left w:val="none" w:sz="0" w:space="0" w:color="auto"/>
        <w:bottom w:val="none" w:sz="0" w:space="0" w:color="auto"/>
        <w:right w:val="none" w:sz="0" w:space="0" w:color="auto"/>
      </w:divBdr>
    </w:div>
    <w:div w:id="1552501054">
      <w:bodyDiv w:val="1"/>
      <w:marLeft w:val="0"/>
      <w:marRight w:val="0"/>
      <w:marTop w:val="0"/>
      <w:marBottom w:val="0"/>
      <w:divBdr>
        <w:top w:val="none" w:sz="0" w:space="0" w:color="auto"/>
        <w:left w:val="none" w:sz="0" w:space="0" w:color="auto"/>
        <w:bottom w:val="none" w:sz="0" w:space="0" w:color="auto"/>
        <w:right w:val="none" w:sz="0" w:space="0" w:color="auto"/>
      </w:divBdr>
    </w:div>
    <w:div w:id="1618557803">
      <w:bodyDiv w:val="1"/>
      <w:marLeft w:val="0"/>
      <w:marRight w:val="0"/>
      <w:marTop w:val="0"/>
      <w:marBottom w:val="0"/>
      <w:divBdr>
        <w:top w:val="none" w:sz="0" w:space="0" w:color="auto"/>
        <w:left w:val="none" w:sz="0" w:space="0" w:color="auto"/>
        <w:bottom w:val="none" w:sz="0" w:space="0" w:color="auto"/>
        <w:right w:val="none" w:sz="0" w:space="0" w:color="auto"/>
      </w:divBdr>
    </w:div>
    <w:div w:id="1622027853">
      <w:bodyDiv w:val="1"/>
      <w:marLeft w:val="0"/>
      <w:marRight w:val="0"/>
      <w:marTop w:val="0"/>
      <w:marBottom w:val="0"/>
      <w:divBdr>
        <w:top w:val="none" w:sz="0" w:space="0" w:color="auto"/>
        <w:left w:val="none" w:sz="0" w:space="0" w:color="auto"/>
        <w:bottom w:val="none" w:sz="0" w:space="0" w:color="auto"/>
        <w:right w:val="none" w:sz="0" w:space="0" w:color="auto"/>
      </w:divBdr>
      <w:divsChild>
        <w:div w:id="2141410496">
          <w:marLeft w:val="547"/>
          <w:marRight w:val="0"/>
          <w:marTop w:val="0"/>
          <w:marBottom w:val="0"/>
          <w:divBdr>
            <w:top w:val="none" w:sz="0" w:space="0" w:color="auto"/>
            <w:left w:val="none" w:sz="0" w:space="0" w:color="auto"/>
            <w:bottom w:val="none" w:sz="0" w:space="0" w:color="auto"/>
            <w:right w:val="none" w:sz="0" w:space="0" w:color="auto"/>
          </w:divBdr>
        </w:div>
        <w:div w:id="1444760725">
          <w:marLeft w:val="547"/>
          <w:marRight w:val="0"/>
          <w:marTop w:val="0"/>
          <w:marBottom w:val="0"/>
          <w:divBdr>
            <w:top w:val="none" w:sz="0" w:space="0" w:color="auto"/>
            <w:left w:val="none" w:sz="0" w:space="0" w:color="auto"/>
            <w:bottom w:val="none" w:sz="0" w:space="0" w:color="auto"/>
            <w:right w:val="none" w:sz="0" w:space="0" w:color="auto"/>
          </w:divBdr>
        </w:div>
        <w:div w:id="1581716483">
          <w:marLeft w:val="547"/>
          <w:marRight w:val="0"/>
          <w:marTop w:val="0"/>
          <w:marBottom w:val="0"/>
          <w:divBdr>
            <w:top w:val="none" w:sz="0" w:space="0" w:color="auto"/>
            <w:left w:val="none" w:sz="0" w:space="0" w:color="auto"/>
            <w:bottom w:val="none" w:sz="0" w:space="0" w:color="auto"/>
            <w:right w:val="none" w:sz="0" w:space="0" w:color="auto"/>
          </w:divBdr>
        </w:div>
        <w:div w:id="1843547890">
          <w:marLeft w:val="547"/>
          <w:marRight w:val="0"/>
          <w:marTop w:val="0"/>
          <w:marBottom w:val="0"/>
          <w:divBdr>
            <w:top w:val="none" w:sz="0" w:space="0" w:color="auto"/>
            <w:left w:val="none" w:sz="0" w:space="0" w:color="auto"/>
            <w:bottom w:val="none" w:sz="0" w:space="0" w:color="auto"/>
            <w:right w:val="none" w:sz="0" w:space="0" w:color="auto"/>
          </w:divBdr>
        </w:div>
        <w:div w:id="250284502">
          <w:marLeft w:val="547"/>
          <w:marRight w:val="0"/>
          <w:marTop w:val="0"/>
          <w:marBottom w:val="0"/>
          <w:divBdr>
            <w:top w:val="none" w:sz="0" w:space="0" w:color="auto"/>
            <w:left w:val="none" w:sz="0" w:space="0" w:color="auto"/>
            <w:bottom w:val="none" w:sz="0" w:space="0" w:color="auto"/>
            <w:right w:val="none" w:sz="0" w:space="0" w:color="auto"/>
          </w:divBdr>
        </w:div>
        <w:div w:id="481695945">
          <w:marLeft w:val="547"/>
          <w:marRight w:val="0"/>
          <w:marTop w:val="0"/>
          <w:marBottom w:val="0"/>
          <w:divBdr>
            <w:top w:val="none" w:sz="0" w:space="0" w:color="auto"/>
            <w:left w:val="none" w:sz="0" w:space="0" w:color="auto"/>
            <w:bottom w:val="none" w:sz="0" w:space="0" w:color="auto"/>
            <w:right w:val="none" w:sz="0" w:space="0" w:color="auto"/>
          </w:divBdr>
        </w:div>
        <w:div w:id="1121534996">
          <w:marLeft w:val="547"/>
          <w:marRight w:val="0"/>
          <w:marTop w:val="0"/>
          <w:marBottom w:val="0"/>
          <w:divBdr>
            <w:top w:val="none" w:sz="0" w:space="0" w:color="auto"/>
            <w:left w:val="none" w:sz="0" w:space="0" w:color="auto"/>
            <w:bottom w:val="none" w:sz="0" w:space="0" w:color="auto"/>
            <w:right w:val="none" w:sz="0" w:space="0" w:color="auto"/>
          </w:divBdr>
        </w:div>
      </w:divsChild>
    </w:div>
    <w:div w:id="1696079356">
      <w:bodyDiv w:val="1"/>
      <w:marLeft w:val="0"/>
      <w:marRight w:val="0"/>
      <w:marTop w:val="0"/>
      <w:marBottom w:val="0"/>
      <w:divBdr>
        <w:top w:val="none" w:sz="0" w:space="0" w:color="auto"/>
        <w:left w:val="none" w:sz="0" w:space="0" w:color="auto"/>
        <w:bottom w:val="none" w:sz="0" w:space="0" w:color="auto"/>
        <w:right w:val="none" w:sz="0" w:space="0" w:color="auto"/>
      </w:divBdr>
    </w:div>
    <w:div w:id="1765572363">
      <w:bodyDiv w:val="1"/>
      <w:marLeft w:val="0"/>
      <w:marRight w:val="0"/>
      <w:marTop w:val="0"/>
      <w:marBottom w:val="0"/>
      <w:divBdr>
        <w:top w:val="none" w:sz="0" w:space="0" w:color="auto"/>
        <w:left w:val="none" w:sz="0" w:space="0" w:color="auto"/>
        <w:bottom w:val="none" w:sz="0" w:space="0" w:color="auto"/>
        <w:right w:val="none" w:sz="0" w:space="0" w:color="auto"/>
      </w:divBdr>
    </w:div>
    <w:div w:id="1857843041">
      <w:bodyDiv w:val="1"/>
      <w:marLeft w:val="0"/>
      <w:marRight w:val="0"/>
      <w:marTop w:val="0"/>
      <w:marBottom w:val="0"/>
      <w:divBdr>
        <w:top w:val="none" w:sz="0" w:space="0" w:color="auto"/>
        <w:left w:val="none" w:sz="0" w:space="0" w:color="auto"/>
        <w:bottom w:val="none" w:sz="0" w:space="0" w:color="auto"/>
        <w:right w:val="none" w:sz="0" w:space="0" w:color="auto"/>
      </w:divBdr>
    </w:div>
    <w:div w:id="1865443094">
      <w:bodyDiv w:val="1"/>
      <w:marLeft w:val="0"/>
      <w:marRight w:val="0"/>
      <w:marTop w:val="0"/>
      <w:marBottom w:val="0"/>
      <w:divBdr>
        <w:top w:val="none" w:sz="0" w:space="0" w:color="auto"/>
        <w:left w:val="none" w:sz="0" w:space="0" w:color="auto"/>
        <w:bottom w:val="none" w:sz="0" w:space="0" w:color="auto"/>
        <w:right w:val="none" w:sz="0" w:space="0" w:color="auto"/>
      </w:divBdr>
    </w:div>
    <w:div w:id="1899045503">
      <w:bodyDiv w:val="1"/>
      <w:marLeft w:val="0"/>
      <w:marRight w:val="0"/>
      <w:marTop w:val="0"/>
      <w:marBottom w:val="0"/>
      <w:divBdr>
        <w:top w:val="none" w:sz="0" w:space="0" w:color="auto"/>
        <w:left w:val="none" w:sz="0" w:space="0" w:color="auto"/>
        <w:bottom w:val="none" w:sz="0" w:space="0" w:color="auto"/>
        <w:right w:val="none" w:sz="0" w:space="0" w:color="auto"/>
      </w:divBdr>
    </w:div>
    <w:div w:id="204328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FFE88-03A1-43CF-BBC7-E162945B4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Jochum</dc:creator>
  <cp:keywords/>
  <dc:description/>
  <cp:lastModifiedBy>Jochum, Michael D.</cp:lastModifiedBy>
  <cp:revision>2</cp:revision>
  <dcterms:created xsi:type="dcterms:W3CDTF">2022-07-31T18:11:00Z</dcterms:created>
  <dcterms:modified xsi:type="dcterms:W3CDTF">2022-07-31T18:11:00Z</dcterms:modified>
</cp:coreProperties>
</file>