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439C" w14:textId="1775F11C" w:rsidR="00D846FE" w:rsidRPr="00D846FE" w:rsidRDefault="008B6DCF" w:rsidP="00D846FE">
      <w:pPr>
        <w:tabs>
          <w:tab w:val="num" w:pos="720"/>
        </w:tabs>
        <w:jc w:val="both"/>
        <w:rPr>
          <w:rFonts w:cstheme="minorHAnsi"/>
          <w:b/>
          <w:sz w:val="24"/>
          <w:szCs w:val="24"/>
        </w:rPr>
      </w:pPr>
      <w:bookmarkStart w:id="0" w:name="_Hlk110164647"/>
      <w:r>
        <w:rPr>
          <w:rFonts w:cstheme="minorHAnsi"/>
          <w:b/>
          <w:sz w:val="24"/>
          <w:szCs w:val="24"/>
        </w:rPr>
        <w:t>Impact of maternal T1D but not Cesarean delivery on the neonatal microbiome</w:t>
      </w:r>
    </w:p>
    <w:p w14:paraId="420E63E1" w14:textId="77777777" w:rsidR="00D846FE" w:rsidRPr="00D846FE" w:rsidRDefault="00D846FE" w:rsidP="00D846FE">
      <w:pPr>
        <w:tabs>
          <w:tab w:val="num" w:pos="720"/>
        </w:tabs>
        <w:jc w:val="both"/>
        <w:rPr>
          <w:rFonts w:cstheme="minorHAnsi"/>
          <w:b/>
          <w:sz w:val="24"/>
          <w:szCs w:val="24"/>
        </w:rPr>
      </w:pPr>
      <w:r w:rsidRPr="00D846FE">
        <w:rPr>
          <w:rFonts w:cstheme="minorHAnsi"/>
          <w:b/>
          <w:sz w:val="24"/>
          <w:szCs w:val="24"/>
        </w:rPr>
        <w:t xml:space="preserve">Background: </w:t>
      </w:r>
    </w:p>
    <w:p w14:paraId="3D1A8F06" w14:textId="409CA907" w:rsidR="00D846FE" w:rsidRPr="00D846FE" w:rsidRDefault="00D846FE" w:rsidP="00D846FE">
      <w:pPr>
        <w:tabs>
          <w:tab w:val="num" w:pos="720"/>
        </w:tabs>
        <w:jc w:val="both"/>
        <w:rPr>
          <w:rFonts w:cstheme="minorHAnsi"/>
          <w:bCs/>
          <w:sz w:val="24"/>
          <w:szCs w:val="24"/>
        </w:rPr>
      </w:pPr>
      <w:r w:rsidRPr="00D846FE">
        <w:rPr>
          <w:rFonts w:cstheme="minorHAnsi"/>
          <w:bCs/>
          <w:sz w:val="24"/>
          <w:szCs w:val="24"/>
        </w:rPr>
        <w:t>It has pr</w:t>
      </w:r>
      <w:r w:rsidR="008B6DCF">
        <w:rPr>
          <w:rFonts w:cstheme="minorHAnsi"/>
          <w:bCs/>
          <w:sz w:val="24"/>
          <w:szCs w:val="24"/>
        </w:rPr>
        <w:t>eviously been reported that infants of</w:t>
      </w:r>
      <w:r w:rsidRPr="00D846FE">
        <w:rPr>
          <w:rFonts w:cstheme="minorHAnsi"/>
          <w:bCs/>
          <w:sz w:val="24"/>
          <w:szCs w:val="24"/>
        </w:rPr>
        <w:t xml:space="preserve"> Type1 </w:t>
      </w:r>
      <w:r w:rsidR="008B6DCF">
        <w:rPr>
          <w:rFonts w:cstheme="minorHAnsi"/>
          <w:bCs/>
          <w:sz w:val="24"/>
          <w:szCs w:val="24"/>
        </w:rPr>
        <w:t>DM gravidae</w:t>
      </w:r>
      <w:r w:rsidRPr="00D846FE">
        <w:rPr>
          <w:rFonts w:cstheme="minorHAnsi"/>
          <w:bCs/>
          <w:sz w:val="24"/>
          <w:szCs w:val="24"/>
        </w:rPr>
        <w:t xml:space="preserve"> have </w:t>
      </w:r>
      <w:r w:rsidR="008B6DCF">
        <w:rPr>
          <w:rFonts w:cstheme="minorHAnsi"/>
          <w:bCs/>
          <w:sz w:val="24"/>
          <w:szCs w:val="24"/>
        </w:rPr>
        <w:t xml:space="preserve">an altered microbiome. </w:t>
      </w:r>
      <w:r w:rsidRPr="00D846FE">
        <w:rPr>
          <w:rFonts w:cstheme="minorHAnsi"/>
          <w:bCs/>
          <w:sz w:val="24"/>
          <w:szCs w:val="24"/>
        </w:rPr>
        <w:t xml:space="preserve"> However,</w:t>
      </w:r>
      <w:r w:rsidR="008B6DCF">
        <w:rPr>
          <w:rFonts w:cstheme="minorHAnsi"/>
          <w:bCs/>
          <w:sz w:val="24"/>
          <w:szCs w:val="24"/>
        </w:rPr>
        <w:t xml:space="preserve"> </w:t>
      </w:r>
      <w:r w:rsidRPr="00D846FE">
        <w:rPr>
          <w:rFonts w:cstheme="minorHAnsi"/>
          <w:bCs/>
          <w:sz w:val="24"/>
          <w:szCs w:val="24"/>
        </w:rPr>
        <w:t xml:space="preserve">distinguishing the relative impact of underlying maternal </w:t>
      </w:r>
      <w:r w:rsidR="008B6DCF">
        <w:rPr>
          <w:rFonts w:cstheme="minorHAnsi"/>
          <w:bCs/>
          <w:sz w:val="24"/>
          <w:szCs w:val="24"/>
        </w:rPr>
        <w:t xml:space="preserve">T1D </w:t>
      </w:r>
      <w:r w:rsidRPr="00D846FE">
        <w:rPr>
          <w:rFonts w:cstheme="minorHAnsi"/>
          <w:bCs/>
          <w:sz w:val="24"/>
          <w:szCs w:val="24"/>
        </w:rPr>
        <w:t xml:space="preserve">disease from confounding effects of glycemic control, medications, and mode of delivery is challenging. </w:t>
      </w:r>
      <w:r w:rsidR="008B6DCF">
        <w:rPr>
          <w:rFonts w:cstheme="minorHAnsi"/>
          <w:bCs/>
          <w:sz w:val="24"/>
          <w:szCs w:val="24"/>
        </w:rPr>
        <w:t>We hypothesized that a rigorous prospective study design collecting samples at birth would allow us to tease apart the</w:t>
      </w:r>
      <w:r w:rsidRPr="00D846FE">
        <w:rPr>
          <w:rFonts w:cstheme="minorHAnsi"/>
          <w:bCs/>
          <w:sz w:val="24"/>
          <w:szCs w:val="24"/>
        </w:rPr>
        <w:t xml:space="preserve"> impact of T1D </w:t>
      </w:r>
      <w:r w:rsidR="008B6DCF">
        <w:rPr>
          <w:rFonts w:cstheme="minorHAnsi"/>
          <w:bCs/>
          <w:sz w:val="24"/>
          <w:szCs w:val="24"/>
        </w:rPr>
        <w:t xml:space="preserve">vs other potential </w:t>
      </w:r>
      <w:r w:rsidR="00382BC9">
        <w:rPr>
          <w:rFonts w:cstheme="minorHAnsi"/>
          <w:bCs/>
          <w:sz w:val="24"/>
          <w:szCs w:val="24"/>
        </w:rPr>
        <w:t>confounders and</w:t>
      </w:r>
      <w:r w:rsidR="008B6DCF">
        <w:rPr>
          <w:rFonts w:cstheme="minorHAnsi"/>
          <w:bCs/>
          <w:sz w:val="24"/>
          <w:szCs w:val="24"/>
        </w:rPr>
        <w:t xml:space="preserve"> identify </w:t>
      </w:r>
      <w:r w:rsidRPr="00D846FE">
        <w:rPr>
          <w:rFonts w:cstheme="minorHAnsi"/>
          <w:bCs/>
          <w:sz w:val="24"/>
          <w:szCs w:val="24"/>
        </w:rPr>
        <w:t xml:space="preserve">maternal </w:t>
      </w:r>
      <w:r w:rsidR="00073C64">
        <w:rPr>
          <w:rFonts w:cstheme="minorHAnsi"/>
          <w:bCs/>
          <w:sz w:val="24"/>
          <w:szCs w:val="24"/>
        </w:rPr>
        <w:t>sources contributing</w:t>
      </w:r>
      <w:r w:rsidR="008B6DCF">
        <w:rPr>
          <w:rFonts w:cstheme="minorHAnsi"/>
          <w:bCs/>
          <w:sz w:val="24"/>
          <w:szCs w:val="24"/>
        </w:rPr>
        <w:t xml:space="preserve"> to her neonate’s</w:t>
      </w:r>
      <w:r w:rsidR="00382BC9">
        <w:rPr>
          <w:rFonts w:cstheme="minorHAnsi"/>
          <w:bCs/>
          <w:sz w:val="24"/>
          <w:szCs w:val="24"/>
        </w:rPr>
        <w:t xml:space="preserve"> </w:t>
      </w:r>
      <w:r w:rsidRPr="00D846FE">
        <w:rPr>
          <w:rFonts w:cstheme="minorHAnsi"/>
          <w:bCs/>
          <w:sz w:val="24"/>
          <w:szCs w:val="24"/>
        </w:rPr>
        <w:t>microbiome</w:t>
      </w:r>
      <w:r w:rsidR="00073C64">
        <w:rPr>
          <w:rFonts w:cstheme="minorHAnsi"/>
          <w:bCs/>
          <w:sz w:val="24"/>
          <w:szCs w:val="24"/>
        </w:rPr>
        <w:t xml:space="preserve">. Our aim was to compare a rigorous study cohort </w:t>
      </w:r>
      <w:r w:rsidR="00382BC9">
        <w:rPr>
          <w:rFonts w:cstheme="minorHAnsi"/>
          <w:bCs/>
          <w:sz w:val="24"/>
          <w:szCs w:val="24"/>
        </w:rPr>
        <w:t xml:space="preserve">of </w:t>
      </w:r>
      <w:r w:rsidR="00382BC9" w:rsidRPr="00D846FE">
        <w:rPr>
          <w:rFonts w:cstheme="minorHAnsi"/>
          <w:bCs/>
          <w:sz w:val="24"/>
          <w:szCs w:val="24"/>
        </w:rPr>
        <w:t>maternal</w:t>
      </w:r>
      <w:r w:rsidRPr="00D846FE">
        <w:rPr>
          <w:rFonts w:cstheme="minorHAnsi"/>
          <w:bCs/>
          <w:sz w:val="24"/>
          <w:szCs w:val="24"/>
        </w:rPr>
        <w:t xml:space="preserve"> - neonatal dyad</w:t>
      </w:r>
      <w:r w:rsidR="00073C64">
        <w:rPr>
          <w:rFonts w:cstheme="minorHAnsi"/>
          <w:bCs/>
          <w:sz w:val="24"/>
          <w:szCs w:val="24"/>
        </w:rPr>
        <w:t>s</w:t>
      </w:r>
      <w:r w:rsidRPr="00D846FE">
        <w:rPr>
          <w:rFonts w:cstheme="minorHAnsi"/>
          <w:bCs/>
          <w:sz w:val="24"/>
          <w:szCs w:val="24"/>
        </w:rPr>
        <w:t xml:space="preserve"> with T1D (n=92) paired with case controls (n=90)</w:t>
      </w:r>
      <w:r w:rsidR="00073C64">
        <w:rPr>
          <w:rFonts w:cstheme="minorHAnsi"/>
          <w:bCs/>
          <w:sz w:val="24"/>
          <w:szCs w:val="24"/>
        </w:rPr>
        <w:t xml:space="preserve"> and their n=</w:t>
      </w:r>
      <w:r w:rsidRPr="00D846FE">
        <w:rPr>
          <w:rFonts w:cstheme="minorHAnsi"/>
          <w:bCs/>
          <w:sz w:val="24"/>
          <w:szCs w:val="24"/>
        </w:rPr>
        <w:t>527 vaginal, rectum, and ear-skin swabs and stool samples.</w:t>
      </w:r>
    </w:p>
    <w:p w14:paraId="3EEDB352" w14:textId="77777777" w:rsidR="00D846FE" w:rsidRPr="00D846FE" w:rsidRDefault="00D846FE" w:rsidP="00D846FE">
      <w:pPr>
        <w:tabs>
          <w:tab w:val="num" w:pos="720"/>
        </w:tabs>
        <w:jc w:val="both"/>
        <w:rPr>
          <w:rFonts w:cstheme="minorHAnsi"/>
          <w:b/>
          <w:sz w:val="24"/>
          <w:szCs w:val="24"/>
        </w:rPr>
      </w:pPr>
      <w:r w:rsidRPr="00D846FE">
        <w:rPr>
          <w:rFonts w:cstheme="minorHAnsi"/>
          <w:b/>
          <w:sz w:val="24"/>
          <w:szCs w:val="24"/>
        </w:rPr>
        <w:t xml:space="preserve">Methods: </w:t>
      </w:r>
    </w:p>
    <w:p w14:paraId="400517F9" w14:textId="768AE200" w:rsidR="00D846FE" w:rsidRPr="00D846FE" w:rsidRDefault="00D846FE" w:rsidP="00D846FE">
      <w:pPr>
        <w:tabs>
          <w:tab w:val="num" w:pos="720"/>
        </w:tabs>
        <w:jc w:val="both"/>
        <w:rPr>
          <w:rFonts w:cstheme="minorHAnsi"/>
          <w:bCs/>
          <w:sz w:val="24"/>
          <w:szCs w:val="24"/>
        </w:rPr>
      </w:pPr>
      <w:bookmarkStart w:id="1" w:name="_Hlk110176234"/>
      <w:r w:rsidRPr="00D846FE">
        <w:rPr>
          <w:rFonts w:cstheme="minorHAnsi"/>
          <w:bCs/>
          <w:sz w:val="24"/>
          <w:szCs w:val="24"/>
        </w:rPr>
        <w:t>DNA extractions from all samples were sent for 16S V4 amplicon metagenomic sequencing (Illumina) followed by bioinformatics analyses</w:t>
      </w:r>
      <w:r w:rsidR="00073C64">
        <w:rPr>
          <w:rFonts w:cstheme="minorHAnsi"/>
          <w:bCs/>
          <w:sz w:val="24"/>
          <w:szCs w:val="24"/>
        </w:rPr>
        <w:t xml:space="preserve"> of microbial ASVs</w:t>
      </w:r>
      <w:r w:rsidRPr="00D846FE">
        <w:rPr>
          <w:rFonts w:cstheme="minorHAnsi"/>
          <w:bCs/>
          <w:sz w:val="24"/>
          <w:szCs w:val="24"/>
        </w:rPr>
        <w:t xml:space="preserve"> (DADA2)</w:t>
      </w:r>
      <w:r w:rsidR="00073C64">
        <w:rPr>
          <w:rFonts w:cstheme="minorHAnsi"/>
          <w:bCs/>
          <w:sz w:val="24"/>
          <w:szCs w:val="24"/>
        </w:rPr>
        <w:t xml:space="preserve"> </w:t>
      </w:r>
      <w:r w:rsidR="00382BC9">
        <w:rPr>
          <w:rFonts w:cstheme="minorHAnsi"/>
          <w:bCs/>
          <w:sz w:val="24"/>
          <w:szCs w:val="24"/>
        </w:rPr>
        <w:t>to</w:t>
      </w:r>
      <w:r w:rsidR="00073C64">
        <w:rPr>
          <w:rFonts w:cstheme="minorHAnsi"/>
          <w:bCs/>
          <w:sz w:val="24"/>
          <w:szCs w:val="24"/>
        </w:rPr>
        <w:t xml:space="preserve"> ascribe</w:t>
      </w:r>
      <w:r w:rsidRPr="00D846FE">
        <w:rPr>
          <w:rFonts w:cstheme="minorHAnsi"/>
          <w:bCs/>
          <w:sz w:val="24"/>
          <w:szCs w:val="24"/>
        </w:rPr>
        <w:t xml:space="preserve"> </w:t>
      </w:r>
      <w:r w:rsidR="00073C64">
        <w:rPr>
          <w:rFonts w:cstheme="minorHAnsi"/>
          <w:bCs/>
          <w:sz w:val="24"/>
          <w:szCs w:val="24"/>
        </w:rPr>
        <w:t xml:space="preserve">the </w:t>
      </w:r>
      <w:r w:rsidRPr="00D846FE">
        <w:rPr>
          <w:rFonts w:cstheme="minorHAnsi"/>
          <w:bCs/>
          <w:sz w:val="24"/>
          <w:szCs w:val="24"/>
        </w:rPr>
        <w:t>sourcetracker2 by dyad pair</w:t>
      </w:r>
      <w:r w:rsidR="00073C64">
        <w:rPr>
          <w:rFonts w:cstheme="minorHAnsi"/>
          <w:bCs/>
          <w:sz w:val="24"/>
          <w:szCs w:val="24"/>
        </w:rPr>
        <w:t xml:space="preserve"> analyses</w:t>
      </w:r>
      <w:r w:rsidRPr="00D846FE">
        <w:rPr>
          <w:rFonts w:cstheme="minorHAnsi"/>
          <w:bCs/>
          <w:sz w:val="24"/>
          <w:szCs w:val="24"/>
        </w:rPr>
        <w:t xml:space="preserve">. </w:t>
      </w:r>
    </w:p>
    <w:bookmarkEnd w:id="1"/>
    <w:p w14:paraId="1E75745D" w14:textId="77777777" w:rsidR="00D846FE" w:rsidRPr="00D846FE" w:rsidRDefault="00D846FE" w:rsidP="00D846FE">
      <w:pPr>
        <w:tabs>
          <w:tab w:val="num" w:pos="720"/>
        </w:tabs>
        <w:jc w:val="both"/>
        <w:rPr>
          <w:rFonts w:cstheme="minorHAnsi"/>
          <w:b/>
          <w:sz w:val="24"/>
          <w:szCs w:val="24"/>
        </w:rPr>
      </w:pPr>
      <w:r w:rsidRPr="00D846FE">
        <w:rPr>
          <w:rFonts w:cstheme="minorHAnsi"/>
          <w:b/>
          <w:sz w:val="24"/>
          <w:szCs w:val="24"/>
        </w:rPr>
        <w:t xml:space="preserve">Results: </w:t>
      </w:r>
    </w:p>
    <w:p w14:paraId="1AFDE383" w14:textId="5086E38B" w:rsidR="00D846FE" w:rsidRPr="00D846FE" w:rsidRDefault="00D846FE" w:rsidP="00D846FE">
      <w:pPr>
        <w:tabs>
          <w:tab w:val="num" w:pos="720"/>
        </w:tabs>
        <w:jc w:val="both"/>
        <w:rPr>
          <w:rFonts w:cstheme="minorHAnsi"/>
          <w:bCs/>
          <w:sz w:val="24"/>
          <w:szCs w:val="24"/>
        </w:rPr>
      </w:pPr>
      <w:r w:rsidRPr="00D846FE">
        <w:rPr>
          <w:rFonts w:cstheme="minorHAnsi"/>
          <w:bCs/>
          <w:sz w:val="24"/>
          <w:szCs w:val="24"/>
        </w:rPr>
        <w:t xml:space="preserve">Overall, </w:t>
      </w:r>
      <w:r w:rsidR="00AF5F5F">
        <w:rPr>
          <w:rFonts w:cstheme="minorHAnsi"/>
          <w:bCs/>
          <w:sz w:val="24"/>
          <w:szCs w:val="24"/>
        </w:rPr>
        <w:t xml:space="preserve">the vast majority (&gt;36%) of the </w:t>
      </w:r>
      <w:r w:rsidR="00382BC9">
        <w:rPr>
          <w:rFonts w:cstheme="minorHAnsi"/>
          <w:bCs/>
          <w:sz w:val="24"/>
          <w:szCs w:val="24"/>
        </w:rPr>
        <w:t>neonate’s</w:t>
      </w:r>
      <w:r w:rsidR="00AF5F5F">
        <w:rPr>
          <w:rFonts w:cstheme="minorHAnsi"/>
          <w:bCs/>
          <w:sz w:val="24"/>
          <w:szCs w:val="24"/>
        </w:rPr>
        <w:t xml:space="preserve"> microbiota comprising its microbiome within 2 days of birth could be attributed to its maternal source (Fig. &amp; Table)</w:t>
      </w:r>
      <w:r w:rsidRPr="00D846FE">
        <w:rPr>
          <w:rFonts w:cstheme="minorHAnsi"/>
          <w:bCs/>
          <w:sz w:val="24"/>
          <w:szCs w:val="24"/>
        </w:rPr>
        <w:t xml:space="preserve">.  When stratified by source type and delivery method, we observed a significant effect of </w:t>
      </w:r>
      <w:r w:rsidR="00AF5F5F">
        <w:rPr>
          <w:rFonts w:cstheme="minorHAnsi"/>
          <w:bCs/>
          <w:sz w:val="24"/>
          <w:szCs w:val="24"/>
        </w:rPr>
        <w:t xml:space="preserve">maternal T1D </w:t>
      </w:r>
      <w:r w:rsidRPr="00D846FE">
        <w:rPr>
          <w:rFonts w:cstheme="minorHAnsi"/>
          <w:bCs/>
          <w:sz w:val="24"/>
          <w:szCs w:val="24"/>
        </w:rPr>
        <w:t xml:space="preserve">disease </w:t>
      </w:r>
      <w:r w:rsidR="00AF5F5F">
        <w:rPr>
          <w:rFonts w:cstheme="minorHAnsi"/>
          <w:bCs/>
          <w:sz w:val="24"/>
          <w:szCs w:val="24"/>
        </w:rPr>
        <w:t>but not mode of delivery (Fig &amp; Table)</w:t>
      </w:r>
      <w:r w:rsidRPr="00D846FE">
        <w:rPr>
          <w:rFonts w:cstheme="minorHAnsi"/>
          <w:bCs/>
          <w:sz w:val="24"/>
          <w:szCs w:val="24"/>
        </w:rPr>
        <w:t>.</w:t>
      </w:r>
      <w:r w:rsidR="00AF5F5F">
        <w:rPr>
          <w:rFonts w:cstheme="minorHAnsi"/>
          <w:bCs/>
          <w:sz w:val="24"/>
          <w:szCs w:val="24"/>
        </w:rPr>
        <w:t xml:space="preserve"> In both control and T1D dyad pairs, the greatest source contributor to the neonatal microbiome was traced to maternal stool source and vaginal vs stool vs cervix were not of significant difference in vaginal vs Cesarean born neonates. </w:t>
      </w:r>
    </w:p>
    <w:p w14:paraId="3BE04B77" w14:textId="7EC55139" w:rsidR="006A5827" w:rsidRDefault="00D846FE" w:rsidP="00920F39">
      <w:pPr>
        <w:tabs>
          <w:tab w:val="num" w:pos="720"/>
        </w:tabs>
        <w:jc w:val="both"/>
        <w:rPr>
          <w:rFonts w:cstheme="minorHAnsi"/>
          <w:sz w:val="24"/>
          <w:szCs w:val="24"/>
          <w:lang w:val="en"/>
        </w:rPr>
        <w:sectPr w:rsidR="006A5827" w:rsidSect="00D846FE">
          <w:pgSz w:w="12240" w:h="15840"/>
          <w:pgMar w:top="1440" w:right="1440" w:bottom="1440" w:left="1440" w:header="720" w:footer="720" w:gutter="0"/>
          <w:cols w:space="720"/>
          <w:docGrid w:linePitch="360"/>
        </w:sectPr>
      </w:pPr>
      <w:r w:rsidRPr="00D846FE">
        <w:rPr>
          <w:rFonts w:cstheme="minorHAnsi"/>
          <w:b/>
          <w:sz w:val="24"/>
          <w:szCs w:val="24"/>
        </w:rPr>
        <w:t xml:space="preserve">Conclusion: </w:t>
      </w:r>
      <w:r w:rsidRPr="00D846FE">
        <w:rPr>
          <w:rFonts w:cstheme="minorHAnsi"/>
          <w:bCs/>
          <w:sz w:val="24"/>
          <w:szCs w:val="24"/>
        </w:rPr>
        <w:t xml:space="preserve">Although this study is limited with respect subject diversity, these findings by and large suggest that maternal contributions to the neonatal microbiome </w:t>
      </w:r>
      <w:r w:rsidR="00AF5F5F">
        <w:rPr>
          <w:rFonts w:cstheme="minorHAnsi"/>
          <w:bCs/>
          <w:sz w:val="24"/>
          <w:szCs w:val="24"/>
        </w:rPr>
        <w:t>are the principal sources, and there is variation by virtue of maternal T1D</w:t>
      </w:r>
      <w:r w:rsidRPr="00D846FE">
        <w:rPr>
          <w:rFonts w:cstheme="minorHAnsi"/>
          <w:bCs/>
          <w:sz w:val="24"/>
          <w:szCs w:val="24"/>
        </w:rPr>
        <w:t xml:space="preserve">. </w:t>
      </w:r>
      <w:r w:rsidR="00AF5F5F">
        <w:rPr>
          <w:rFonts w:cstheme="minorHAnsi"/>
          <w:bCs/>
          <w:sz w:val="24"/>
          <w:szCs w:val="24"/>
        </w:rPr>
        <w:t xml:space="preserve">Given that vaginally delivered &amp; Cesarean born neonates are </w:t>
      </w:r>
      <w:r w:rsidR="00AF5F5F" w:rsidRPr="00382BC9">
        <w:rPr>
          <w:rFonts w:cstheme="minorHAnsi"/>
          <w:bCs/>
          <w:sz w:val="24"/>
          <w:szCs w:val="24"/>
        </w:rPr>
        <w:t xml:space="preserve">equally likely to have </w:t>
      </w:r>
      <w:proofErr w:type="gramStart"/>
      <w:r w:rsidR="00AF5F5F" w:rsidRPr="00382BC9">
        <w:rPr>
          <w:rFonts w:cstheme="minorHAnsi"/>
          <w:bCs/>
          <w:sz w:val="24"/>
          <w:szCs w:val="24"/>
        </w:rPr>
        <w:t>the majority of</w:t>
      </w:r>
      <w:proofErr w:type="gramEnd"/>
      <w:r w:rsidR="00AF5F5F" w:rsidRPr="00382BC9">
        <w:rPr>
          <w:rFonts w:cstheme="minorHAnsi"/>
          <w:bCs/>
          <w:sz w:val="24"/>
          <w:szCs w:val="24"/>
        </w:rPr>
        <w:t xml:space="preserve"> their microbiota tracked to maternal stool </w:t>
      </w:r>
      <w:r w:rsidR="00C23B76" w:rsidRPr="00382BC9">
        <w:rPr>
          <w:rFonts w:cstheme="minorHAnsi"/>
          <w:bCs/>
          <w:sz w:val="24"/>
          <w:szCs w:val="24"/>
        </w:rPr>
        <w:t xml:space="preserve">and vaginal </w:t>
      </w:r>
      <w:r w:rsidR="00AF5F5F" w:rsidRPr="00382BC9">
        <w:rPr>
          <w:rFonts w:cstheme="minorHAnsi"/>
          <w:bCs/>
          <w:sz w:val="24"/>
          <w:szCs w:val="24"/>
        </w:rPr>
        <w:t>sources</w:t>
      </w:r>
      <w:r w:rsidR="00C23B76" w:rsidRPr="00382BC9">
        <w:rPr>
          <w:rFonts w:cstheme="minorHAnsi"/>
          <w:bCs/>
          <w:sz w:val="24"/>
          <w:szCs w:val="24"/>
        </w:rPr>
        <w:t>, this reinforces the notion that intrauterine factors likely influence the infant microbiome.</w:t>
      </w:r>
      <w:r w:rsidR="006A5827">
        <w:rPr>
          <w:rFonts w:cstheme="minorHAnsi"/>
          <w:sz w:val="24"/>
          <w:szCs w:val="24"/>
          <w:lang w:val="en"/>
        </w:rPr>
        <w:br/>
      </w:r>
    </w:p>
    <w:bookmarkEnd w:id="0"/>
    <w:p w14:paraId="536C2A76" w14:textId="64F084B5" w:rsidR="006A5827" w:rsidRDefault="00B301F2" w:rsidP="006A5827">
      <w:r w:rsidRPr="00920F39">
        <w:rPr>
          <w:rFonts w:cstheme="minorHAnsi"/>
          <w:noProof/>
        </w:rPr>
        <w:lastRenderedPageBreak/>
        <mc:AlternateContent>
          <mc:Choice Requires="wps">
            <w:drawing>
              <wp:anchor distT="0" distB="0" distL="114300" distR="114300" simplePos="0" relativeHeight="251661312" behindDoc="0" locked="0" layoutInCell="1" allowOverlap="1" wp14:anchorId="7FF46650" wp14:editId="29C01671">
                <wp:simplePos x="0" y="0"/>
                <wp:positionH relativeFrom="column">
                  <wp:posOffset>-495300</wp:posOffset>
                </wp:positionH>
                <wp:positionV relativeFrom="paragraph">
                  <wp:posOffset>5069205</wp:posOffset>
                </wp:positionV>
                <wp:extent cx="947737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9477375" cy="635"/>
                        </a:xfrm>
                        <a:prstGeom prst="rect">
                          <a:avLst/>
                        </a:prstGeom>
                        <a:solidFill>
                          <a:prstClr val="white"/>
                        </a:solidFill>
                        <a:ln>
                          <a:noFill/>
                        </a:ln>
                      </wps:spPr>
                      <wps:txbx>
                        <w:txbxContent>
                          <w:p w14:paraId="4E641BCF" w14:textId="157C1354" w:rsidR="00F34C55" w:rsidRPr="00943C9E" w:rsidRDefault="00920F39" w:rsidP="00D846FE">
                            <w:pPr>
                              <w:pStyle w:val="Caption"/>
                            </w:pPr>
                            <w:r w:rsidRPr="00920F39">
                              <w:t xml:space="preserve">Figure </w:t>
                            </w:r>
                            <w:r w:rsidR="00C2415A">
                              <w:t>1</w:t>
                            </w:r>
                            <w:r w:rsidRPr="00920F39">
                              <w:t xml:space="preserve">.  </w:t>
                            </w:r>
                            <w:r w:rsidRPr="00D846FE">
                              <w:rPr>
                                <w:b w:val="0"/>
                                <w:bCs/>
                              </w:rPr>
                              <w:t xml:space="preserve">Network plot of Sourcetracker2 derived maternal contributions (outside nodes) to neonatal microbiomes (inside nodes) by disease states A) Control and B) </w:t>
                            </w:r>
                            <w:r w:rsidR="00AF5F5F">
                              <w:rPr>
                                <w:b w:val="0"/>
                                <w:bCs/>
                              </w:rPr>
                              <w:t>T1DM, stratified</w:t>
                            </w:r>
                            <w:r w:rsidRPr="00D846FE">
                              <w:rPr>
                                <w:b w:val="0"/>
                                <w:bCs/>
                              </w:rPr>
                              <w:t xml:space="preserve"> by delivery mode </w:t>
                            </w:r>
                            <w:r w:rsidR="00AF5F5F">
                              <w:rPr>
                                <w:b w:val="0"/>
                                <w:bCs/>
                              </w:rPr>
                              <w:t>(</w:t>
                            </w:r>
                            <w:r w:rsidRPr="00D846FE">
                              <w:rPr>
                                <w:b w:val="0"/>
                                <w:bCs/>
                              </w:rPr>
                              <w:t>Cesarean (left) and Vaginal (right)</w:t>
                            </w:r>
                            <w:r w:rsidR="00AF5F5F">
                              <w:rPr>
                                <w:b w:val="0"/>
                                <w:bCs/>
                              </w:rPr>
                              <w:t>)</w:t>
                            </w:r>
                            <w:r w:rsidRPr="00D846FE">
                              <w:rPr>
                                <w:b w:val="0"/>
                                <w:bCs/>
                              </w:rPr>
                              <w:t xml:space="preserve">. Maternal contributions are depicted and annotated by line thickness and demonstrate a statistically significant increase in maternal Rectum source contributions to the neonatal ear microbiome when comparing vaginally delivered neonatal ear microbiomes from </w:t>
                            </w:r>
                            <w:r w:rsidR="00AF5F5F">
                              <w:rPr>
                                <w:b w:val="0"/>
                                <w:bCs/>
                              </w:rPr>
                              <w:t>T1D</w:t>
                            </w:r>
                            <w:r w:rsidRPr="00D846FE">
                              <w:rPr>
                                <w:b w:val="0"/>
                                <w:bCs/>
                              </w:rPr>
                              <w:t xml:space="preserve"> to the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F46650" id="_x0000_t202" coordsize="21600,21600" o:spt="202" path="m,l,21600r21600,l21600,xe">
                <v:stroke joinstyle="miter"/>
                <v:path gradientshapeok="t" o:connecttype="rect"/>
              </v:shapetype>
              <v:shape id="Text Box 1" o:spid="_x0000_s1026" type="#_x0000_t202" style="position:absolute;margin-left:-39pt;margin-top:399.15pt;width:746.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" stroked="f">
                <v:textbox style="mso-fit-shape-to-text:t" inset="0,0,0,0">
                  <w:txbxContent>
                    <w:p w14:paraId="4E641BCF" w14:textId="157C1354" w:rsidR="00F34C55" w:rsidRPr="00943C9E" w:rsidRDefault="00920F39" w:rsidP="00D846FE">
                      <w:pPr>
                        <w:pStyle w:val="Caption"/>
                      </w:pPr>
                      <w:r w:rsidRPr="00920F39">
                        <w:t xml:space="preserve">Figure </w:t>
                      </w:r>
                      <w:r w:rsidR="00C2415A">
                        <w:t>1</w:t>
                      </w:r>
                      <w:r w:rsidRPr="00920F39">
                        <w:t xml:space="preserve">.  </w:t>
                      </w:r>
                      <w:r w:rsidRPr="00D846FE">
                        <w:rPr>
                          <w:b w:val="0"/>
                          <w:bCs/>
                        </w:rPr>
                        <w:t xml:space="preserve">Network plot of Sourcetracker2 derived maternal contributions (outside nodes) to neonatal microbiomes (inside nodes) by disease states A) Control and B) </w:t>
                      </w:r>
                      <w:r w:rsidR="00AF5F5F">
                        <w:rPr>
                          <w:b w:val="0"/>
                          <w:bCs/>
                        </w:rPr>
                        <w:t>T1DM, stratified</w:t>
                      </w:r>
                      <w:r w:rsidRPr="00D846FE">
                        <w:rPr>
                          <w:b w:val="0"/>
                          <w:bCs/>
                        </w:rPr>
                        <w:t xml:space="preserve"> by delivery mode </w:t>
                      </w:r>
                      <w:r w:rsidR="00AF5F5F">
                        <w:rPr>
                          <w:b w:val="0"/>
                          <w:bCs/>
                        </w:rPr>
                        <w:t>(</w:t>
                      </w:r>
                      <w:r w:rsidRPr="00D846FE">
                        <w:rPr>
                          <w:b w:val="0"/>
                          <w:bCs/>
                        </w:rPr>
                        <w:t>Cesarean (left) and Vaginal (right)</w:t>
                      </w:r>
                      <w:r w:rsidR="00AF5F5F">
                        <w:rPr>
                          <w:b w:val="0"/>
                          <w:bCs/>
                        </w:rPr>
                        <w:t>)</w:t>
                      </w:r>
                      <w:r w:rsidRPr="00D846FE">
                        <w:rPr>
                          <w:b w:val="0"/>
                          <w:bCs/>
                        </w:rPr>
                        <w:t xml:space="preserve">. Maternal contributions are depicted and annotated by line thickness and demonstrate a statistically significant increase in maternal Rectum source contributions to the neonatal ear microbiome when comparing vaginally delivered neonatal ear microbiomes from </w:t>
                      </w:r>
                      <w:r w:rsidR="00AF5F5F">
                        <w:rPr>
                          <w:b w:val="0"/>
                          <w:bCs/>
                        </w:rPr>
                        <w:t>T1D</w:t>
                      </w:r>
                      <w:r w:rsidRPr="00D846FE">
                        <w:rPr>
                          <w:b w:val="0"/>
                          <w:bCs/>
                        </w:rPr>
                        <w:t xml:space="preserve"> to the control.</w:t>
                      </w:r>
                    </w:p>
                  </w:txbxContent>
                </v:textbox>
                <w10:wrap type="topAndBottom"/>
              </v:shape>
            </w:pict>
          </mc:Fallback>
        </mc:AlternateContent>
      </w:r>
      <w:r>
        <w:rPr>
          <w:noProof/>
        </w:rPr>
        <w:drawing>
          <wp:anchor distT="0" distB="0" distL="114300" distR="114300" simplePos="0" relativeHeight="251662336" behindDoc="0" locked="0" layoutInCell="1" allowOverlap="1" wp14:anchorId="589705D0" wp14:editId="5C771E07">
            <wp:simplePos x="0" y="0"/>
            <wp:positionH relativeFrom="margin">
              <wp:align>center</wp:align>
            </wp:positionH>
            <wp:positionV relativeFrom="paragraph">
              <wp:posOffset>0</wp:posOffset>
            </wp:positionV>
            <wp:extent cx="9645015" cy="4907915"/>
            <wp:effectExtent l="0" t="0" r="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015" cy="4907915"/>
                    </a:xfrm>
                    <a:prstGeom prst="rect">
                      <a:avLst/>
                    </a:prstGeom>
                    <a:noFill/>
                  </pic:spPr>
                </pic:pic>
              </a:graphicData>
            </a:graphic>
          </wp:anchor>
        </w:drawing>
      </w:r>
    </w:p>
    <w:p w14:paraId="774A2FEC" w14:textId="77777777" w:rsidR="00676857" w:rsidRDefault="00676857" w:rsidP="00D846FE">
      <w:pPr>
        <w:jc w:val="center"/>
        <w:rPr>
          <w:b/>
          <w:bCs/>
          <w:sz w:val="24"/>
          <w:szCs w:val="24"/>
        </w:rPr>
      </w:pPr>
    </w:p>
    <w:p w14:paraId="2879D940" w14:textId="77777777" w:rsidR="00676857" w:rsidRDefault="00676857" w:rsidP="00D846FE">
      <w:pPr>
        <w:jc w:val="center"/>
        <w:rPr>
          <w:b/>
          <w:bCs/>
          <w:sz w:val="24"/>
          <w:szCs w:val="24"/>
        </w:rPr>
      </w:pPr>
    </w:p>
    <w:p w14:paraId="66E9DF8C" w14:textId="77777777" w:rsidR="00676857" w:rsidRDefault="00676857" w:rsidP="00D846FE">
      <w:pPr>
        <w:jc w:val="center"/>
        <w:rPr>
          <w:b/>
          <w:bCs/>
          <w:sz w:val="24"/>
          <w:szCs w:val="24"/>
        </w:rPr>
      </w:pPr>
    </w:p>
    <w:p w14:paraId="0BFADECD" w14:textId="65902BB6" w:rsidR="00B02B17" w:rsidRPr="00D846FE" w:rsidRDefault="00B02B17" w:rsidP="00D846FE">
      <w:pPr>
        <w:jc w:val="center"/>
        <w:rPr>
          <w:sz w:val="24"/>
          <w:szCs w:val="24"/>
        </w:rPr>
      </w:pPr>
      <w:r w:rsidRPr="00D846FE">
        <w:rPr>
          <w:b/>
          <w:bCs/>
          <w:sz w:val="24"/>
          <w:szCs w:val="24"/>
        </w:rPr>
        <w:t xml:space="preserve">Table </w:t>
      </w:r>
      <w:r w:rsidRPr="00D846FE">
        <w:rPr>
          <w:b/>
          <w:bCs/>
          <w:iCs/>
          <w:sz w:val="24"/>
          <w:szCs w:val="24"/>
        </w:rPr>
        <w:fldChar w:fldCharType="begin"/>
      </w:r>
      <w:r w:rsidRPr="00D846FE">
        <w:rPr>
          <w:b/>
          <w:bCs/>
          <w:iCs/>
          <w:sz w:val="24"/>
          <w:szCs w:val="24"/>
        </w:rPr>
        <w:instrText xml:space="preserve"> SEQ Table \* ARABIC </w:instrText>
      </w:r>
      <w:r w:rsidRPr="00D846FE">
        <w:rPr>
          <w:b/>
          <w:bCs/>
          <w:iCs/>
          <w:sz w:val="24"/>
          <w:szCs w:val="24"/>
        </w:rPr>
        <w:fldChar w:fldCharType="separate"/>
      </w:r>
      <w:r w:rsidR="00382BC9">
        <w:rPr>
          <w:b/>
          <w:bCs/>
          <w:iCs/>
          <w:noProof/>
          <w:sz w:val="24"/>
          <w:szCs w:val="24"/>
        </w:rPr>
        <w:t>1</w:t>
      </w:r>
      <w:r w:rsidRPr="00D846FE">
        <w:rPr>
          <w:b/>
          <w:bCs/>
          <w:iCs/>
          <w:sz w:val="24"/>
          <w:szCs w:val="24"/>
        </w:rPr>
        <w:fldChar w:fldCharType="end"/>
      </w:r>
      <w:r w:rsidRPr="00D846FE">
        <w:rPr>
          <w:b/>
          <w:bCs/>
          <w:sz w:val="24"/>
          <w:szCs w:val="24"/>
        </w:rPr>
        <w:t>.</w:t>
      </w:r>
      <w:r w:rsidRPr="00D846FE">
        <w:rPr>
          <w:b/>
          <w:iCs/>
          <w:sz w:val="24"/>
          <w:szCs w:val="24"/>
        </w:rPr>
        <w:t xml:space="preserve"> </w:t>
      </w:r>
      <w:r w:rsidR="00920F39" w:rsidRPr="00D846FE">
        <w:rPr>
          <w:sz w:val="24"/>
          <w:szCs w:val="24"/>
        </w:rPr>
        <w:t xml:space="preserve">Overview of </w:t>
      </w:r>
      <w:r w:rsidR="00B301F2">
        <w:rPr>
          <w:sz w:val="24"/>
          <w:szCs w:val="24"/>
        </w:rPr>
        <w:t xml:space="preserve">the </w:t>
      </w:r>
      <w:r w:rsidR="00382BC9">
        <w:rPr>
          <w:sz w:val="24"/>
          <w:szCs w:val="24"/>
        </w:rPr>
        <w:t xml:space="preserve">proportion of </w:t>
      </w:r>
      <w:r w:rsidR="00920F39" w:rsidRPr="00D846FE">
        <w:rPr>
          <w:sz w:val="24"/>
          <w:szCs w:val="24"/>
        </w:rPr>
        <w:t>maternal source contributions to newborn sinks by disease and delivery method.</w:t>
      </w:r>
    </w:p>
    <w:tbl>
      <w:tblPr>
        <w:tblW w:w="13480" w:type="dxa"/>
        <w:tblInd w:w="-255" w:type="dxa"/>
        <w:tblCellMar>
          <w:left w:w="0" w:type="dxa"/>
          <w:right w:w="0" w:type="dxa"/>
        </w:tblCellMar>
        <w:tblLook w:val="04A0" w:firstRow="1" w:lastRow="0" w:firstColumn="1" w:lastColumn="0" w:noHBand="0" w:noVBand="1"/>
      </w:tblPr>
      <w:tblGrid>
        <w:gridCol w:w="1381"/>
        <w:gridCol w:w="1121"/>
        <w:gridCol w:w="1823"/>
        <w:gridCol w:w="1823"/>
        <w:gridCol w:w="1823"/>
        <w:gridCol w:w="1823"/>
        <w:gridCol w:w="1823"/>
        <w:gridCol w:w="1863"/>
      </w:tblGrid>
      <w:tr w:rsidR="00920F39" w:rsidRPr="00920F39" w14:paraId="3C1E53E5" w14:textId="77777777" w:rsidTr="00D846FE">
        <w:trPr>
          <w:trHeight w:val="297"/>
        </w:trPr>
        <w:tc>
          <w:tcPr>
            <w:tcW w:w="1381" w:type="dxa"/>
            <w:tcBorders>
              <w:top w:val="nil"/>
              <w:left w:val="nil"/>
              <w:bottom w:val="nil"/>
              <w:right w:val="nil"/>
            </w:tcBorders>
            <w:shd w:val="clear" w:color="auto" w:fill="auto"/>
            <w:tcMar>
              <w:top w:w="15" w:type="dxa"/>
              <w:left w:w="68" w:type="dxa"/>
              <w:bottom w:w="0" w:type="dxa"/>
              <w:right w:w="68" w:type="dxa"/>
            </w:tcMar>
            <w:vAlign w:val="bottom"/>
            <w:hideMark/>
          </w:tcPr>
          <w:p w14:paraId="5FAE1A20" w14:textId="77777777" w:rsidR="00920F39" w:rsidRPr="00920F39" w:rsidRDefault="00920F39" w:rsidP="00920F39">
            <w:pPr>
              <w:spacing w:after="0" w:line="240" w:lineRule="auto"/>
              <w:rPr>
                <w:rFonts w:ascii="Times New Roman" w:eastAsia="Times New Roman" w:hAnsi="Times New Roman" w:cs="Times New Roman"/>
                <w:sz w:val="24"/>
                <w:szCs w:val="24"/>
              </w:rPr>
            </w:pPr>
          </w:p>
        </w:tc>
        <w:tc>
          <w:tcPr>
            <w:tcW w:w="1121" w:type="dxa"/>
            <w:tcBorders>
              <w:top w:val="nil"/>
              <w:left w:val="nil"/>
              <w:bottom w:val="nil"/>
              <w:right w:val="nil"/>
            </w:tcBorders>
            <w:shd w:val="clear" w:color="auto" w:fill="auto"/>
            <w:tcMar>
              <w:top w:w="15" w:type="dxa"/>
              <w:left w:w="68" w:type="dxa"/>
              <w:bottom w:w="0" w:type="dxa"/>
              <w:right w:w="68" w:type="dxa"/>
            </w:tcMar>
            <w:vAlign w:val="bottom"/>
            <w:hideMark/>
          </w:tcPr>
          <w:p w14:paraId="352D216E" w14:textId="77777777" w:rsidR="00920F39" w:rsidRPr="00920F39" w:rsidRDefault="00920F39" w:rsidP="00920F39">
            <w:pPr>
              <w:spacing w:after="0" w:line="240" w:lineRule="auto"/>
              <w:rPr>
                <w:rFonts w:ascii="Times New Roman" w:eastAsia="Times New Roman" w:hAnsi="Times New Roman" w:cs="Times New Roman"/>
                <w:sz w:val="20"/>
                <w:szCs w:val="20"/>
              </w:rPr>
            </w:pPr>
          </w:p>
        </w:tc>
        <w:tc>
          <w:tcPr>
            <w:tcW w:w="1823" w:type="dxa"/>
            <w:tcBorders>
              <w:top w:val="nil"/>
              <w:left w:val="nil"/>
              <w:bottom w:val="nil"/>
              <w:right w:val="nil"/>
            </w:tcBorders>
            <w:shd w:val="clear" w:color="auto" w:fill="auto"/>
            <w:tcMar>
              <w:top w:w="15" w:type="dxa"/>
              <w:left w:w="68" w:type="dxa"/>
              <w:bottom w:w="0" w:type="dxa"/>
              <w:right w:w="68" w:type="dxa"/>
            </w:tcMar>
            <w:vAlign w:val="bottom"/>
            <w:hideMark/>
          </w:tcPr>
          <w:p w14:paraId="1F6850B4" w14:textId="77777777" w:rsidR="00920F39" w:rsidRPr="00920F39" w:rsidRDefault="00920F39" w:rsidP="00920F39">
            <w:pPr>
              <w:spacing w:after="0" w:line="240" w:lineRule="auto"/>
              <w:rPr>
                <w:rFonts w:ascii="Times New Roman" w:eastAsia="Times New Roman" w:hAnsi="Times New Roman" w:cs="Times New Roman"/>
                <w:sz w:val="20"/>
                <w:szCs w:val="20"/>
              </w:rPr>
            </w:pPr>
          </w:p>
        </w:tc>
        <w:tc>
          <w:tcPr>
            <w:tcW w:w="9155" w:type="dxa"/>
            <w:gridSpan w:val="5"/>
            <w:tcBorders>
              <w:top w:val="nil"/>
              <w:left w:val="nil"/>
              <w:bottom w:val="single" w:sz="8" w:space="0" w:color="000000"/>
              <w:right w:val="nil"/>
            </w:tcBorders>
            <w:shd w:val="clear" w:color="auto" w:fill="auto"/>
            <w:tcMar>
              <w:top w:w="15" w:type="dxa"/>
              <w:left w:w="68" w:type="dxa"/>
              <w:bottom w:w="0" w:type="dxa"/>
              <w:right w:w="68" w:type="dxa"/>
            </w:tcMar>
            <w:vAlign w:val="bottom"/>
            <w:hideMark/>
          </w:tcPr>
          <w:p w14:paraId="7FECD7C3" w14:textId="48FDE756"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 xml:space="preserve">Source (mean </w:t>
            </w:r>
            <w:r w:rsidR="00382BC9">
              <w:rPr>
                <w:rFonts w:ascii="Calibri" w:eastAsia="Times New Roman" w:hAnsi="Calibri" w:cs="Calibri"/>
                <w:color w:val="000000"/>
                <w:kern w:val="24"/>
              </w:rPr>
              <w:t xml:space="preserve">proportion </w:t>
            </w:r>
            <w:r w:rsidRPr="00920F39">
              <w:rPr>
                <w:rFonts w:ascii="Calibri" w:eastAsia="Times New Roman" w:hAnsi="Calibri" w:cs="Calibri"/>
                <w:color w:val="000000"/>
                <w:kern w:val="24"/>
              </w:rPr>
              <w:t>± std. error)</w:t>
            </w:r>
          </w:p>
        </w:tc>
      </w:tr>
      <w:tr w:rsidR="00920F39" w:rsidRPr="00920F39" w14:paraId="42311635" w14:textId="77777777" w:rsidTr="00D846FE">
        <w:trPr>
          <w:trHeight w:val="297"/>
        </w:trPr>
        <w:tc>
          <w:tcPr>
            <w:tcW w:w="1381" w:type="dxa"/>
            <w:tcBorders>
              <w:top w:val="nil"/>
              <w:left w:val="nil"/>
              <w:bottom w:val="single" w:sz="8" w:space="0" w:color="000000"/>
              <w:right w:val="nil"/>
            </w:tcBorders>
            <w:shd w:val="clear" w:color="auto" w:fill="auto"/>
            <w:tcMar>
              <w:top w:w="15" w:type="dxa"/>
              <w:left w:w="68" w:type="dxa"/>
              <w:bottom w:w="0" w:type="dxa"/>
              <w:right w:w="68" w:type="dxa"/>
            </w:tcMar>
            <w:vAlign w:val="bottom"/>
            <w:hideMark/>
          </w:tcPr>
          <w:p w14:paraId="72853C0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Delivery</w:t>
            </w:r>
          </w:p>
        </w:tc>
        <w:tc>
          <w:tcPr>
            <w:tcW w:w="1121" w:type="dxa"/>
            <w:tcBorders>
              <w:top w:val="nil"/>
              <w:left w:val="nil"/>
              <w:bottom w:val="single" w:sz="8" w:space="0" w:color="000000"/>
              <w:right w:val="nil"/>
            </w:tcBorders>
            <w:shd w:val="clear" w:color="auto" w:fill="auto"/>
            <w:tcMar>
              <w:top w:w="15" w:type="dxa"/>
              <w:left w:w="68" w:type="dxa"/>
              <w:bottom w:w="0" w:type="dxa"/>
              <w:right w:w="68" w:type="dxa"/>
            </w:tcMar>
            <w:vAlign w:val="center"/>
            <w:hideMark/>
          </w:tcPr>
          <w:p w14:paraId="7C5BB499"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Sink</w:t>
            </w:r>
          </w:p>
        </w:tc>
        <w:tc>
          <w:tcPr>
            <w:tcW w:w="1823" w:type="dxa"/>
            <w:tcBorders>
              <w:top w:val="nil"/>
              <w:left w:val="nil"/>
              <w:bottom w:val="single" w:sz="8" w:space="0" w:color="000000"/>
              <w:right w:val="nil"/>
            </w:tcBorders>
            <w:shd w:val="clear" w:color="auto" w:fill="auto"/>
            <w:tcMar>
              <w:top w:w="15" w:type="dxa"/>
              <w:left w:w="68" w:type="dxa"/>
              <w:bottom w:w="0" w:type="dxa"/>
              <w:right w:w="68" w:type="dxa"/>
            </w:tcMar>
            <w:vAlign w:val="center"/>
            <w:hideMark/>
          </w:tcPr>
          <w:p w14:paraId="652C414C"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Disease</w:t>
            </w:r>
          </w:p>
        </w:tc>
        <w:tc>
          <w:tcPr>
            <w:tcW w:w="182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6DD1FA37"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Rectum</w:t>
            </w:r>
          </w:p>
        </w:tc>
        <w:tc>
          <w:tcPr>
            <w:tcW w:w="182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2B79089E"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Cervix</w:t>
            </w:r>
          </w:p>
        </w:tc>
        <w:tc>
          <w:tcPr>
            <w:tcW w:w="182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5D4C59F5"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Introitus</w:t>
            </w:r>
          </w:p>
        </w:tc>
        <w:tc>
          <w:tcPr>
            <w:tcW w:w="182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5523ED8F"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Unknown</w:t>
            </w:r>
          </w:p>
        </w:tc>
        <w:tc>
          <w:tcPr>
            <w:tcW w:w="1863" w:type="dxa"/>
            <w:tcBorders>
              <w:top w:val="single" w:sz="8" w:space="0" w:color="000000"/>
              <w:left w:val="nil"/>
              <w:bottom w:val="single" w:sz="8" w:space="0" w:color="000000"/>
              <w:right w:val="nil"/>
            </w:tcBorders>
            <w:shd w:val="clear" w:color="auto" w:fill="auto"/>
            <w:tcMar>
              <w:top w:w="15" w:type="dxa"/>
              <w:left w:w="68" w:type="dxa"/>
              <w:bottom w:w="0" w:type="dxa"/>
              <w:right w:w="68" w:type="dxa"/>
            </w:tcMar>
            <w:vAlign w:val="center"/>
            <w:hideMark/>
          </w:tcPr>
          <w:p w14:paraId="5E5D73D2"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Vagina</w:t>
            </w:r>
          </w:p>
        </w:tc>
      </w:tr>
      <w:tr w:rsidR="00920F39" w:rsidRPr="00920F39" w14:paraId="6CDB8B8E" w14:textId="77777777" w:rsidTr="00D846FE">
        <w:trPr>
          <w:trHeight w:val="297"/>
        </w:trPr>
        <w:tc>
          <w:tcPr>
            <w:tcW w:w="1381" w:type="dxa"/>
            <w:vMerge w:val="restart"/>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702DBDB4"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C-section</w:t>
            </w:r>
          </w:p>
        </w:tc>
        <w:tc>
          <w:tcPr>
            <w:tcW w:w="1121" w:type="dxa"/>
            <w:vMerge w:val="restart"/>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25D3830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Ear</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3E57497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Control</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35AB09FE"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0.635 ± 0.31</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7DAB16FB"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0.022 ± 0.048</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279DA6D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0.035 ± 0.043</w:t>
            </w:r>
          </w:p>
        </w:tc>
        <w:tc>
          <w:tcPr>
            <w:tcW w:w="182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6616C2D9"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0.276 ± 0.285</w:t>
            </w:r>
          </w:p>
        </w:tc>
        <w:tc>
          <w:tcPr>
            <w:tcW w:w="1863" w:type="dxa"/>
            <w:tcBorders>
              <w:top w:val="single" w:sz="8" w:space="0" w:color="000000"/>
              <w:left w:val="nil"/>
              <w:bottom w:val="nil"/>
              <w:right w:val="nil"/>
            </w:tcBorders>
            <w:shd w:val="clear" w:color="auto" w:fill="auto"/>
            <w:tcMar>
              <w:top w:w="15" w:type="dxa"/>
              <w:left w:w="68" w:type="dxa"/>
              <w:bottom w:w="0" w:type="dxa"/>
              <w:right w:w="68" w:type="dxa"/>
            </w:tcMar>
            <w:vAlign w:val="center"/>
            <w:hideMark/>
          </w:tcPr>
          <w:p w14:paraId="123DEDE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0.031 ± 0.051</w:t>
            </w:r>
          </w:p>
        </w:tc>
      </w:tr>
      <w:tr w:rsidR="00920F39" w:rsidRPr="00920F39" w14:paraId="7C8FD21E" w14:textId="77777777" w:rsidTr="00D846FE">
        <w:trPr>
          <w:trHeight w:val="297"/>
        </w:trPr>
        <w:tc>
          <w:tcPr>
            <w:tcW w:w="0" w:type="auto"/>
            <w:vMerge/>
            <w:tcBorders>
              <w:top w:val="single" w:sz="8" w:space="0" w:color="000000"/>
              <w:left w:val="nil"/>
              <w:bottom w:val="nil"/>
              <w:right w:val="nil"/>
            </w:tcBorders>
            <w:vAlign w:val="center"/>
            <w:hideMark/>
          </w:tcPr>
          <w:p w14:paraId="3D85B6FB" w14:textId="77777777" w:rsidR="00920F39" w:rsidRPr="00920F39" w:rsidRDefault="00920F39" w:rsidP="00920F39">
            <w:pPr>
              <w:spacing w:after="0" w:line="240" w:lineRule="auto"/>
              <w:rPr>
                <w:rFonts w:ascii="Arial" w:eastAsia="Times New Roman" w:hAnsi="Arial" w:cs="Arial"/>
                <w:sz w:val="36"/>
                <w:szCs w:val="36"/>
              </w:rPr>
            </w:pPr>
          </w:p>
        </w:tc>
        <w:tc>
          <w:tcPr>
            <w:tcW w:w="0" w:type="auto"/>
            <w:vMerge/>
            <w:tcBorders>
              <w:top w:val="single" w:sz="8" w:space="0" w:color="000000"/>
              <w:left w:val="nil"/>
              <w:bottom w:val="nil"/>
              <w:right w:val="nil"/>
            </w:tcBorders>
            <w:vAlign w:val="center"/>
            <w:hideMark/>
          </w:tcPr>
          <w:p w14:paraId="4DC98058" w14:textId="77777777" w:rsidR="00920F39" w:rsidRPr="00920F39" w:rsidRDefault="00920F39" w:rsidP="00920F39">
            <w:pPr>
              <w:spacing w:after="0" w:line="240" w:lineRule="auto"/>
              <w:rPr>
                <w:rFonts w:ascii="Arial" w:eastAsia="Times New Roman" w:hAnsi="Arial" w:cs="Arial"/>
                <w:sz w:val="36"/>
                <w:szCs w:val="36"/>
              </w:rPr>
            </w:pP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64D7C8C"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T1D</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5AFD2C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0.691 ± 0.28</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5355CC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0.02 ± 0.03</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B3430C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0.039 ± 0.038</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C3F3162"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0.22 ± 0.25</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0F564B34"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0.031 ± 0.032</w:t>
            </w:r>
          </w:p>
        </w:tc>
      </w:tr>
      <w:tr w:rsidR="00920F39" w:rsidRPr="00920F39" w14:paraId="082B8831" w14:textId="77777777" w:rsidTr="00D846FE">
        <w:trPr>
          <w:trHeight w:val="297"/>
        </w:trPr>
        <w:tc>
          <w:tcPr>
            <w:tcW w:w="0" w:type="auto"/>
            <w:vMerge/>
            <w:tcBorders>
              <w:top w:val="single" w:sz="8" w:space="0" w:color="000000"/>
              <w:left w:val="nil"/>
              <w:bottom w:val="nil"/>
              <w:right w:val="nil"/>
            </w:tcBorders>
            <w:vAlign w:val="center"/>
            <w:hideMark/>
          </w:tcPr>
          <w:p w14:paraId="347CCD00" w14:textId="77777777" w:rsidR="00920F39" w:rsidRPr="00920F39" w:rsidRDefault="00920F39" w:rsidP="00920F39">
            <w:pPr>
              <w:spacing w:after="0" w:line="240" w:lineRule="auto"/>
              <w:rPr>
                <w:rFonts w:ascii="Arial" w:eastAsia="Times New Roman" w:hAnsi="Arial" w:cs="Arial"/>
                <w:sz w:val="36"/>
                <w:szCs w:val="36"/>
              </w:rPr>
            </w:pPr>
          </w:p>
        </w:tc>
        <w:tc>
          <w:tcPr>
            <w:tcW w:w="1121" w:type="dxa"/>
            <w:vMerge w:val="restart"/>
            <w:tcBorders>
              <w:top w:val="nil"/>
              <w:left w:val="nil"/>
              <w:bottom w:val="nil"/>
              <w:right w:val="nil"/>
            </w:tcBorders>
            <w:shd w:val="clear" w:color="auto" w:fill="auto"/>
            <w:tcMar>
              <w:top w:w="15" w:type="dxa"/>
              <w:left w:w="68" w:type="dxa"/>
              <w:bottom w:w="0" w:type="dxa"/>
              <w:right w:w="68" w:type="dxa"/>
            </w:tcMar>
            <w:vAlign w:val="center"/>
            <w:hideMark/>
          </w:tcPr>
          <w:p w14:paraId="32D1357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Stool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1EFD067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Control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BEE2D8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0.839 ± 0.104</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B56025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0.003 ± 0.003</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1DA3A895"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0.067 ± 0.033</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A8716B9"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0.046 ± 0.111</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1B7F92B2"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0.044 ± 0.024</w:t>
            </w:r>
          </w:p>
        </w:tc>
      </w:tr>
      <w:tr w:rsidR="00920F39" w:rsidRPr="00920F39" w14:paraId="16BBFCF9" w14:textId="77777777" w:rsidTr="00D846FE">
        <w:trPr>
          <w:trHeight w:val="297"/>
        </w:trPr>
        <w:tc>
          <w:tcPr>
            <w:tcW w:w="0" w:type="auto"/>
            <w:vMerge/>
            <w:tcBorders>
              <w:top w:val="single" w:sz="8" w:space="0" w:color="000000"/>
              <w:left w:val="nil"/>
              <w:bottom w:val="nil"/>
              <w:right w:val="nil"/>
            </w:tcBorders>
            <w:vAlign w:val="center"/>
            <w:hideMark/>
          </w:tcPr>
          <w:p w14:paraId="091464E5" w14:textId="77777777" w:rsidR="00920F39" w:rsidRPr="00920F39" w:rsidRDefault="00920F39" w:rsidP="00920F39">
            <w:pPr>
              <w:spacing w:after="0" w:line="240" w:lineRule="auto"/>
              <w:rPr>
                <w:rFonts w:ascii="Arial" w:eastAsia="Times New Roman" w:hAnsi="Arial" w:cs="Arial"/>
                <w:sz w:val="36"/>
                <w:szCs w:val="36"/>
              </w:rPr>
            </w:pPr>
          </w:p>
        </w:tc>
        <w:tc>
          <w:tcPr>
            <w:tcW w:w="0" w:type="auto"/>
            <w:vMerge/>
            <w:tcBorders>
              <w:top w:val="nil"/>
              <w:left w:val="nil"/>
              <w:bottom w:val="nil"/>
              <w:right w:val="nil"/>
            </w:tcBorders>
            <w:vAlign w:val="center"/>
            <w:hideMark/>
          </w:tcPr>
          <w:p w14:paraId="6E6F554B" w14:textId="77777777" w:rsidR="00920F39" w:rsidRPr="00920F39" w:rsidRDefault="00920F39" w:rsidP="00920F39">
            <w:pPr>
              <w:spacing w:after="0" w:line="240" w:lineRule="auto"/>
              <w:rPr>
                <w:rFonts w:ascii="Arial" w:eastAsia="Times New Roman" w:hAnsi="Arial" w:cs="Arial"/>
                <w:sz w:val="36"/>
                <w:szCs w:val="36"/>
              </w:rPr>
            </w:pP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0280F9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T1D</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5BEBCD2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0.764 ± 0.252</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002955B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0.003 ± 0.005</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CC90D97"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0.09 ± 0.091</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581B2CB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0.091 ± 0.209</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258FBFC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0.052 ± 0.069</w:t>
            </w:r>
          </w:p>
        </w:tc>
      </w:tr>
      <w:tr w:rsidR="00920F39" w:rsidRPr="00920F39" w14:paraId="14CD58C1" w14:textId="77777777" w:rsidTr="00D846FE">
        <w:trPr>
          <w:trHeight w:val="297"/>
        </w:trPr>
        <w:tc>
          <w:tcPr>
            <w:tcW w:w="1381" w:type="dxa"/>
            <w:vMerge w:val="restart"/>
            <w:tcBorders>
              <w:top w:val="nil"/>
              <w:left w:val="nil"/>
              <w:bottom w:val="nil"/>
              <w:right w:val="nil"/>
            </w:tcBorders>
            <w:shd w:val="clear" w:color="auto" w:fill="auto"/>
            <w:tcMar>
              <w:top w:w="15" w:type="dxa"/>
              <w:left w:w="68" w:type="dxa"/>
              <w:bottom w:w="0" w:type="dxa"/>
              <w:right w:w="68" w:type="dxa"/>
            </w:tcMar>
            <w:vAlign w:val="center"/>
            <w:hideMark/>
          </w:tcPr>
          <w:p w14:paraId="44E4963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Vaginal</w:t>
            </w:r>
          </w:p>
        </w:tc>
        <w:tc>
          <w:tcPr>
            <w:tcW w:w="1121" w:type="dxa"/>
            <w:vMerge w:val="restart"/>
            <w:tcBorders>
              <w:top w:val="nil"/>
              <w:left w:val="nil"/>
              <w:bottom w:val="nil"/>
              <w:right w:val="nil"/>
            </w:tcBorders>
            <w:shd w:val="clear" w:color="auto" w:fill="auto"/>
            <w:tcMar>
              <w:top w:w="15" w:type="dxa"/>
              <w:left w:w="68" w:type="dxa"/>
              <w:bottom w:w="0" w:type="dxa"/>
              <w:right w:w="68" w:type="dxa"/>
            </w:tcMar>
            <w:vAlign w:val="center"/>
            <w:hideMark/>
          </w:tcPr>
          <w:p w14:paraId="10640AA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Ear</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8F8C157"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Control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A1E144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0.595 ± 0.311</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5EFDA4D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0.052 ± 0.092</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3A8AD6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0.09 ± 0.096</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39115390"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0.18 ± 0.247</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68BF7A8D"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0.083 ± 0.105</w:t>
            </w:r>
          </w:p>
        </w:tc>
      </w:tr>
      <w:tr w:rsidR="00920F39" w:rsidRPr="00920F39" w14:paraId="3005798B" w14:textId="77777777" w:rsidTr="00D846FE">
        <w:trPr>
          <w:trHeight w:val="297"/>
        </w:trPr>
        <w:tc>
          <w:tcPr>
            <w:tcW w:w="0" w:type="auto"/>
            <w:vMerge/>
            <w:tcBorders>
              <w:top w:val="nil"/>
              <w:left w:val="nil"/>
              <w:bottom w:val="nil"/>
              <w:right w:val="nil"/>
            </w:tcBorders>
            <w:vAlign w:val="center"/>
            <w:hideMark/>
          </w:tcPr>
          <w:p w14:paraId="24D29C50" w14:textId="77777777" w:rsidR="00920F39" w:rsidRPr="00920F39" w:rsidRDefault="00920F39" w:rsidP="00920F39">
            <w:pPr>
              <w:spacing w:after="0" w:line="240" w:lineRule="auto"/>
              <w:rPr>
                <w:rFonts w:ascii="Arial" w:eastAsia="Times New Roman" w:hAnsi="Arial" w:cs="Arial"/>
                <w:sz w:val="36"/>
                <w:szCs w:val="36"/>
              </w:rPr>
            </w:pPr>
          </w:p>
        </w:tc>
        <w:tc>
          <w:tcPr>
            <w:tcW w:w="0" w:type="auto"/>
            <w:vMerge/>
            <w:tcBorders>
              <w:top w:val="nil"/>
              <w:left w:val="nil"/>
              <w:bottom w:val="nil"/>
              <w:right w:val="nil"/>
            </w:tcBorders>
            <w:vAlign w:val="center"/>
            <w:hideMark/>
          </w:tcPr>
          <w:p w14:paraId="3EC36561" w14:textId="77777777" w:rsidR="00920F39" w:rsidRPr="00920F39" w:rsidRDefault="00920F39" w:rsidP="00920F39">
            <w:pPr>
              <w:spacing w:after="0" w:line="240" w:lineRule="auto"/>
              <w:rPr>
                <w:rFonts w:ascii="Arial" w:eastAsia="Times New Roman" w:hAnsi="Arial" w:cs="Arial"/>
                <w:sz w:val="36"/>
                <w:szCs w:val="36"/>
              </w:rPr>
            </w:pP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9151C8B"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T1D</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9F4E652"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0.832 ± 0.198</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7334D23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0.007 ± 0.011</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C71A6E7"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0.051 ± 0.076</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3F1CCFCC"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0.08 ± 0.174</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4F5CA3D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 ± 0.047</w:t>
            </w:r>
          </w:p>
        </w:tc>
      </w:tr>
      <w:tr w:rsidR="00920F39" w:rsidRPr="00920F39" w14:paraId="67BFE679" w14:textId="77777777" w:rsidTr="00D846FE">
        <w:trPr>
          <w:trHeight w:val="297"/>
        </w:trPr>
        <w:tc>
          <w:tcPr>
            <w:tcW w:w="0" w:type="auto"/>
            <w:vMerge/>
            <w:tcBorders>
              <w:top w:val="nil"/>
              <w:left w:val="nil"/>
              <w:bottom w:val="nil"/>
              <w:right w:val="nil"/>
            </w:tcBorders>
            <w:vAlign w:val="center"/>
            <w:hideMark/>
          </w:tcPr>
          <w:p w14:paraId="5D14A38F" w14:textId="77777777" w:rsidR="00920F39" w:rsidRPr="00920F39" w:rsidRDefault="00920F39" w:rsidP="00920F39">
            <w:pPr>
              <w:spacing w:after="0" w:line="240" w:lineRule="auto"/>
              <w:rPr>
                <w:rFonts w:ascii="Arial" w:eastAsia="Times New Roman" w:hAnsi="Arial" w:cs="Arial"/>
                <w:sz w:val="36"/>
                <w:szCs w:val="36"/>
              </w:rPr>
            </w:pPr>
          </w:p>
        </w:tc>
        <w:tc>
          <w:tcPr>
            <w:tcW w:w="1121" w:type="dxa"/>
            <w:vMerge w:val="restart"/>
            <w:tcBorders>
              <w:top w:val="nil"/>
              <w:left w:val="nil"/>
              <w:bottom w:val="nil"/>
              <w:right w:val="nil"/>
            </w:tcBorders>
            <w:shd w:val="clear" w:color="auto" w:fill="auto"/>
            <w:tcMar>
              <w:top w:w="15" w:type="dxa"/>
              <w:left w:w="68" w:type="dxa"/>
              <w:bottom w:w="0" w:type="dxa"/>
              <w:right w:w="68" w:type="dxa"/>
            </w:tcMar>
            <w:vAlign w:val="center"/>
            <w:hideMark/>
          </w:tcPr>
          <w:p w14:paraId="7BD38B86"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Stool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7D9C8711"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Control</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78F68CE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0.653 ± 0.317</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2587C81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0.006 ± 0.006</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513FC49"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0.038 ± 0.024</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AC265DE"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0.282 ± 0.331</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1ECADE5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0.021 ± 0.014</w:t>
            </w:r>
          </w:p>
        </w:tc>
      </w:tr>
      <w:tr w:rsidR="00920F39" w:rsidRPr="00920F39" w14:paraId="5FB4E352" w14:textId="77777777" w:rsidTr="00D846FE">
        <w:trPr>
          <w:trHeight w:val="297"/>
        </w:trPr>
        <w:tc>
          <w:tcPr>
            <w:tcW w:w="0" w:type="auto"/>
            <w:vMerge/>
            <w:tcBorders>
              <w:top w:val="nil"/>
              <w:left w:val="nil"/>
              <w:bottom w:val="nil"/>
              <w:right w:val="nil"/>
            </w:tcBorders>
            <w:vAlign w:val="center"/>
            <w:hideMark/>
          </w:tcPr>
          <w:p w14:paraId="47F9A55F" w14:textId="77777777" w:rsidR="00920F39" w:rsidRPr="00920F39" w:rsidRDefault="00920F39" w:rsidP="00920F39">
            <w:pPr>
              <w:spacing w:after="0" w:line="240" w:lineRule="auto"/>
              <w:rPr>
                <w:rFonts w:ascii="Arial" w:eastAsia="Times New Roman" w:hAnsi="Arial" w:cs="Arial"/>
                <w:sz w:val="36"/>
                <w:szCs w:val="36"/>
              </w:rPr>
            </w:pPr>
          </w:p>
        </w:tc>
        <w:tc>
          <w:tcPr>
            <w:tcW w:w="0" w:type="auto"/>
            <w:vMerge/>
            <w:tcBorders>
              <w:top w:val="nil"/>
              <w:left w:val="nil"/>
              <w:bottom w:val="nil"/>
              <w:right w:val="nil"/>
            </w:tcBorders>
            <w:vAlign w:val="center"/>
            <w:hideMark/>
          </w:tcPr>
          <w:p w14:paraId="4F49F930" w14:textId="77777777" w:rsidR="00920F39" w:rsidRPr="00920F39" w:rsidRDefault="00920F39" w:rsidP="00920F39">
            <w:pPr>
              <w:spacing w:after="0" w:line="240" w:lineRule="auto"/>
              <w:rPr>
                <w:rFonts w:ascii="Arial" w:eastAsia="Times New Roman" w:hAnsi="Arial" w:cs="Arial"/>
                <w:sz w:val="36"/>
                <w:szCs w:val="36"/>
              </w:rPr>
            </w:pP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63E991CF"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T1D</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128B9735" w14:textId="77777777" w:rsidR="00920F39" w:rsidRPr="00920F39" w:rsidRDefault="00920F39" w:rsidP="00920F39">
            <w:pPr>
              <w:spacing w:after="0" w:line="256" w:lineRule="auto"/>
              <w:jc w:val="center"/>
              <w:rPr>
                <w:rFonts w:ascii="Arial" w:eastAsia="Times New Roman" w:hAnsi="Arial" w:cs="Arial"/>
                <w:sz w:val="36"/>
                <w:szCs w:val="36"/>
              </w:rPr>
            </w:pPr>
            <w:commentRangeStart w:id="2"/>
            <w:r w:rsidRPr="00920F39">
              <w:rPr>
                <w:rFonts w:ascii="Calibri" w:eastAsia="Times New Roman" w:hAnsi="Calibri" w:cs="Calibri"/>
                <w:color w:val="000000"/>
                <w:kern w:val="24"/>
              </w:rPr>
              <w:t>0.545 ± 0.336</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10347A0A"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0.02 ± 0.062</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483A846F"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0.053 ± 0.053</w:t>
            </w:r>
          </w:p>
        </w:tc>
        <w:tc>
          <w:tcPr>
            <w:tcW w:w="1823" w:type="dxa"/>
            <w:tcBorders>
              <w:top w:val="nil"/>
              <w:left w:val="nil"/>
              <w:bottom w:val="nil"/>
              <w:right w:val="nil"/>
            </w:tcBorders>
            <w:shd w:val="clear" w:color="auto" w:fill="auto"/>
            <w:tcMar>
              <w:top w:w="15" w:type="dxa"/>
              <w:left w:w="68" w:type="dxa"/>
              <w:bottom w:w="0" w:type="dxa"/>
              <w:right w:w="68" w:type="dxa"/>
            </w:tcMar>
            <w:vAlign w:val="center"/>
            <w:hideMark/>
          </w:tcPr>
          <w:p w14:paraId="07F77603"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0.346 ± 0.343</w:t>
            </w:r>
          </w:p>
        </w:tc>
        <w:tc>
          <w:tcPr>
            <w:tcW w:w="1863" w:type="dxa"/>
            <w:tcBorders>
              <w:top w:val="nil"/>
              <w:left w:val="nil"/>
              <w:bottom w:val="nil"/>
              <w:right w:val="nil"/>
            </w:tcBorders>
            <w:shd w:val="clear" w:color="auto" w:fill="auto"/>
            <w:tcMar>
              <w:top w:w="15" w:type="dxa"/>
              <w:left w:w="68" w:type="dxa"/>
              <w:bottom w:w="0" w:type="dxa"/>
              <w:right w:w="68" w:type="dxa"/>
            </w:tcMar>
            <w:vAlign w:val="center"/>
            <w:hideMark/>
          </w:tcPr>
          <w:p w14:paraId="3B7702D8" w14:textId="77777777" w:rsidR="00920F39" w:rsidRPr="00920F39" w:rsidRDefault="00920F39" w:rsidP="00920F39">
            <w:pPr>
              <w:spacing w:after="0" w:line="256" w:lineRule="auto"/>
              <w:jc w:val="center"/>
              <w:rPr>
                <w:rFonts w:ascii="Arial" w:eastAsia="Times New Roman" w:hAnsi="Arial" w:cs="Arial"/>
                <w:sz w:val="36"/>
                <w:szCs w:val="36"/>
              </w:rPr>
            </w:pPr>
            <w:r w:rsidRPr="00920F39">
              <w:rPr>
                <w:rFonts w:ascii="Calibri" w:eastAsia="Times New Roman" w:hAnsi="Calibri" w:cs="Calibri"/>
                <w:color w:val="000000"/>
                <w:kern w:val="24"/>
              </w:rPr>
              <w:t>0.036 ± 0.042</w:t>
            </w:r>
            <w:commentRangeEnd w:id="2"/>
            <w:r w:rsidR="00AF5F5F">
              <w:rPr>
                <w:rStyle w:val="CommentReference"/>
              </w:rPr>
              <w:commentReference w:id="2"/>
            </w:r>
          </w:p>
        </w:tc>
      </w:tr>
    </w:tbl>
    <w:p w14:paraId="201E5218" w14:textId="4DF3DE72" w:rsidR="00EA573A" w:rsidRPr="00920F39" w:rsidRDefault="00EA573A" w:rsidP="00A548A8">
      <w:pPr>
        <w:tabs>
          <w:tab w:val="num" w:pos="720"/>
        </w:tabs>
        <w:jc w:val="both"/>
        <w:rPr>
          <w:rFonts w:cstheme="minorHAnsi"/>
        </w:rPr>
      </w:pPr>
    </w:p>
    <w:sectPr w:rsidR="00EA573A" w:rsidRPr="00920F39" w:rsidSect="00D846F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agaard, Kjersti Marie" w:date="2022-07-31T13:40:00Z" w:initials="AKM">
    <w:p w14:paraId="401FFBED" w14:textId="383C603E" w:rsidR="00AF5F5F" w:rsidRDefault="00AF5F5F">
      <w:pPr>
        <w:pStyle w:val="CommentText"/>
      </w:pPr>
      <w:r>
        <w:rPr>
          <w:rStyle w:val="CommentReference"/>
        </w:rPr>
        <w:annotationRef/>
      </w:r>
      <w:r>
        <w:t>Isnt this fraction (or decimal percent)?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1FFB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FFBED" w16cid:durableId="269107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488"/>
    <w:multiLevelType w:val="hybridMultilevel"/>
    <w:tmpl w:val="38DA8EE6"/>
    <w:lvl w:ilvl="0" w:tplc="990014EC">
      <w:start w:val="1"/>
      <w:numFmt w:val="bullet"/>
      <w:lvlText w:val="•"/>
      <w:lvlJc w:val="left"/>
      <w:pPr>
        <w:tabs>
          <w:tab w:val="num" w:pos="720"/>
        </w:tabs>
        <w:ind w:left="720" w:hanging="360"/>
      </w:pPr>
      <w:rPr>
        <w:rFonts w:ascii="Arial" w:hAnsi="Arial" w:hint="default"/>
      </w:rPr>
    </w:lvl>
    <w:lvl w:ilvl="1" w:tplc="158AD566" w:tentative="1">
      <w:start w:val="1"/>
      <w:numFmt w:val="bullet"/>
      <w:lvlText w:val="•"/>
      <w:lvlJc w:val="left"/>
      <w:pPr>
        <w:tabs>
          <w:tab w:val="num" w:pos="1440"/>
        </w:tabs>
        <w:ind w:left="1440" w:hanging="360"/>
      </w:pPr>
      <w:rPr>
        <w:rFonts w:ascii="Arial" w:hAnsi="Arial" w:hint="default"/>
      </w:rPr>
    </w:lvl>
    <w:lvl w:ilvl="2" w:tplc="41DAA2E6" w:tentative="1">
      <w:start w:val="1"/>
      <w:numFmt w:val="bullet"/>
      <w:lvlText w:val="•"/>
      <w:lvlJc w:val="left"/>
      <w:pPr>
        <w:tabs>
          <w:tab w:val="num" w:pos="2160"/>
        </w:tabs>
        <w:ind w:left="2160" w:hanging="360"/>
      </w:pPr>
      <w:rPr>
        <w:rFonts w:ascii="Arial" w:hAnsi="Arial" w:hint="default"/>
      </w:rPr>
    </w:lvl>
    <w:lvl w:ilvl="3" w:tplc="EEAE1FC2" w:tentative="1">
      <w:start w:val="1"/>
      <w:numFmt w:val="bullet"/>
      <w:lvlText w:val="•"/>
      <w:lvlJc w:val="left"/>
      <w:pPr>
        <w:tabs>
          <w:tab w:val="num" w:pos="2880"/>
        </w:tabs>
        <w:ind w:left="2880" w:hanging="360"/>
      </w:pPr>
      <w:rPr>
        <w:rFonts w:ascii="Arial" w:hAnsi="Arial" w:hint="default"/>
      </w:rPr>
    </w:lvl>
    <w:lvl w:ilvl="4" w:tplc="BAFCE2AC" w:tentative="1">
      <w:start w:val="1"/>
      <w:numFmt w:val="bullet"/>
      <w:lvlText w:val="•"/>
      <w:lvlJc w:val="left"/>
      <w:pPr>
        <w:tabs>
          <w:tab w:val="num" w:pos="3600"/>
        </w:tabs>
        <w:ind w:left="3600" w:hanging="360"/>
      </w:pPr>
      <w:rPr>
        <w:rFonts w:ascii="Arial" w:hAnsi="Arial" w:hint="default"/>
      </w:rPr>
    </w:lvl>
    <w:lvl w:ilvl="5" w:tplc="A1DE30BC" w:tentative="1">
      <w:start w:val="1"/>
      <w:numFmt w:val="bullet"/>
      <w:lvlText w:val="•"/>
      <w:lvlJc w:val="left"/>
      <w:pPr>
        <w:tabs>
          <w:tab w:val="num" w:pos="4320"/>
        </w:tabs>
        <w:ind w:left="4320" w:hanging="360"/>
      </w:pPr>
      <w:rPr>
        <w:rFonts w:ascii="Arial" w:hAnsi="Arial" w:hint="default"/>
      </w:rPr>
    </w:lvl>
    <w:lvl w:ilvl="6" w:tplc="FB9294E8" w:tentative="1">
      <w:start w:val="1"/>
      <w:numFmt w:val="bullet"/>
      <w:lvlText w:val="•"/>
      <w:lvlJc w:val="left"/>
      <w:pPr>
        <w:tabs>
          <w:tab w:val="num" w:pos="5040"/>
        </w:tabs>
        <w:ind w:left="5040" w:hanging="360"/>
      </w:pPr>
      <w:rPr>
        <w:rFonts w:ascii="Arial" w:hAnsi="Arial" w:hint="default"/>
      </w:rPr>
    </w:lvl>
    <w:lvl w:ilvl="7" w:tplc="1C067050" w:tentative="1">
      <w:start w:val="1"/>
      <w:numFmt w:val="bullet"/>
      <w:lvlText w:val="•"/>
      <w:lvlJc w:val="left"/>
      <w:pPr>
        <w:tabs>
          <w:tab w:val="num" w:pos="5760"/>
        </w:tabs>
        <w:ind w:left="5760" w:hanging="360"/>
      </w:pPr>
      <w:rPr>
        <w:rFonts w:ascii="Arial" w:hAnsi="Arial" w:hint="default"/>
      </w:rPr>
    </w:lvl>
    <w:lvl w:ilvl="8" w:tplc="2AB254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3D353C"/>
    <w:multiLevelType w:val="hybridMultilevel"/>
    <w:tmpl w:val="033C6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9272D"/>
    <w:multiLevelType w:val="hybridMultilevel"/>
    <w:tmpl w:val="677C68F2"/>
    <w:lvl w:ilvl="0" w:tplc="ADF070CE">
      <w:start w:val="1"/>
      <w:numFmt w:val="bullet"/>
      <w:lvlText w:val="•"/>
      <w:lvlJc w:val="left"/>
      <w:pPr>
        <w:tabs>
          <w:tab w:val="num" w:pos="720"/>
        </w:tabs>
        <w:ind w:left="720" w:hanging="360"/>
      </w:pPr>
      <w:rPr>
        <w:rFonts w:ascii="Arial" w:hAnsi="Arial" w:hint="default"/>
      </w:rPr>
    </w:lvl>
    <w:lvl w:ilvl="1" w:tplc="16D2F366" w:tentative="1">
      <w:start w:val="1"/>
      <w:numFmt w:val="bullet"/>
      <w:lvlText w:val="•"/>
      <w:lvlJc w:val="left"/>
      <w:pPr>
        <w:tabs>
          <w:tab w:val="num" w:pos="1440"/>
        </w:tabs>
        <w:ind w:left="1440" w:hanging="360"/>
      </w:pPr>
      <w:rPr>
        <w:rFonts w:ascii="Arial" w:hAnsi="Arial" w:hint="default"/>
      </w:rPr>
    </w:lvl>
    <w:lvl w:ilvl="2" w:tplc="2E608E08" w:tentative="1">
      <w:start w:val="1"/>
      <w:numFmt w:val="bullet"/>
      <w:lvlText w:val="•"/>
      <w:lvlJc w:val="left"/>
      <w:pPr>
        <w:tabs>
          <w:tab w:val="num" w:pos="2160"/>
        </w:tabs>
        <w:ind w:left="2160" w:hanging="360"/>
      </w:pPr>
      <w:rPr>
        <w:rFonts w:ascii="Arial" w:hAnsi="Arial" w:hint="default"/>
      </w:rPr>
    </w:lvl>
    <w:lvl w:ilvl="3" w:tplc="3230C77C" w:tentative="1">
      <w:start w:val="1"/>
      <w:numFmt w:val="bullet"/>
      <w:lvlText w:val="•"/>
      <w:lvlJc w:val="left"/>
      <w:pPr>
        <w:tabs>
          <w:tab w:val="num" w:pos="2880"/>
        </w:tabs>
        <w:ind w:left="2880" w:hanging="360"/>
      </w:pPr>
      <w:rPr>
        <w:rFonts w:ascii="Arial" w:hAnsi="Arial" w:hint="default"/>
      </w:rPr>
    </w:lvl>
    <w:lvl w:ilvl="4" w:tplc="9E9E99AE" w:tentative="1">
      <w:start w:val="1"/>
      <w:numFmt w:val="bullet"/>
      <w:lvlText w:val="•"/>
      <w:lvlJc w:val="left"/>
      <w:pPr>
        <w:tabs>
          <w:tab w:val="num" w:pos="3600"/>
        </w:tabs>
        <w:ind w:left="3600" w:hanging="360"/>
      </w:pPr>
      <w:rPr>
        <w:rFonts w:ascii="Arial" w:hAnsi="Arial" w:hint="default"/>
      </w:rPr>
    </w:lvl>
    <w:lvl w:ilvl="5" w:tplc="3E0CC74E" w:tentative="1">
      <w:start w:val="1"/>
      <w:numFmt w:val="bullet"/>
      <w:lvlText w:val="•"/>
      <w:lvlJc w:val="left"/>
      <w:pPr>
        <w:tabs>
          <w:tab w:val="num" w:pos="4320"/>
        </w:tabs>
        <w:ind w:left="4320" w:hanging="360"/>
      </w:pPr>
      <w:rPr>
        <w:rFonts w:ascii="Arial" w:hAnsi="Arial" w:hint="default"/>
      </w:rPr>
    </w:lvl>
    <w:lvl w:ilvl="6" w:tplc="B5F60C1C" w:tentative="1">
      <w:start w:val="1"/>
      <w:numFmt w:val="bullet"/>
      <w:lvlText w:val="•"/>
      <w:lvlJc w:val="left"/>
      <w:pPr>
        <w:tabs>
          <w:tab w:val="num" w:pos="5040"/>
        </w:tabs>
        <w:ind w:left="5040" w:hanging="360"/>
      </w:pPr>
      <w:rPr>
        <w:rFonts w:ascii="Arial" w:hAnsi="Arial" w:hint="default"/>
      </w:rPr>
    </w:lvl>
    <w:lvl w:ilvl="7" w:tplc="0B700EEC" w:tentative="1">
      <w:start w:val="1"/>
      <w:numFmt w:val="bullet"/>
      <w:lvlText w:val="•"/>
      <w:lvlJc w:val="left"/>
      <w:pPr>
        <w:tabs>
          <w:tab w:val="num" w:pos="5760"/>
        </w:tabs>
        <w:ind w:left="5760" w:hanging="360"/>
      </w:pPr>
      <w:rPr>
        <w:rFonts w:ascii="Arial" w:hAnsi="Arial" w:hint="default"/>
      </w:rPr>
    </w:lvl>
    <w:lvl w:ilvl="8" w:tplc="D10AF8E4" w:tentative="1">
      <w:start w:val="1"/>
      <w:numFmt w:val="bullet"/>
      <w:lvlText w:val="•"/>
      <w:lvlJc w:val="left"/>
      <w:pPr>
        <w:tabs>
          <w:tab w:val="num" w:pos="6480"/>
        </w:tabs>
        <w:ind w:left="6480" w:hanging="360"/>
      </w:pPr>
      <w:rPr>
        <w:rFonts w:ascii="Arial" w:hAnsi="Arial" w:hint="default"/>
      </w:rPr>
    </w:lvl>
  </w:abstractNum>
  <w:num w:numId="1" w16cid:durableId="1508861526">
    <w:abstractNumId w:val="2"/>
  </w:num>
  <w:num w:numId="2" w16cid:durableId="1287546135">
    <w:abstractNumId w:val="0"/>
  </w:num>
  <w:num w:numId="3" w16cid:durableId="385110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gaard, Kjersti Marie">
    <w15:presenceInfo w15:providerId="AD" w15:userId="S-1-5-21-117609710-220523388-725345543-66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A8"/>
    <w:rsid w:val="0000653F"/>
    <w:rsid w:val="00032AA6"/>
    <w:rsid w:val="00073C64"/>
    <w:rsid w:val="00092A21"/>
    <w:rsid w:val="0009693F"/>
    <w:rsid w:val="000D0580"/>
    <w:rsid w:val="001574BE"/>
    <w:rsid w:val="00193DE8"/>
    <w:rsid w:val="001C0356"/>
    <w:rsid w:val="001D6A44"/>
    <w:rsid w:val="001E2590"/>
    <w:rsid w:val="001E277F"/>
    <w:rsid w:val="00225863"/>
    <w:rsid w:val="00226BFE"/>
    <w:rsid w:val="00245C22"/>
    <w:rsid w:val="00276F7D"/>
    <w:rsid w:val="002C285E"/>
    <w:rsid w:val="002F1453"/>
    <w:rsid w:val="002F69CD"/>
    <w:rsid w:val="0031281E"/>
    <w:rsid w:val="00380C62"/>
    <w:rsid w:val="00382BC9"/>
    <w:rsid w:val="00413D17"/>
    <w:rsid w:val="00413FD3"/>
    <w:rsid w:val="00421537"/>
    <w:rsid w:val="00431D54"/>
    <w:rsid w:val="004327CB"/>
    <w:rsid w:val="00474221"/>
    <w:rsid w:val="00482DC4"/>
    <w:rsid w:val="004C57FC"/>
    <w:rsid w:val="00526B46"/>
    <w:rsid w:val="0056089B"/>
    <w:rsid w:val="0056791D"/>
    <w:rsid w:val="00572FA9"/>
    <w:rsid w:val="00574E66"/>
    <w:rsid w:val="0058665B"/>
    <w:rsid w:val="005F2920"/>
    <w:rsid w:val="005F2929"/>
    <w:rsid w:val="0061061D"/>
    <w:rsid w:val="00613E3E"/>
    <w:rsid w:val="00642C1D"/>
    <w:rsid w:val="00676857"/>
    <w:rsid w:val="00680A74"/>
    <w:rsid w:val="00682F6A"/>
    <w:rsid w:val="006957C1"/>
    <w:rsid w:val="006A00C2"/>
    <w:rsid w:val="006A5827"/>
    <w:rsid w:val="006E3FA3"/>
    <w:rsid w:val="00713CD2"/>
    <w:rsid w:val="00723F85"/>
    <w:rsid w:val="00744BEB"/>
    <w:rsid w:val="00776412"/>
    <w:rsid w:val="00785001"/>
    <w:rsid w:val="007B4CCB"/>
    <w:rsid w:val="007C0E57"/>
    <w:rsid w:val="007C7319"/>
    <w:rsid w:val="007D61CB"/>
    <w:rsid w:val="007F7502"/>
    <w:rsid w:val="00850C96"/>
    <w:rsid w:val="00856C4E"/>
    <w:rsid w:val="008731D3"/>
    <w:rsid w:val="008B6DCF"/>
    <w:rsid w:val="008D61A2"/>
    <w:rsid w:val="00912ED0"/>
    <w:rsid w:val="00920F39"/>
    <w:rsid w:val="009236AA"/>
    <w:rsid w:val="009423FF"/>
    <w:rsid w:val="00943C9E"/>
    <w:rsid w:val="00954209"/>
    <w:rsid w:val="009702E5"/>
    <w:rsid w:val="0098052B"/>
    <w:rsid w:val="00A548A8"/>
    <w:rsid w:val="00A94FB4"/>
    <w:rsid w:val="00AF4562"/>
    <w:rsid w:val="00AF5796"/>
    <w:rsid w:val="00AF5F5F"/>
    <w:rsid w:val="00B02B17"/>
    <w:rsid w:val="00B301F2"/>
    <w:rsid w:val="00BA541F"/>
    <w:rsid w:val="00BD153D"/>
    <w:rsid w:val="00BF01F3"/>
    <w:rsid w:val="00BF0883"/>
    <w:rsid w:val="00BF7ED9"/>
    <w:rsid w:val="00C05811"/>
    <w:rsid w:val="00C23B76"/>
    <w:rsid w:val="00C2415A"/>
    <w:rsid w:val="00C40ADA"/>
    <w:rsid w:val="00C44AE6"/>
    <w:rsid w:val="00CB06C8"/>
    <w:rsid w:val="00CD0351"/>
    <w:rsid w:val="00CD3ED7"/>
    <w:rsid w:val="00CE1F8E"/>
    <w:rsid w:val="00CE2233"/>
    <w:rsid w:val="00CE2E60"/>
    <w:rsid w:val="00CE7CC7"/>
    <w:rsid w:val="00CF157D"/>
    <w:rsid w:val="00D150C0"/>
    <w:rsid w:val="00D20E6C"/>
    <w:rsid w:val="00D846FE"/>
    <w:rsid w:val="00DA6494"/>
    <w:rsid w:val="00DB2F6A"/>
    <w:rsid w:val="00DD6D8A"/>
    <w:rsid w:val="00E127EF"/>
    <w:rsid w:val="00E27ADC"/>
    <w:rsid w:val="00E45B05"/>
    <w:rsid w:val="00E54AD7"/>
    <w:rsid w:val="00E57932"/>
    <w:rsid w:val="00EA573A"/>
    <w:rsid w:val="00EE7E26"/>
    <w:rsid w:val="00F30D4B"/>
    <w:rsid w:val="00F34C55"/>
    <w:rsid w:val="00F55B95"/>
    <w:rsid w:val="00F708FA"/>
    <w:rsid w:val="00FC10A9"/>
    <w:rsid w:val="00FC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56C8"/>
  <w15:chartTrackingRefBased/>
  <w15:docId w15:val="{0149849D-FE6C-408B-8A21-6E2CF154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920F39"/>
    <w:pPr>
      <w:keepNext/>
      <w:spacing w:after="200" w:line="240" w:lineRule="auto"/>
    </w:pPr>
    <w:rPr>
      <w:rFonts w:eastAsia="Times New Roman" w:cstheme="minorHAnsi"/>
      <w:b/>
      <w:iCs/>
      <w:sz w:val="24"/>
      <w:szCs w:val="18"/>
    </w:rPr>
  </w:style>
  <w:style w:type="character" w:styleId="CommentReference">
    <w:name w:val="annotation reference"/>
    <w:basedOn w:val="DefaultParagraphFont"/>
    <w:uiPriority w:val="99"/>
    <w:semiHidden/>
    <w:unhideWhenUsed/>
    <w:rsid w:val="00C44AE6"/>
    <w:rPr>
      <w:sz w:val="16"/>
      <w:szCs w:val="16"/>
    </w:rPr>
  </w:style>
  <w:style w:type="paragraph" w:styleId="CommentText">
    <w:name w:val="annotation text"/>
    <w:basedOn w:val="Normal"/>
    <w:link w:val="CommentTextChar"/>
    <w:uiPriority w:val="99"/>
    <w:semiHidden/>
    <w:unhideWhenUsed/>
    <w:rsid w:val="00C44AE6"/>
    <w:pPr>
      <w:spacing w:line="240" w:lineRule="auto"/>
    </w:pPr>
    <w:rPr>
      <w:sz w:val="20"/>
      <w:szCs w:val="20"/>
    </w:rPr>
  </w:style>
  <w:style w:type="character" w:customStyle="1" w:styleId="CommentTextChar">
    <w:name w:val="Comment Text Char"/>
    <w:basedOn w:val="DefaultParagraphFont"/>
    <w:link w:val="CommentText"/>
    <w:uiPriority w:val="99"/>
    <w:semiHidden/>
    <w:rsid w:val="00C44AE6"/>
    <w:rPr>
      <w:sz w:val="20"/>
      <w:szCs w:val="20"/>
    </w:rPr>
  </w:style>
  <w:style w:type="paragraph" w:styleId="CommentSubject">
    <w:name w:val="annotation subject"/>
    <w:basedOn w:val="CommentText"/>
    <w:next w:val="CommentText"/>
    <w:link w:val="CommentSubjectChar"/>
    <w:uiPriority w:val="99"/>
    <w:semiHidden/>
    <w:unhideWhenUsed/>
    <w:rsid w:val="00C44AE6"/>
    <w:rPr>
      <w:b/>
      <w:bCs/>
    </w:rPr>
  </w:style>
  <w:style w:type="character" w:customStyle="1" w:styleId="CommentSubjectChar">
    <w:name w:val="Comment Subject Char"/>
    <w:basedOn w:val="CommentTextChar"/>
    <w:link w:val="CommentSubject"/>
    <w:uiPriority w:val="99"/>
    <w:semiHidden/>
    <w:rsid w:val="00C44AE6"/>
    <w:rPr>
      <w:b/>
      <w:bCs/>
      <w:sz w:val="20"/>
      <w:szCs w:val="20"/>
    </w:rPr>
  </w:style>
  <w:style w:type="paragraph" w:styleId="BalloonText">
    <w:name w:val="Balloon Text"/>
    <w:basedOn w:val="Normal"/>
    <w:link w:val="BalloonTextChar"/>
    <w:uiPriority w:val="99"/>
    <w:semiHidden/>
    <w:unhideWhenUsed/>
    <w:rsid w:val="0087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1D3"/>
    <w:rPr>
      <w:rFonts w:ascii="Segoe UI" w:hAnsi="Segoe UI" w:cs="Segoe UI"/>
      <w:sz w:val="18"/>
      <w:szCs w:val="18"/>
    </w:rPr>
  </w:style>
  <w:style w:type="paragraph" w:styleId="ListParagraph">
    <w:name w:val="List Paragraph"/>
    <w:basedOn w:val="Normal"/>
    <w:uiPriority w:val="34"/>
    <w:qFormat/>
    <w:rsid w:val="002C285E"/>
    <w:pPr>
      <w:ind w:left="720"/>
      <w:contextualSpacing/>
    </w:pPr>
  </w:style>
  <w:style w:type="paragraph" w:styleId="Revision">
    <w:name w:val="Revision"/>
    <w:hidden/>
    <w:uiPriority w:val="99"/>
    <w:semiHidden/>
    <w:rsid w:val="00943C9E"/>
    <w:pPr>
      <w:spacing w:after="0" w:line="240" w:lineRule="auto"/>
    </w:pPr>
  </w:style>
  <w:style w:type="paragraph" w:styleId="NormalWeb">
    <w:name w:val="Normal (Web)"/>
    <w:basedOn w:val="Normal"/>
    <w:uiPriority w:val="99"/>
    <w:semiHidden/>
    <w:unhideWhenUsed/>
    <w:rsid w:val="00920F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1722">
      <w:bodyDiv w:val="1"/>
      <w:marLeft w:val="0"/>
      <w:marRight w:val="0"/>
      <w:marTop w:val="0"/>
      <w:marBottom w:val="0"/>
      <w:divBdr>
        <w:top w:val="none" w:sz="0" w:space="0" w:color="auto"/>
        <w:left w:val="none" w:sz="0" w:space="0" w:color="auto"/>
        <w:bottom w:val="none" w:sz="0" w:space="0" w:color="auto"/>
        <w:right w:val="none" w:sz="0" w:space="0" w:color="auto"/>
      </w:divBdr>
    </w:div>
    <w:div w:id="790175725">
      <w:bodyDiv w:val="1"/>
      <w:marLeft w:val="0"/>
      <w:marRight w:val="0"/>
      <w:marTop w:val="0"/>
      <w:marBottom w:val="0"/>
      <w:divBdr>
        <w:top w:val="none" w:sz="0" w:space="0" w:color="auto"/>
        <w:left w:val="none" w:sz="0" w:space="0" w:color="auto"/>
        <w:bottom w:val="none" w:sz="0" w:space="0" w:color="auto"/>
        <w:right w:val="none" w:sz="0" w:space="0" w:color="auto"/>
      </w:divBdr>
    </w:div>
    <w:div w:id="803348938">
      <w:bodyDiv w:val="1"/>
      <w:marLeft w:val="0"/>
      <w:marRight w:val="0"/>
      <w:marTop w:val="0"/>
      <w:marBottom w:val="0"/>
      <w:divBdr>
        <w:top w:val="none" w:sz="0" w:space="0" w:color="auto"/>
        <w:left w:val="none" w:sz="0" w:space="0" w:color="auto"/>
        <w:bottom w:val="none" w:sz="0" w:space="0" w:color="auto"/>
        <w:right w:val="none" w:sz="0" w:space="0" w:color="auto"/>
      </w:divBdr>
    </w:div>
    <w:div w:id="819538767">
      <w:bodyDiv w:val="1"/>
      <w:marLeft w:val="0"/>
      <w:marRight w:val="0"/>
      <w:marTop w:val="0"/>
      <w:marBottom w:val="0"/>
      <w:divBdr>
        <w:top w:val="none" w:sz="0" w:space="0" w:color="auto"/>
        <w:left w:val="none" w:sz="0" w:space="0" w:color="auto"/>
        <w:bottom w:val="none" w:sz="0" w:space="0" w:color="auto"/>
        <w:right w:val="none" w:sz="0" w:space="0" w:color="auto"/>
      </w:divBdr>
    </w:div>
    <w:div w:id="908081021">
      <w:bodyDiv w:val="1"/>
      <w:marLeft w:val="0"/>
      <w:marRight w:val="0"/>
      <w:marTop w:val="0"/>
      <w:marBottom w:val="0"/>
      <w:divBdr>
        <w:top w:val="none" w:sz="0" w:space="0" w:color="auto"/>
        <w:left w:val="none" w:sz="0" w:space="0" w:color="auto"/>
        <w:bottom w:val="none" w:sz="0" w:space="0" w:color="auto"/>
        <w:right w:val="none" w:sz="0" w:space="0" w:color="auto"/>
      </w:divBdr>
    </w:div>
    <w:div w:id="987978775">
      <w:bodyDiv w:val="1"/>
      <w:marLeft w:val="0"/>
      <w:marRight w:val="0"/>
      <w:marTop w:val="0"/>
      <w:marBottom w:val="0"/>
      <w:divBdr>
        <w:top w:val="none" w:sz="0" w:space="0" w:color="auto"/>
        <w:left w:val="none" w:sz="0" w:space="0" w:color="auto"/>
        <w:bottom w:val="none" w:sz="0" w:space="0" w:color="auto"/>
        <w:right w:val="none" w:sz="0" w:space="0" w:color="auto"/>
      </w:divBdr>
      <w:divsChild>
        <w:div w:id="487792277">
          <w:marLeft w:val="720"/>
          <w:marRight w:val="0"/>
          <w:marTop w:val="0"/>
          <w:marBottom w:val="0"/>
          <w:divBdr>
            <w:top w:val="none" w:sz="0" w:space="0" w:color="auto"/>
            <w:left w:val="none" w:sz="0" w:space="0" w:color="auto"/>
            <w:bottom w:val="none" w:sz="0" w:space="0" w:color="auto"/>
            <w:right w:val="none" w:sz="0" w:space="0" w:color="auto"/>
          </w:divBdr>
        </w:div>
        <w:div w:id="2023822814">
          <w:marLeft w:val="720"/>
          <w:marRight w:val="0"/>
          <w:marTop w:val="0"/>
          <w:marBottom w:val="0"/>
          <w:divBdr>
            <w:top w:val="none" w:sz="0" w:space="0" w:color="auto"/>
            <w:left w:val="none" w:sz="0" w:space="0" w:color="auto"/>
            <w:bottom w:val="none" w:sz="0" w:space="0" w:color="auto"/>
            <w:right w:val="none" w:sz="0" w:space="0" w:color="auto"/>
          </w:divBdr>
        </w:div>
        <w:div w:id="177815311">
          <w:marLeft w:val="720"/>
          <w:marRight w:val="0"/>
          <w:marTop w:val="0"/>
          <w:marBottom w:val="0"/>
          <w:divBdr>
            <w:top w:val="none" w:sz="0" w:space="0" w:color="auto"/>
            <w:left w:val="none" w:sz="0" w:space="0" w:color="auto"/>
            <w:bottom w:val="none" w:sz="0" w:space="0" w:color="auto"/>
            <w:right w:val="none" w:sz="0" w:space="0" w:color="auto"/>
          </w:divBdr>
        </w:div>
        <w:div w:id="1574051243">
          <w:marLeft w:val="720"/>
          <w:marRight w:val="0"/>
          <w:marTop w:val="0"/>
          <w:marBottom w:val="0"/>
          <w:divBdr>
            <w:top w:val="none" w:sz="0" w:space="0" w:color="auto"/>
            <w:left w:val="none" w:sz="0" w:space="0" w:color="auto"/>
            <w:bottom w:val="none" w:sz="0" w:space="0" w:color="auto"/>
            <w:right w:val="none" w:sz="0" w:space="0" w:color="auto"/>
          </w:divBdr>
        </w:div>
      </w:divsChild>
    </w:div>
    <w:div w:id="1125391842">
      <w:bodyDiv w:val="1"/>
      <w:marLeft w:val="0"/>
      <w:marRight w:val="0"/>
      <w:marTop w:val="0"/>
      <w:marBottom w:val="0"/>
      <w:divBdr>
        <w:top w:val="none" w:sz="0" w:space="0" w:color="auto"/>
        <w:left w:val="none" w:sz="0" w:space="0" w:color="auto"/>
        <w:bottom w:val="none" w:sz="0" w:space="0" w:color="auto"/>
        <w:right w:val="none" w:sz="0" w:space="0" w:color="auto"/>
      </w:divBdr>
      <w:divsChild>
        <w:div w:id="1474175412">
          <w:marLeft w:val="0"/>
          <w:marRight w:val="0"/>
          <w:marTop w:val="150"/>
          <w:marBottom w:val="270"/>
          <w:divBdr>
            <w:top w:val="none" w:sz="0" w:space="0" w:color="auto"/>
            <w:left w:val="none" w:sz="0" w:space="0" w:color="auto"/>
            <w:bottom w:val="none" w:sz="0" w:space="0" w:color="auto"/>
            <w:right w:val="none" w:sz="0" w:space="0" w:color="auto"/>
          </w:divBdr>
        </w:div>
        <w:div w:id="274334594">
          <w:marLeft w:val="0"/>
          <w:marRight w:val="0"/>
          <w:marTop w:val="150"/>
          <w:marBottom w:val="270"/>
          <w:divBdr>
            <w:top w:val="none" w:sz="0" w:space="0" w:color="auto"/>
            <w:left w:val="none" w:sz="0" w:space="0" w:color="auto"/>
            <w:bottom w:val="none" w:sz="0" w:space="0" w:color="auto"/>
            <w:right w:val="none" w:sz="0" w:space="0" w:color="auto"/>
          </w:divBdr>
        </w:div>
        <w:div w:id="223294821">
          <w:marLeft w:val="0"/>
          <w:marRight w:val="0"/>
          <w:marTop w:val="150"/>
          <w:marBottom w:val="270"/>
          <w:divBdr>
            <w:top w:val="none" w:sz="0" w:space="0" w:color="auto"/>
            <w:left w:val="none" w:sz="0" w:space="0" w:color="auto"/>
            <w:bottom w:val="none" w:sz="0" w:space="0" w:color="auto"/>
            <w:right w:val="none" w:sz="0" w:space="0" w:color="auto"/>
          </w:divBdr>
        </w:div>
        <w:div w:id="1920170134">
          <w:marLeft w:val="0"/>
          <w:marRight w:val="0"/>
          <w:marTop w:val="150"/>
          <w:marBottom w:val="270"/>
          <w:divBdr>
            <w:top w:val="none" w:sz="0" w:space="0" w:color="auto"/>
            <w:left w:val="none" w:sz="0" w:space="0" w:color="auto"/>
            <w:bottom w:val="none" w:sz="0" w:space="0" w:color="auto"/>
            <w:right w:val="none" w:sz="0" w:space="0" w:color="auto"/>
          </w:divBdr>
        </w:div>
      </w:divsChild>
    </w:div>
    <w:div w:id="1192378445">
      <w:bodyDiv w:val="1"/>
      <w:marLeft w:val="0"/>
      <w:marRight w:val="0"/>
      <w:marTop w:val="0"/>
      <w:marBottom w:val="0"/>
      <w:divBdr>
        <w:top w:val="none" w:sz="0" w:space="0" w:color="auto"/>
        <w:left w:val="none" w:sz="0" w:space="0" w:color="auto"/>
        <w:bottom w:val="none" w:sz="0" w:space="0" w:color="auto"/>
        <w:right w:val="none" w:sz="0" w:space="0" w:color="auto"/>
      </w:divBdr>
    </w:div>
    <w:div w:id="1507474404">
      <w:bodyDiv w:val="1"/>
      <w:marLeft w:val="0"/>
      <w:marRight w:val="0"/>
      <w:marTop w:val="0"/>
      <w:marBottom w:val="0"/>
      <w:divBdr>
        <w:top w:val="none" w:sz="0" w:space="0" w:color="auto"/>
        <w:left w:val="none" w:sz="0" w:space="0" w:color="auto"/>
        <w:bottom w:val="none" w:sz="0" w:space="0" w:color="auto"/>
        <w:right w:val="none" w:sz="0" w:space="0" w:color="auto"/>
      </w:divBdr>
    </w:div>
    <w:div w:id="1552501054">
      <w:bodyDiv w:val="1"/>
      <w:marLeft w:val="0"/>
      <w:marRight w:val="0"/>
      <w:marTop w:val="0"/>
      <w:marBottom w:val="0"/>
      <w:divBdr>
        <w:top w:val="none" w:sz="0" w:space="0" w:color="auto"/>
        <w:left w:val="none" w:sz="0" w:space="0" w:color="auto"/>
        <w:bottom w:val="none" w:sz="0" w:space="0" w:color="auto"/>
        <w:right w:val="none" w:sz="0" w:space="0" w:color="auto"/>
      </w:divBdr>
    </w:div>
    <w:div w:id="1618557803">
      <w:bodyDiv w:val="1"/>
      <w:marLeft w:val="0"/>
      <w:marRight w:val="0"/>
      <w:marTop w:val="0"/>
      <w:marBottom w:val="0"/>
      <w:divBdr>
        <w:top w:val="none" w:sz="0" w:space="0" w:color="auto"/>
        <w:left w:val="none" w:sz="0" w:space="0" w:color="auto"/>
        <w:bottom w:val="none" w:sz="0" w:space="0" w:color="auto"/>
        <w:right w:val="none" w:sz="0" w:space="0" w:color="auto"/>
      </w:divBdr>
    </w:div>
    <w:div w:id="1622027853">
      <w:bodyDiv w:val="1"/>
      <w:marLeft w:val="0"/>
      <w:marRight w:val="0"/>
      <w:marTop w:val="0"/>
      <w:marBottom w:val="0"/>
      <w:divBdr>
        <w:top w:val="none" w:sz="0" w:space="0" w:color="auto"/>
        <w:left w:val="none" w:sz="0" w:space="0" w:color="auto"/>
        <w:bottom w:val="none" w:sz="0" w:space="0" w:color="auto"/>
        <w:right w:val="none" w:sz="0" w:space="0" w:color="auto"/>
      </w:divBdr>
      <w:divsChild>
        <w:div w:id="2141410496">
          <w:marLeft w:val="547"/>
          <w:marRight w:val="0"/>
          <w:marTop w:val="0"/>
          <w:marBottom w:val="0"/>
          <w:divBdr>
            <w:top w:val="none" w:sz="0" w:space="0" w:color="auto"/>
            <w:left w:val="none" w:sz="0" w:space="0" w:color="auto"/>
            <w:bottom w:val="none" w:sz="0" w:space="0" w:color="auto"/>
            <w:right w:val="none" w:sz="0" w:space="0" w:color="auto"/>
          </w:divBdr>
        </w:div>
        <w:div w:id="1444760725">
          <w:marLeft w:val="547"/>
          <w:marRight w:val="0"/>
          <w:marTop w:val="0"/>
          <w:marBottom w:val="0"/>
          <w:divBdr>
            <w:top w:val="none" w:sz="0" w:space="0" w:color="auto"/>
            <w:left w:val="none" w:sz="0" w:space="0" w:color="auto"/>
            <w:bottom w:val="none" w:sz="0" w:space="0" w:color="auto"/>
            <w:right w:val="none" w:sz="0" w:space="0" w:color="auto"/>
          </w:divBdr>
        </w:div>
        <w:div w:id="1581716483">
          <w:marLeft w:val="547"/>
          <w:marRight w:val="0"/>
          <w:marTop w:val="0"/>
          <w:marBottom w:val="0"/>
          <w:divBdr>
            <w:top w:val="none" w:sz="0" w:space="0" w:color="auto"/>
            <w:left w:val="none" w:sz="0" w:space="0" w:color="auto"/>
            <w:bottom w:val="none" w:sz="0" w:space="0" w:color="auto"/>
            <w:right w:val="none" w:sz="0" w:space="0" w:color="auto"/>
          </w:divBdr>
        </w:div>
        <w:div w:id="1843547890">
          <w:marLeft w:val="547"/>
          <w:marRight w:val="0"/>
          <w:marTop w:val="0"/>
          <w:marBottom w:val="0"/>
          <w:divBdr>
            <w:top w:val="none" w:sz="0" w:space="0" w:color="auto"/>
            <w:left w:val="none" w:sz="0" w:space="0" w:color="auto"/>
            <w:bottom w:val="none" w:sz="0" w:space="0" w:color="auto"/>
            <w:right w:val="none" w:sz="0" w:space="0" w:color="auto"/>
          </w:divBdr>
        </w:div>
        <w:div w:id="250284502">
          <w:marLeft w:val="547"/>
          <w:marRight w:val="0"/>
          <w:marTop w:val="0"/>
          <w:marBottom w:val="0"/>
          <w:divBdr>
            <w:top w:val="none" w:sz="0" w:space="0" w:color="auto"/>
            <w:left w:val="none" w:sz="0" w:space="0" w:color="auto"/>
            <w:bottom w:val="none" w:sz="0" w:space="0" w:color="auto"/>
            <w:right w:val="none" w:sz="0" w:space="0" w:color="auto"/>
          </w:divBdr>
        </w:div>
        <w:div w:id="481695945">
          <w:marLeft w:val="547"/>
          <w:marRight w:val="0"/>
          <w:marTop w:val="0"/>
          <w:marBottom w:val="0"/>
          <w:divBdr>
            <w:top w:val="none" w:sz="0" w:space="0" w:color="auto"/>
            <w:left w:val="none" w:sz="0" w:space="0" w:color="auto"/>
            <w:bottom w:val="none" w:sz="0" w:space="0" w:color="auto"/>
            <w:right w:val="none" w:sz="0" w:space="0" w:color="auto"/>
          </w:divBdr>
        </w:div>
        <w:div w:id="1121534996">
          <w:marLeft w:val="547"/>
          <w:marRight w:val="0"/>
          <w:marTop w:val="0"/>
          <w:marBottom w:val="0"/>
          <w:divBdr>
            <w:top w:val="none" w:sz="0" w:space="0" w:color="auto"/>
            <w:left w:val="none" w:sz="0" w:space="0" w:color="auto"/>
            <w:bottom w:val="none" w:sz="0" w:space="0" w:color="auto"/>
            <w:right w:val="none" w:sz="0" w:space="0" w:color="auto"/>
          </w:divBdr>
        </w:div>
      </w:divsChild>
    </w:div>
    <w:div w:id="1696079356">
      <w:bodyDiv w:val="1"/>
      <w:marLeft w:val="0"/>
      <w:marRight w:val="0"/>
      <w:marTop w:val="0"/>
      <w:marBottom w:val="0"/>
      <w:divBdr>
        <w:top w:val="none" w:sz="0" w:space="0" w:color="auto"/>
        <w:left w:val="none" w:sz="0" w:space="0" w:color="auto"/>
        <w:bottom w:val="none" w:sz="0" w:space="0" w:color="auto"/>
        <w:right w:val="none" w:sz="0" w:space="0" w:color="auto"/>
      </w:divBdr>
    </w:div>
    <w:div w:id="1765572363">
      <w:bodyDiv w:val="1"/>
      <w:marLeft w:val="0"/>
      <w:marRight w:val="0"/>
      <w:marTop w:val="0"/>
      <w:marBottom w:val="0"/>
      <w:divBdr>
        <w:top w:val="none" w:sz="0" w:space="0" w:color="auto"/>
        <w:left w:val="none" w:sz="0" w:space="0" w:color="auto"/>
        <w:bottom w:val="none" w:sz="0" w:space="0" w:color="auto"/>
        <w:right w:val="none" w:sz="0" w:space="0" w:color="auto"/>
      </w:divBdr>
    </w:div>
    <w:div w:id="1857843041">
      <w:bodyDiv w:val="1"/>
      <w:marLeft w:val="0"/>
      <w:marRight w:val="0"/>
      <w:marTop w:val="0"/>
      <w:marBottom w:val="0"/>
      <w:divBdr>
        <w:top w:val="none" w:sz="0" w:space="0" w:color="auto"/>
        <w:left w:val="none" w:sz="0" w:space="0" w:color="auto"/>
        <w:bottom w:val="none" w:sz="0" w:space="0" w:color="auto"/>
        <w:right w:val="none" w:sz="0" w:space="0" w:color="auto"/>
      </w:divBdr>
    </w:div>
    <w:div w:id="1865443094">
      <w:bodyDiv w:val="1"/>
      <w:marLeft w:val="0"/>
      <w:marRight w:val="0"/>
      <w:marTop w:val="0"/>
      <w:marBottom w:val="0"/>
      <w:divBdr>
        <w:top w:val="none" w:sz="0" w:space="0" w:color="auto"/>
        <w:left w:val="none" w:sz="0" w:space="0" w:color="auto"/>
        <w:bottom w:val="none" w:sz="0" w:space="0" w:color="auto"/>
        <w:right w:val="none" w:sz="0" w:space="0" w:color="auto"/>
      </w:divBdr>
    </w:div>
    <w:div w:id="1899045503">
      <w:bodyDiv w:val="1"/>
      <w:marLeft w:val="0"/>
      <w:marRight w:val="0"/>
      <w:marTop w:val="0"/>
      <w:marBottom w:val="0"/>
      <w:divBdr>
        <w:top w:val="none" w:sz="0" w:space="0" w:color="auto"/>
        <w:left w:val="none" w:sz="0" w:space="0" w:color="auto"/>
        <w:bottom w:val="none" w:sz="0" w:space="0" w:color="auto"/>
        <w:right w:val="none" w:sz="0" w:space="0" w:color="auto"/>
      </w:divBdr>
    </w:div>
    <w:div w:id="204328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F3AC-C489-43DC-950D-E0F36D8D1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Jochum, Michael D.</cp:lastModifiedBy>
  <cp:revision>5</cp:revision>
  <cp:lastPrinted>2022-07-31T18:50:00Z</cp:lastPrinted>
  <dcterms:created xsi:type="dcterms:W3CDTF">2022-07-31T19:39:00Z</dcterms:created>
  <dcterms:modified xsi:type="dcterms:W3CDTF">2022-07-31T21:31:00Z</dcterms:modified>
</cp:coreProperties>
</file>