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80" w:before="480"/>
        <w:jc w:val="center"/>
      </w:pPr>
      <w:r>
        <w:rPr>
          <w:rFonts w:ascii="Arial" w:cs="Arial" w:eastAsia="Arial" w:hAnsi="Arial"/>
          <w:b/>
          <w:bCs/>
          <w:color w:val="1F4E79"/>
          <w:sz w:val="26"/>
          <w:szCs w:val="26"/>
        </w:rPr>
        <w:t xml:space="preserve">SERVICIO NACIONAL DE APRENDIZAJE — SENA</w:t>
      </w:r>
    </w:p>
    <w:p>
      <w:pPr>
        <w:spacing w:after="40" w:before="40"/>
        <w:jc w:val="center"/>
      </w:pPr>
      <w:r>
        <w:rPr>
          <w:rFonts w:ascii="Arial" w:cs="Arial" w:eastAsia="Arial" w:hAnsi="Arial"/>
          <w:color w:val="555555"/>
          <w:sz w:val="22"/>
          <w:szCs w:val="22"/>
        </w:rPr>
        <w:t xml:space="preserve">Análisis y Desarrollo de Software · ADSO · Ficha 3413974</w:t>
      </w:r>
    </w:p>
    <w:p>
      <w:pPr>
        <w:spacing w:after="40" w:before="40"/>
      </w:pPr>
    </w:p>
    <w:p>
      <w:pPr>
        <w:pBdr>
          <w:top w:val="single" w:color="1F4E79" w:sz="8" w:space="4"/>
          <w:bottom w:val="single" w:color="1F4E79" w:sz="8" w:space="4"/>
        </w:pBdr>
        <w:spacing w:after="80" w:before="320"/>
        <w:jc w:val="center"/>
      </w:pPr>
      <w:r>
        <w:rPr>
          <w:rFonts w:ascii="Arial" w:cs="Arial" w:eastAsia="Arial" w:hAnsi="Arial"/>
          <w:b/>
          <w:bCs/>
          <w:color w:val="1F4E79"/>
          <w:sz w:val="36"/>
          <w:szCs w:val="36"/>
        </w:rPr>
        <w:t xml:space="preserve">DOCUMENTO COMPARATIVO DE SESIONES DE CLASE</w:t>
      </w:r>
    </w:p>
    <w:p>
      <w:pPr>
        <w:spacing w:after="40" w:before="40"/>
      </w:pPr>
    </w:p>
    <w:p>
      <w:pPr>
        <w:spacing w:after="40" w:before="80"/>
        <w:jc w:val="center"/>
      </w:pPr>
      <w:r>
        <w:rPr>
          <w:rFonts w:ascii="Arial" w:cs="Arial" w:eastAsia="Arial" w:hAnsi="Arial"/>
          <w:b/>
          <w:bCs/>
          <w:color w:val="1D6A39"/>
          <w:sz w:val="28"/>
          <w:szCs w:val="28"/>
        </w:rPr>
        <w:t xml:space="preserve">Clase Anterior  vs.  Clase de Hoy</w:t>
      </w:r>
    </w:p>
    <w:p>
      <w:pPr>
        <w:spacing w:after="320" w:before="40"/>
        <w:jc w:val="center"/>
      </w:pPr>
      <w:r>
        <w:rPr>
          <w:rFonts w:ascii="Arial" w:cs="Arial" w:eastAsia="Arial" w:hAnsi="Arial"/>
          <w:i/>
          <w:iCs/>
          <w:color w:val="555555"/>
          <w:sz w:val="22"/>
          <w:szCs w:val="22"/>
        </w:rPr>
        <w:t xml:space="preserve">Evaluación de Exposiciones SRS — Proyecto Supermercado «La Esquina»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Elaborado por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Miguel Angel Estrada Torrentes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Equipo</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Supermercado La Esquina — ADSO Ficha 3413974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Instructor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Jesús Ariel Gonzales Bonilla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Fecha de comparación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 de mayo de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Versión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v1.0</w:t>
            </w:r>
          </w:p>
        </w:tc>
      </w:tr>
    </w:tbl>
    <w:p>
      <w:pPr>
        <w:spacing w:after="40" w:before="40"/>
      </w:pPr>
    </w:p>
    <w:p>
      <w:pPr>
        <w:spacing w:after="40" w:before="40"/>
      </w:pPr>
    </w:p>
    <w:p>
      <w:pPr>
        <w:pStyle w:val="Heading1"/>
        <w:pBdr>
          <w:bottom w:val="single" w:color="1F4E79" w:sz="6" w:space="4"/>
        </w:pBdr>
        <w:spacing w:after="160" w:before="320"/>
      </w:pPr>
      <w:r>
        <w:rPr>
          <w:rFonts w:ascii="Arial" w:cs="Arial" w:eastAsia="Arial" w:hAnsi="Arial"/>
          <w:b/>
          <w:bCs/>
          <w:color w:val="1F4E79"/>
          <w:sz w:val="28"/>
          <w:szCs w:val="28"/>
        </w:rPr>
        <w:t xml:space="preserve">1. Contexto y Propósito del Documento</w:t>
      </w:r>
    </w:p>
    <w:p>
      <w:pPr>
        <w:spacing w:after="80" w:before="80"/>
        <w:jc w:val="both"/>
      </w:pPr>
      <w:r>
        <w:rPr>
          <w:rFonts w:ascii="Arial" w:cs="Arial" w:eastAsia="Arial" w:hAnsi="Arial"/>
          <w:sz w:val="22"/>
          <w:szCs w:val="22"/>
        </w:rPr>
        <w:t xml:space="preserve">El presente documento compara de forma estructurada el desempeño del equipo «Supermercado La Esquina» entre la sesión de clase anterior —en la que se realizaron las primeras exposiciones de los documentos SRS— y la sesión de hoy, en la que dichos SRS fueron reestructurados a un nivel de calidad significativamente superior.</w:t>
      </w:r>
    </w:p>
    <w:p>
      <w:pPr>
        <w:spacing w:after="80" w:before="80"/>
        <w:jc w:val="both"/>
      </w:pPr>
      <w:r>
        <w:rPr>
          <w:rFonts w:ascii="Arial" w:cs="Arial" w:eastAsia="Arial" w:hAnsi="Arial"/>
          <w:sz w:val="22"/>
          <w:szCs w:val="22"/>
        </w:rPr>
        <w:t xml:space="preserve">El instructor reconoció en la clase anterior que los documentos SRS estaban «muy estructurados y al nivel bueno». Esta comparación documenta los cambios concretos que justifican esa valoración y sirve como evidencia de mejora continua del equipo.</w:t>
      </w:r>
    </w:p>
    <w:p>
      <w:pPr>
        <w:spacing w:after="40" w:before="40"/>
      </w:pPr>
    </w:p>
    <w:p>
      <w:pPr>
        <w:pStyle w:val="Heading1"/>
        <w:pBdr>
          <w:bottom w:val="single" w:color="1F4E79" w:sz="6" w:space="4"/>
        </w:pBdr>
        <w:spacing w:after="160" w:before="320"/>
      </w:pPr>
      <w:r>
        <w:rPr>
          <w:rFonts w:ascii="Arial" w:cs="Arial" w:eastAsia="Arial" w:hAnsi="Arial"/>
          <w:b/>
          <w:bCs/>
          <w:color w:val="1F4E79"/>
          <w:sz w:val="28"/>
          <w:szCs w:val="28"/>
        </w:rPr>
        <w:t xml:space="preserve">2. Resumen Ejecutivo</w:t>
      </w:r>
    </w:p>
    <w:p>
      <w:pPr>
        <w:pStyle w:val="Heading2"/>
        <w:spacing w:after="120" w:before="240"/>
      </w:pPr>
      <w:r>
        <w:rPr>
          <w:rFonts w:ascii="Arial" w:cs="Arial" w:eastAsia="Arial" w:hAnsi="Arial"/>
          <w:b/>
          <w:bCs/>
          <w:color w:val="1F4E79"/>
          <w:sz w:val="24"/>
          <w:szCs w:val="24"/>
        </w:rPr>
        <w:t xml:space="preserve">2.1 Principales logros de la sesión anterior</w:t>
      </w:r>
    </w:p>
    <w:p>
      <w:pPr>
        <w:pStyle w:val="ListParagraph"/>
        <w:numPr>
          <w:ilvl w:val="0"/>
          <w:numId w:val="2"/>
        </w:numPr>
        <w:spacing w:after="60" w:before="60"/>
      </w:pPr>
      <w:r>
        <w:rPr>
          <w:rFonts w:ascii="Arial" w:cs="Arial" w:eastAsia="Arial" w:hAnsi="Arial"/>
          <w:b w:val="false"/>
          <w:bCs w:val="false"/>
          <w:sz w:val="22"/>
          <w:szCs w:val="22"/>
        </w:rPr>
        <w:t xml:space="preserve">Exposición de tres SRS: Supermercado La Esquina (50/100), TiendaAPP (90/100) y MercaGO (90/100).</w:t>
      </w:r>
    </w:p>
    <w:p>
      <w:pPr>
        <w:pStyle w:val="ListParagraph"/>
        <w:numPr>
          <w:ilvl w:val="0"/>
          <w:numId w:val="2"/>
        </w:numPr>
        <w:spacing w:after="60" w:before="60"/>
      </w:pPr>
      <w:r>
        <w:rPr>
          <w:rFonts w:ascii="Arial" w:cs="Arial" w:eastAsia="Arial" w:hAnsi="Arial"/>
          <w:b w:val="false"/>
          <w:bCs w:val="false"/>
          <w:sz w:val="22"/>
          <w:szCs w:val="22"/>
        </w:rPr>
        <w:t xml:space="preserve">Los aprendices de TiendaAPP y MercaGO demostraron buen dominio del tema, estimación de elementos y comprensión del proyecto.</w:t>
      </w:r>
    </w:p>
    <w:p>
      <w:pPr>
        <w:pStyle w:val="ListParagraph"/>
        <w:numPr>
          <w:ilvl w:val="0"/>
          <w:numId w:val="2"/>
        </w:numPr>
        <w:spacing w:after="60" w:before="60"/>
      </w:pPr>
      <w:r>
        <w:rPr>
          <w:rFonts w:ascii="Arial" w:cs="Arial" w:eastAsia="Arial" w:hAnsi="Arial"/>
          <w:b w:val="false"/>
          <w:bCs w:val="false"/>
          <w:sz w:val="22"/>
          <w:szCs w:val="22"/>
        </w:rPr>
        <w:t xml:space="preserve">El equipo de La Esquina logró abarcar algunos campos importantes y aclaró dudas durante la exposición.</w:t>
      </w:r>
    </w:p>
    <w:p>
      <w:pPr>
        <w:pStyle w:val="ListParagraph"/>
        <w:numPr>
          <w:ilvl w:val="0"/>
          <w:numId w:val="2"/>
        </w:numPr>
        <w:spacing w:after="60" w:before="60"/>
      </w:pPr>
      <w:r>
        <w:rPr>
          <w:rFonts w:ascii="Arial" w:cs="Arial" w:eastAsia="Arial" w:hAnsi="Arial"/>
          <w:b w:val="false"/>
          <w:bCs w:val="false"/>
          <w:sz w:val="22"/>
          <w:szCs w:val="22"/>
        </w:rPr>
        <w:t xml:space="preserve">Feedback clave del instructor: faltaba estimación de costos, mayor profundidad en el SRS y dominio más sólido del tema.</w:t>
      </w:r>
    </w:p>
    <w:p>
      <w:pPr>
        <w:spacing w:after="40" w:before="40"/>
      </w:pPr>
    </w:p>
    <w:p>
      <w:pPr>
        <w:spacing w:after="40" w:before="40"/>
      </w:pPr>
    </w:p>
    <w:p>
      <w:pPr>
        <w:pStyle w:val="Heading1"/>
        <w:pBdr>
          <w:bottom w:val="single" w:color="1F4E79" w:sz="6" w:space="4"/>
        </w:pBdr>
        <w:spacing w:after="160" w:before="320"/>
      </w:pPr>
      <w:r>
        <w:rPr>
          <w:rFonts w:ascii="Arial" w:cs="Arial" w:eastAsia="Arial" w:hAnsi="Arial"/>
          <w:b/>
          <w:bCs/>
          <w:color w:val="1F4E79"/>
          <w:sz w:val="28"/>
          <w:szCs w:val="28"/>
        </w:rPr>
        <w:t xml:space="preserve">3. Tabla Comparativa por Criterios</w:t>
      </w:r>
    </w:p>
    <w:p>
      <w:pPr>
        <w:spacing w:after="80" w:before="80"/>
        <w:jc w:val="both"/>
      </w:pPr>
      <w:r>
        <w:rPr>
          <w:rFonts w:ascii="Arial" w:cs="Arial" w:eastAsia="Arial" w:hAnsi="Arial"/>
          <w:sz w:val="22"/>
          <w:szCs w:val="22"/>
        </w:rPr>
        <w:t xml:space="preserve">La siguiente tabla evalúa ambas sesiones sobre 10 criterios técnicos y metodológicos:</w:t>
      </w:r>
    </w:p>
    <w:p>
      <w:pPr>
        <w:spacing w:after="40" w:before="4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55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w:t>
            </w:r>
          </w:p>
        </w:tc>
        <w:tc>
          <w:tcPr>
            <w:tcW w:type="dxa" w:w="3550"/>
            <w:tcBorders>
              <w:top w:val="single" w:color="1F4E79" w:sz="1"/>
              <w:left w:val="single" w:color="1F4E79" w:sz="1"/>
              <w:bottom w:val="single" w:color="1F4E79" w:sz="1"/>
              <w:right w:val="single" w:color="1F4E79"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Clase Anterior — Exposiciones iniciales de SRS</w:t>
            </w:r>
          </w:p>
        </w:tc>
        <w:tc>
          <w:tcPr>
            <w:tcW w:type="dxa" w:w="3550"/>
            <w:tcBorders>
              <w:top w:val="single" w:color="1F4E79" w:sz="1"/>
              <w:left w:val="single" w:color="1F4E79" w:sz="1"/>
              <w:bottom w:val="single" w:color="1F4E79" w:sz="1"/>
              <w:right w:val="single" w:color="1F4E79" w:sz="1"/>
            </w:tcBorders>
            <w:shd w:fill="D5F0E0" w:val="clear"/>
            <w:tcMar>
              <w:top w:type="dxa" w:w="100"/>
              <w:left w:type="dxa" w:w="120"/>
              <w:bottom w:type="dxa" w:w="100"/>
              <w:right w:type="dxa" w:w="120"/>
            </w:tcMar>
            <w:vAlign w:val="center"/>
          </w:tcPr>
          <w:p>
            <w:pPr>
              <w:jc w:val="center"/>
            </w:pPr>
            <w:r>
              <w:rPr>
                <w:rFonts w:ascii="Arial" w:cs="Arial" w:eastAsia="Arial" w:hAnsi="Arial"/>
                <w:b/>
                <w:bCs/>
                <w:color w:val="1D6A39"/>
                <w:sz w:val="20"/>
                <w:szCs w:val="20"/>
              </w:rPr>
              <w:t xml:space="preserve">Clase de Hoy — SRS Reestructurado (Nivel experto)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Estructura del SRS</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Estructura básica presente pero incompleta. Los aprendices abarcaron algunos campos importantes pero les faltaron elementos clave como estimación de costos y trazabilidad de requisitos.</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Estructura profesional y completa: portada, introducción, actores, alcance, hallazgos, catálogo de requisitos con ID único, casos de uso y rúbrica. El instructor reconoció que los SRS estaban al nivel bueno.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Recolección de información</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 mencionaron instrumentos pero sin evidencia documental sólida. Faltó justificar la elección de cada instrumento.</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Evidencia completa con 4 instrumentos documentados: entrevista a Don Carlos, encuesta a 20 clientes, ficha de observación directa (2 h en el negocio) y revisión documental. Cada instrumento con justificación.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Análisis de datos</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Tablas de frecuencia ausentes o superficiales. Sin cálculos estadísticos ni interpretación de resultados.</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Tabla de frecuencias completa con porcentajes y acumulados. Estadísticas de ventas (min/max/promedio = 50 txn/día, capacidad recomendada 100). Gráficas y análisis cualitativo con citas textuales.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Catálogo de requisitos</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Requisitos identificados pero sin ID, sin fuente, sin priorización formal. Mezcla de funcionales y no funcionales sin clasificar. Cantidad insuficiente (&lt; 10).</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requisitos con ID único (RF-001…RNF-003, RN-001…), descripción completa, tipo, fuente, prioridad (escala Importancia × Urgencia) y estado. Incluyendo requisitos de negocio diferenciados.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Casos de uso</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Casos de uso ausentes o mencionados de forma muy superficial sin flujos, precondiciones ni excepciones.</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casos de uso completos (CU-001 Registrar venta, CU-002 Consultar stock, CU-003 Cierre de caja) con actor, precondición, flujo normal, flujos alternativos, excepciones y postcondición.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Viabilidad del proyecto</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Viabilidades bajas: Supermercado La Esquina 50 %. Faltó estimación de costos y elementos fundamentales del SRS.</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Proyecto altamente viable gracias a la profundidad del análisis, identificación de problemáticas reales y soluciones concretas por módulo. Módulos con fases definidas (MVP → Fase 2 → Fase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Dominio del tema</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Variable. Algunos expositores con buen manejo (90/100) pero el equipo de La Esquina evidenció falta de dominio con calificación de 50/100 y respuestas poco claras.</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equipo demostró comprensión profunda del negocio: conocen al cliente (Don Carlos, Martha, Julián), sus procesos, sus contradicciones y cómo resolverlas con tecnología.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Alcance y fases</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Alcance indefinido o genérico. Sin diferenciación entre versión inicial y futuras fases del sistema.</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Alcance delimitado con claridad: lo que INCLUYE y NO INCLUYE el MVP. Roadmap de 3 fases: MVP (core), Fase 2 (facturación DIAN, datáfono, proveedores), Fase 3 (app móvil).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Trazabilidad</w:t>
            </w:r>
          </w:p>
        </w:tc>
        <w:tc>
          <w:tcPr>
            <w:tcW w:type="dxa" w:w="355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 trazabilidad entre instrumentos → hallazgos → requisitos → casos de uso. El documento no permitía rastrear el origen de cada decisión.</w:t>
            </w:r>
          </w:p>
        </w:tc>
        <w:tc>
          <w:tcPr>
            <w:tcW w:type="dxa" w:w="355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Trazabilidad total: cada requisito referencia su fuente (instrumento + participante). Los CU referencian los RF que satisfacen. La matriz de priorización cruza Importancia × Urgencia.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Calidad de redacción</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Redacción informal en varios momentos. Uso de lenguaje no técnico. Puntos importantes sin desarrollar.</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Redacción técnica y profesional. Uso correcto de terminología de ingeniería de software (RF, RNF, RN, CU, MVP, actor, precondición, postcondición). Documento listo para entregar al cliente.</w:t>
            </w:r>
          </w:p>
        </w:tc>
      </w:tr>
    </w:tbl>
    <w:p>
      <w:pPr>
        <w:spacing w:after="40" w:before="40"/>
      </w:pPr>
    </w:p>
    <w:p>
      <w:pPr>
        <w:pStyle w:val="Heading1"/>
        <w:pBdr>
          <w:bottom w:val="single" w:color="1F4E79" w:sz="6" w:space="4"/>
        </w:pBdr>
        <w:spacing w:after="160" w:before="320"/>
      </w:pPr>
      <w:r>
        <w:rPr>
          <w:rFonts w:ascii="Arial" w:cs="Arial" w:eastAsia="Arial" w:hAnsi="Arial"/>
          <w:b/>
          <w:bCs/>
          <w:color w:val="1F4E79"/>
          <w:sz w:val="28"/>
          <w:szCs w:val="28"/>
        </w:rPr>
        <w:t xml:space="preserve">4. Lecciones Aprendidas y Compromisos</w:t>
      </w:r>
    </w:p>
    <w:p>
      <w:pPr>
        <w:pStyle w:val="Heading2"/>
        <w:spacing w:after="120" w:before="240"/>
      </w:pPr>
      <w:r>
        <w:rPr>
          <w:rFonts w:ascii="Arial" w:cs="Arial" w:eastAsia="Arial" w:hAnsi="Arial"/>
          <w:b/>
          <w:bCs/>
          <w:color w:val="1F4E79"/>
          <w:sz w:val="24"/>
          <w:szCs w:val="24"/>
        </w:rPr>
        <w:t xml:space="preserve">4.1 Lo que marcó la diferencia</w:t>
      </w:r>
    </w:p>
    <w:p>
      <w:pPr>
        <w:pStyle w:val="ListParagraph"/>
        <w:numPr>
          <w:ilvl w:val="0"/>
          <w:numId w:val="2"/>
        </w:numPr>
        <w:spacing w:after="60" w:before="60"/>
      </w:pPr>
      <w:r>
        <w:rPr>
          <w:rFonts w:ascii="Arial" w:cs="Arial" w:eastAsia="Arial" w:hAnsi="Arial"/>
          <w:b w:val="false"/>
          <w:bCs w:val="false"/>
          <w:sz w:val="22"/>
          <w:szCs w:val="22"/>
        </w:rPr>
        <w:t xml:space="preserve">La trazabilidad de extremo a extremo: instrumento → hallazgo → requisito → caso de uso.</w:t>
      </w:r>
    </w:p>
    <w:p>
      <w:pPr>
        <w:pStyle w:val="ListParagraph"/>
        <w:numPr>
          <w:ilvl w:val="0"/>
          <w:numId w:val="2"/>
        </w:numPr>
        <w:spacing w:after="60" w:before="60"/>
      </w:pPr>
      <w:r>
        <w:rPr>
          <w:rFonts w:ascii="Arial" w:cs="Arial" w:eastAsia="Arial" w:hAnsi="Arial"/>
          <w:b w:val="false"/>
          <w:bCs w:val="false"/>
          <w:sz w:val="22"/>
          <w:szCs w:val="22"/>
        </w:rPr>
        <w:t xml:space="preserve">Documentar el contexto del negocio con datos reales (8 años de funcionamiento, 90 productos, 3 empleados, 22–89 ventas/día).</w:t>
      </w:r>
    </w:p>
    <w:p>
      <w:pPr>
        <w:pStyle w:val="ListParagraph"/>
        <w:numPr>
          <w:ilvl w:val="0"/>
          <w:numId w:val="2"/>
        </w:numPr>
        <w:spacing w:after="60" w:before="60"/>
      </w:pPr>
      <w:r>
        <w:rPr>
          <w:rFonts w:ascii="Arial" w:cs="Arial" w:eastAsia="Arial" w:hAnsi="Arial"/>
          <w:b w:val="false"/>
          <w:bCs w:val="false"/>
          <w:sz w:val="22"/>
          <w:szCs w:val="22"/>
        </w:rPr>
        <w:t xml:space="preserve">Resolver contradicciones entre usuarios en lugar de ignorarlas.</w:t>
      </w:r>
    </w:p>
    <w:p>
      <w:pPr>
        <w:pStyle w:val="ListParagraph"/>
        <w:numPr>
          <w:ilvl w:val="0"/>
          <w:numId w:val="2"/>
        </w:numPr>
        <w:spacing w:after="60" w:before="60"/>
      </w:pPr>
      <w:r>
        <w:rPr>
          <w:rFonts w:ascii="Arial" w:cs="Arial" w:eastAsia="Arial" w:hAnsi="Arial"/>
          <w:b w:val="false"/>
          <w:bCs w:val="false"/>
          <w:sz w:val="22"/>
          <w:szCs w:val="22"/>
        </w:rPr>
        <w:t xml:space="preserve">Definir explícitamente qué NO incluye el sistema (alcance negativo), que es tan importante como lo que sí incluye.</w:t>
      </w:r>
    </w:p>
    <w:p>
      <w:pPr>
        <w:pStyle w:val="ListParagraph"/>
        <w:numPr>
          <w:ilvl w:val="0"/>
          <w:numId w:val="2"/>
        </w:numPr>
        <w:spacing w:after="60" w:before="60"/>
      </w:pPr>
      <w:r>
        <w:rPr>
          <w:rFonts w:ascii="Arial" w:cs="Arial" w:eastAsia="Arial" w:hAnsi="Arial"/>
          <w:b w:val="false"/>
          <w:bCs w:val="false"/>
          <w:sz w:val="22"/>
          <w:szCs w:val="22"/>
        </w:rPr>
        <w:t xml:space="preserve">Usar lenguaje técnico correcto: RF, RNF, RN, CU, MVP, actor, precondición, postcondición.</w:t>
      </w:r>
    </w:p>
    <w:p>
      <w:pPr>
        <w:pStyle w:val="Heading2"/>
        <w:spacing w:after="120" w:before="240"/>
      </w:pPr>
      <w:r>
        <w:rPr>
          <w:rFonts w:ascii="Arial" w:cs="Arial" w:eastAsia="Arial" w:hAnsi="Arial"/>
          <w:b/>
          <w:bCs/>
          <w:color w:val="1F4E79"/>
          <w:sz w:val="24"/>
          <w:szCs w:val="24"/>
        </w:rPr>
        <w:t xml:space="preserve">4.2 Compromisos para las próximas sesiones</w:t>
      </w:r>
    </w:p>
    <w:p>
      <w:pPr>
        <w:pStyle w:val="ListParagraph"/>
        <w:numPr>
          <w:ilvl w:val="0"/>
          <w:numId w:val="2"/>
        </w:numPr>
        <w:spacing w:after="60" w:before="60"/>
      </w:pPr>
      <w:r>
        <w:rPr>
          <w:rFonts w:ascii="Arial" w:cs="Arial" w:eastAsia="Arial" w:hAnsi="Arial"/>
          <w:b w:val="false"/>
          <w:bCs w:val="false"/>
          <w:sz w:val="22"/>
          <w:szCs w:val="22"/>
        </w:rPr>
        <w:t xml:space="preserve">Mantener la trazabilidad en todos los documentos futuros del proyecto.</w:t>
      </w:r>
    </w:p>
    <w:p>
      <w:pPr>
        <w:pStyle w:val="ListParagraph"/>
        <w:numPr>
          <w:ilvl w:val="0"/>
          <w:numId w:val="2"/>
        </w:numPr>
        <w:spacing w:after="60" w:before="60"/>
      </w:pPr>
      <w:r>
        <w:rPr>
          <w:rFonts w:ascii="Arial" w:cs="Arial" w:eastAsia="Arial" w:hAnsi="Arial"/>
          <w:b w:val="false"/>
          <w:bCs w:val="false"/>
          <w:sz w:val="22"/>
          <w:szCs w:val="22"/>
        </w:rPr>
        <w:t xml:space="preserve">Incorporar estimación de costos y análisis de riesgo en la siguiente versión del SRS (v1.1).</w:t>
      </w:r>
    </w:p>
    <w:p>
      <w:pPr>
        <w:pStyle w:val="ListParagraph"/>
        <w:numPr>
          <w:ilvl w:val="0"/>
          <w:numId w:val="2"/>
        </w:numPr>
        <w:spacing w:after="60" w:before="60"/>
      </w:pPr>
      <w:r>
        <w:rPr>
          <w:rFonts w:ascii="Arial" w:cs="Arial" w:eastAsia="Arial" w:hAnsi="Arial"/>
          <w:b w:val="false"/>
          <w:bCs w:val="false"/>
          <w:sz w:val="22"/>
          <w:szCs w:val="22"/>
        </w:rPr>
        <w:t xml:space="preserve">Preparar el diagrama de casos de uso en UML como complemento visual al catálogo textual.</w:t>
      </w:r>
    </w:p>
    <w:p>
      <w:pPr>
        <w:pStyle w:val="ListParagraph"/>
        <w:numPr>
          <w:ilvl w:val="0"/>
          <w:numId w:val="2"/>
        </w:numPr>
        <w:spacing w:after="60" w:before="60"/>
      </w:pPr>
      <w:r>
        <w:rPr>
          <w:rFonts w:ascii="Arial" w:cs="Arial" w:eastAsia="Arial" w:hAnsi="Arial"/>
          <w:b w:val="false"/>
          <w:bCs w:val="false"/>
          <w:sz w:val="22"/>
          <w:szCs w:val="22"/>
        </w:rPr>
        <w:t xml:space="preserve">Avanzar hacia los módulos de Fase 2: facturación DIAN, integración con datáfono y gestión de proveedores.</w:t>
      </w:r>
    </w:p>
    <w:p>
      <w:pPr>
        <w:spacing w:after="40" w:before="40"/>
      </w:pPr>
    </w:p>
    <w:p>
      <w:pPr>
        <w:pStyle w:val="Heading1"/>
        <w:pBdr>
          <w:bottom w:val="single" w:color="1F4E79" w:sz="6" w:space="4"/>
        </w:pBdr>
        <w:spacing w:after="160" w:before="320"/>
      </w:pPr>
      <w:r>
        <w:rPr>
          <w:rFonts w:ascii="Arial" w:cs="Arial" w:eastAsia="Arial" w:hAnsi="Arial"/>
          <w:b/>
          <w:bCs/>
          <w:color w:val="1F4E79"/>
          <w:sz w:val="28"/>
          <w:szCs w:val="28"/>
        </w:rPr>
        <w:t xml:space="preserve">5. Conclusión</w:t>
      </w:r>
    </w:p>
    <w:p>
      <w:pPr>
        <w:spacing w:after="80" w:before="80"/>
        <w:jc w:val="both"/>
      </w:pPr>
      <w:r>
        <w:rPr>
          <w:rFonts w:ascii="Arial" w:cs="Arial" w:eastAsia="Arial" w:hAnsi="Arial"/>
          <w:sz w:val="22"/>
          <w:szCs w:val="22"/>
        </w:rPr>
        <w:t xml:space="preserve">La comparación entre ambas sesiones demuestra una evolución cualitativa y cuantitativa significativa en el trabajo del equipo. El SRS de la clase anterior representaba un punto de partida válido con ideas claras pero sin la estructura técnica requerida por la ingeniería de software. El SRS reestructurado presentado hoy alcanza el estándar profesional que el instructor calificó como «nivel bueno»: evidencia documentada, análisis riguroso, requisitos trazables y casos de uso completos.</w:t>
      </w:r>
    </w:p>
    <w:p>
      <w:pPr>
        <w:spacing w:after="80" w:before="80"/>
        <w:jc w:val="both"/>
      </w:pPr>
      <w:r>
        <w:rPr>
          <w:rFonts w:ascii="Arial" w:cs="Arial" w:eastAsia="Arial" w:hAnsi="Arial"/>
          <w:sz w:val="22"/>
          <w:szCs w:val="22"/>
        </w:rPr>
        <w:t xml:space="preserve">Este documento no solo registra el progreso académico del equipo, sino que evidencia la capacidad de reflexión crítica y mejora continua que es la competencia central del programa Análisis y Desarrollo de Software del SENA.</w:t>
      </w:r>
    </w:p>
    <w:p>
      <w:pPr>
        <w:spacing w:after="40" w:before="40"/>
      </w:pPr>
    </w:p>
    <w:p>
      <w:pPr>
        <w:pBdr>
          <w:top w:val="single" w:color="1F4E79" w:sz="4" w:space="8"/>
        </w:pBdr>
        <w:spacing w:after="80" w:before="240"/>
        <w:jc w:val="center"/>
      </w:pPr>
      <w:r>
        <w:rPr>
          <w:rFonts w:ascii="Arial" w:cs="Arial" w:eastAsia="Arial" w:hAnsi="Arial"/>
          <w:i/>
          <w:iCs/>
          <w:color w:val="777777"/>
          <w:sz w:val="18"/>
          <w:szCs w:val="18"/>
        </w:rPr>
        <w:t xml:space="preserve">Ficha 3413974 · ADSO · SENA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555555"/>
        <w:sz w:val="18"/>
        <w:szCs w:val="18"/>
      </w:rPr>
      <w:t xml:space="preserve">SENA · ADSO Ficha 3413974 · Comparación de Sesiones de Clase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2026-05-16T15:11:03.953Z</dcterms:created>
  <dcterms:modified xsi:type="dcterms:W3CDTF">2026-05-16T15:11:03.953Z</dcterms:modified>
</cp:coreProperties>
</file>

<file path=docProps/custom.xml><?xml version="1.0" encoding="utf-8"?>
<Properties xmlns="http://schemas.openxmlformats.org/officeDocument/2006/custom-properties" xmlns:vt="http://schemas.openxmlformats.org/officeDocument/2006/docPropsVTypes"/>
</file>