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600"/>
              <w:left w:type="dxa" w:w="400"/>
              <w:bottom w:type="dxa" w:w="600"/>
              <w:right w:type="dxa" w:w="400"/>
            </w:tcMar>
            <w:vAlign w:val="center"/>
          </w:tcPr>
          <w:p>
            <w:pPr>
              <w:spacing w:after="80"/>
              <w:jc w:val="center"/>
            </w:pPr>
            <w:r>
              <w:rPr>
                <w:rFonts w:ascii="Calibri" w:cs="Calibri" w:eastAsia="Calibri" w:hAnsi="Calibri"/>
                <w:b/>
                <w:bCs/>
                <w:color w:val="9DB8CC"/>
                <w:sz w:val="22"/>
                <w:szCs w:val="22"/>
              </w:rPr>
              <w:t xml:space="preserve">SERVICIO NACIONAL DE APRENDIZAJE – SENA</w:t>
            </w:r>
          </w:p>
          <w:p>
            <w:pPr>
              <w:spacing w:after="80"/>
              <w:jc w:val="center"/>
            </w:pPr>
            <w:r>
              <w:rPr>
                <w:rFonts w:ascii="Calibri" w:cs="Calibri" w:eastAsia="Calibri" w:hAnsi="Calibri"/>
                <w:color w:val="7A9DBB"/>
                <w:sz w:val="20"/>
                <w:szCs w:val="20"/>
              </w:rPr>
              <w:t xml:space="preserve">TECNOLOGÍA EN ANÁLISIS Y DESARROLLO DE SOFTWARE</w:t>
            </w:r>
          </w:p>
          <w:p>
            <w:pPr>
              <w:spacing w:after="180"/>
            </w:pPr>
            <w:r>
              <w:t xml:space="preserve"/>
            </w:r>
          </w:p>
          <w:p>
            <w:pPr>
              <w:spacing w:after="120"/>
              <w:jc w:val="center"/>
            </w:pPr>
            <w:r>
              <w:rPr>
                <w:rFonts w:ascii="Segoe UI Emoji" w:cs="Segoe UI Emoji" w:eastAsia="Segoe UI Emoji" w:hAnsi="Segoe UI Emoji"/>
                <w:sz w:val="96"/>
                <w:szCs w:val="96"/>
              </w:rPr>
              <w:t xml:space="preserve">🚑</w:t>
            </w:r>
          </w:p>
          <w:p>
            <w:pPr>
              <w:spacing w:after="120"/>
              <w:jc w:val="center"/>
            </w:pPr>
            <w:r>
              <w:rPr>
                <w:rFonts w:ascii="Calibri" w:cs="Calibri" w:eastAsia="Calibri" w:hAnsi="Calibri"/>
                <w:b/>
                <w:bCs/>
                <w:color w:val="FFFFFF"/>
                <w:sz w:val="56"/>
                <w:szCs w:val="56"/>
              </w:rPr>
              <w:t xml:space="preserve">SISTEMA DE GESTIÓN DE AMBULANCIAS</w:t>
            </w:r>
          </w:p>
          <w:p>
            <w:pPr>
              <w:spacing w:after="200"/>
              <w:jc w:val="center"/>
            </w:pPr>
            <w:r>
              <w:rPr>
                <w:rFonts w:ascii="Calibri" w:cs="Calibri" w:eastAsia="Calibri" w:hAnsi="Calibri"/>
                <w:b/>
                <w:bCs/>
                <w:color w:val="C62828"/>
                <w:sz w:val="32"/>
                <w:szCs w:val="32"/>
              </w:rPr>
              <w:t xml:space="preserve">SGA — NORMATIVA, MOCKUP Y CONCEPTUALIZACIÓN</w:t>
            </w:r>
          </w:p>
          <w:p>
            <w:pPr>
              <w:spacing w:after="120"/>
              <w:jc w:val="center"/>
            </w:pPr>
            <w:r>
              <w:rPr>
                <w:rFonts w:ascii="Calibri" w:cs="Calibri" w:eastAsia="Calibri" w:hAnsi="Calibri"/>
                <w:i/>
                <w:iCs/>
                <w:color w:val="9DB8CC"/>
                <w:sz w:val="22"/>
                <w:szCs w:val="22"/>
              </w:rPr>
              <w:t xml:space="preserve">Basado en el REPS y la Resolución 3100 de 2017 del Ministerio de Salud y Protección Social</w:t>
            </w:r>
          </w:p>
          <w:p>
            <w:pPr>
              <w:spacing w:after="180"/>
            </w:pPr>
            <w:r>
              <w:t xml:space="preserve"/>
            </w:r>
          </w:p>
          <w:p>
            <w:pPr>
              <w:spacing w:after="60"/>
              <w:jc w:val="center"/>
            </w:pPr>
            <w:r>
              <w:rPr>
                <w:rFonts w:ascii="Calibri" w:cs="Calibri" w:eastAsia="Calibri" w:hAnsi="Calibri"/>
                <w:b/>
                <w:bCs/>
                <w:color w:val="CADCFC"/>
                <w:sz w:val="22"/>
                <w:szCs w:val="22"/>
              </w:rPr>
              <w:t xml:space="preserve">Nicolas Esteban Aldana Doria  |  Juan Miguel Muñoz Castañeda  |  Miguel Ángel Estrada Torrentes</w:t>
            </w:r>
          </w:p>
          <w:p>
            <w:pPr>
              <w:spacing w:after="60"/>
              <w:jc w:val="center"/>
            </w:pPr>
            <w:r>
              <w:rPr>
                <w:rFonts w:ascii="Calibri" w:cs="Calibri" w:eastAsia="Calibri" w:hAnsi="Calibri"/>
                <w:color w:val="9DB8CC"/>
                <w:sz w:val="20"/>
                <w:szCs w:val="20"/>
              </w:rPr>
              <w:t xml:space="preserve">Instructor: Juan Carlos Rodríguez</w:t>
            </w:r>
          </w:p>
          <w:p>
            <w:pPr>
              <w:jc w:val="center"/>
            </w:pPr>
            <w:r>
              <w:rPr>
                <w:rFonts w:ascii="Calibri" w:cs="Calibri" w:eastAsia="Calibri" w:hAnsi="Calibri"/>
                <w:color w:val="7A9DBB"/>
                <w:sz w:val="20"/>
                <w:szCs w:val="20"/>
              </w:rPr>
              <w:t xml:space="preserve">Neiva – Huila  •  2026</w:t>
            </w:r>
          </w:p>
        </w:tc>
      </w:tr>
    </w:tbl>
    <w:p>
      <w:r>
        <w:br w:type="page"/>
      </w:r>
    </w:p>
    <w:p>
      <w:pPr>
        <w:pStyle w:val="Heading1"/>
        <w:pBdr>
          <w:bottom w:val="single" w:color="1565C0" w:sz="6" w:space="4"/>
        </w:pBdr>
        <w:spacing w:after="180" w:before="360"/>
      </w:pPr>
      <w:r>
        <w:rPr>
          <w:rFonts w:ascii="Calibri" w:cs="Calibri" w:eastAsia="Calibri" w:hAnsi="Calibri"/>
          <w:b/>
          <w:bCs/>
          <w:color w:val="0A2342"/>
          <w:sz w:val="36"/>
          <w:szCs w:val="36"/>
        </w:rPr>
        <w:t xml:space="preserve">1. NORMATIVA DEL PROYECTO</w:t>
      </w:r>
    </w:p>
    <w:p>
      <w:pPr>
        <w:spacing w:after="140"/>
        <w:jc w:val="both"/>
      </w:pPr>
      <w:r>
        <w:rPr>
          <w:rFonts w:ascii="Calibri" w:cs="Calibri" w:eastAsia="Calibri" w:hAnsi="Calibri"/>
          <w:color w:val="2D3748"/>
          <w:sz w:val="22"/>
          <w:szCs w:val="22"/>
        </w:rPr>
        <w:t xml:space="preserve">El presente documento establece la normativa, la conceptualización y el diseño de interfaz (mockup) del Sistema de Gestión de Ambulancias (SGA), desarrollado como proyecto de grado en el programa de Tecnología en Análisis y Desarrollo de Software del SENA.</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1.1 Identificación del Problema</w:t>
      </w:r>
    </w:p>
    <w:p>
      <w:pPr>
        <w:spacing w:after="140"/>
        <w:jc w:val="both"/>
      </w:pPr>
      <w:r>
        <w:rPr>
          <w:rFonts w:ascii="Calibri" w:cs="Calibri" w:eastAsia="Calibri" w:hAnsi="Calibri"/>
          <w:color w:val="2D3748"/>
          <w:sz w:val="22"/>
          <w:szCs w:val="22"/>
        </w:rPr>
        <w:t xml:space="preserve">Las instituciones de atención prehospitalaria gestionan sus operaciones mediante métodos manuales o herramientas de software desintegradas que no se comunican entre sí. Esta realidad genera demoras en la asignación de ambulancias, errores en el seguimiento de casos activos, ausencia de información en tiempo real y dificultades en la toma de decisiones administrativas.</w:t>
      </w:r>
    </w:p>
    <w:p>
      <w:pPr>
        <w:spacing w:after="140"/>
        <w:jc w:val="both"/>
      </w:pPr>
      <w:r>
        <w:rPr>
          <w:rFonts w:ascii="Calibri" w:cs="Calibri" w:eastAsia="Calibri" w:hAnsi="Calibri"/>
          <w:color w:val="2D3748"/>
          <w:sz w:val="22"/>
          <w:szCs w:val="22"/>
        </w:rPr>
        <w:t xml:space="preserve">La carencia de herramientas tecnológicas adecuadas impide la optimización de rutas, el aprovechamiento eficiente de recursos disponibles y la comunicación efectiva entre despachadores, conductores, paramédicos y centros hospitalarios.</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1.2 Impacto del Problema</w:t>
      </w:r>
    </w:p>
    <w:p>
      <w:pPr>
        <w:pStyle w:val="ListParagraph"/>
        <w:numPr>
          <w:ilvl w:val="0"/>
          <w:numId w:val="2"/>
        </w:numPr>
        <w:spacing w:after="80"/>
      </w:pPr>
      <w:r>
        <w:rPr>
          <w:rFonts w:ascii="Calibri" w:cs="Calibri" w:eastAsia="Calibri" w:hAnsi="Calibri"/>
          <w:b w:val="false"/>
          <w:bCs w:val="false"/>
          <w:color w:val="2D3748"/>
          <w:sz w:val="22"/>
          <w:szCs w:val="22"/>
        </w:rPr>
        <w:t xml:space="preserve">Tiempos de respuesta prolongados ante emergencias que pueden costar vidas.</w:t>
      </w:r>
    </w:p>
    <w:p>
      <w:pPr>
        <w:pStyle w:val="ListParagraph"/>
        <w:numPr>
          <w:ilvl w:val="0"/>
          <w:numId w:val="2"/>
        </w:numPr>
        <w:spacing w:after="80"/>
      </w:pPr>
      <w:r>
        <w:rPr>
          <w:rFonts w:ascii="Calibri" w:cs="Calibri" w:eastAsia="Calibri" w:hAnsi="Calibri"/>
          <w:b w:val="false"/>
          <w:bCs w:val="false"/>
          <w:color w:val="2D3748"/>
          <w:sz w:val="22"/>
          <w:szCs w:val="22"/>
        </w:rPr>
        <w:t xml:space="preserve">Desorganización en la distribución de unidades TAB y TAM.</w:t>
      </w:r>
    </w:p>
    <w:p>
      <w:pPr>
        <w:pStyle w:val="ListParagraph"/>
        <w:numPr>
          <w:ilvl w:val="0"/>
          <w:numId w:val="2"/>
        </w:numPr>
        <w:spacing w:after="80"/>
      </w:pPr>
      <w:r>
        <w:rPr>
          <w:rFonts w:ascii="Calibri" w:cs="Calibri" w:eastAsia="Calibri" w:hAnsi="Calibri"/>
          <w:b w:val="false"/>
          <w:bCs w:val="false"/>
          <w:color w:val="2D3748"/>
          <w:sz w:val="22"/>
          <w:szCs w:val="22"/>
        </w:rPr>
        <w:t xml:space="preserve">Incremento de errores humanos e inconsistencias en los registros.</w:t>
      </w:r>
    </w:p>
    <w:p>
      <w:pPr>
        <w:pStyle w:val="ListParagraph"/>
        <w:numPr>
          <w:ilvl w:val="0"/>
          <w:numId w:val="2"/>
        </w:numPr>
        <w:spacing w:after="80"/>
      </w:pPr>
      <w:r>
        <w:rPr>
          <w:rFonts w:ascii="Calibri" w:cs="Calibri" w:eastAsia="Calibri" w:hAnsi="Calibri"/>
          <w:b w:val="false"/>
          <w:bCs w:val="false"/>
          <w:color w:val="2D3748"/>
          <w:sz w:val="22"/>
          <w:szCs w:val="22"/>
        </w:rPr>
        <w:t xml:space="preserve">Imposibilidad de diferenciar correctamente la complejidad del servicio requerido.</w:t>
      </w:r>
    </w:p>
    <w:p>
      <w:pPr>
        <w:pStyle w:val="ListParagraph"/>
        <w:numPr>
          <w:ilvl w:val="0"/>
          <w:numId w:val="2"/>
        </w:numPr>
        <w:spacing w:after="80"/>
      </w:pPr>
      <w:r>
        <w:rPr>
          <w:rFonts w:ascii="Calibri" w:cs="Calibri" w:eastAsia="Calibri" w:hAnsi="Calibri"/>
          <w:b w:val="false"/>
          <w:bCs w:val="false"/>
          <w:color w:val="2D3748"/>
          <w:sz w:val="22"/>
          <w:szCs w:val="22"/>
        </w:rPr>
        <w:t xml:space="preserve">Falta de reportes confiables para evaluación del desempeño institucional.</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1.3 Propuesta Tecnológica — MVP</w:t>
      </w:r>
    </w:p>
    <w:p>
      <w:pPr>
        <w:spacing w:after="140"/>
        <w:jc w:val="both"/>
      </w:pPr>
      <w:r>
        <w:rPr>
          <w:rFonts w:ascii="Calibri" w:cs="Calibri" w:eastAsia="Calibri" w:hAnsi="Calibri"/>
          <w:color w:val="2D3748"/>
          <w:sz w:val="22"/>
          <w:szCs w:val="22"/>
        </w:rPr>
        <w:t xml:space="preserve">Se propone el diseño y desarrollo de un Sistema de Gestión de Ambulancias (SGA) bajo el enfoque de Producto Mínimo Viable (MVP), orientado a optimizar la administración, el control y el monitoreo de las unidades de emergencia. El sistema permitirá:</w:t>
      </w:r>
    </w:p>
    <w:p>
      <w:pPr>
        <w:pStyle w:val="ListParagraph"/>
        <w:numPr>
          <w:ilvl w:val="0"/>
          <w:numId w:val="2"/>
        </w:numPr>
        <w:spacing w:after="80"/>
      </w:pPr>
      <w:r>
        <w:rPr>
          <w:rFonts w:ascii="Calibri" w:cs="Calibri" w:eastAsia="Calibri" w:hAnsi="Calibri"/>
          <w:b w:val="false"/>
          <w:bCs w:val="false"/>
          <w:color w:val="2D3748"/>
          <w:sz w:val="22"/>
          <w:szCs w:val="22"/>
        </w:rPr>
        <w:t xml:space="preserve">Registrar y gestionar solicitudes de atención prehospitalaria.</w:t>
      </w:r>
    </w:p>
    <w:p>
      <w:pPr>
        <w:pStyle w:val="ListParagraph"/>
        <w:numPr>
          <w:ilvl w:val="0"/>
          <w:numId w:val="2"/>
        </w:numPr>
        <w:spacing w:after="80"/>
      </w:pPr>
      <w:r>
        <w:rPr>
          <w:rFonts w:ascii="Calibri" w:cs="Calibri" w:eastAsia="Calibri" w:hAnsi="Calibri"/>
          <w:b w:val="false"/>
          <w:bCs w:val="false"/>
          <w:color w:val="2D3748"/>
          <w:sz w:val="22"/>
          <w:szCs w:val="22"/>
        </w:rPr>
        <w:t xml:space="preserve">Asignar automáticamente ambulancias disponibles según criterios de proximidad y prioridad.</w:t>
      </w:r>
    </w:p>
    <w:p>
      <w:pPr>
        <w:pStyle w:val="ListParagraph"/>
        <w:numPr>
          <w:ilvl w:val="0"/>
          <w:numId w:val="2"/>
        </w:numPr>
        <w:spacing w:after="80"/>
      </w:pPr>
      <w:r>
        <w:rPr>
          <w:rFonts w:ascii="Calibri" w:cs="Calibri" w:eastAsia="Calibri" w:hAnsi="Calibri"/>
          <w:b w:val="false"/>
          <w:bCs w:val="false"/>
          <w:color w:val="2D3748"/>
          <w:sz w:val="22"/>
          <w:szCs w:val="22"/>
        </w:rPr>
        <w:t xml:space="preserve">Visualizar en tiempo real el estado operativo de cada unidad TAB y TAM.</w:t>
      </w:r>
    </w:p>
    <w:p>
      <w:pPr>
        <w:pStyle w:val="ListParagraph"/>
        <w:numPr>
          <w:ilvl w:val="0"/>
          <w:numId w:val="2"/>
        </w:numPr>
        <w:spacing w:after="80"/>
      </w:pPr>
      <w:r>
        <w:rPr>
          <w:rFonts w:ascii="Calibri" w:cs="Calibri" w:eastAsia="Calibri" w:hAnsi="Calibri"/>
          <w:b w:val="false"/>
          <w:bCs w:val="false"/>
          <w:color w:val="2D3748"/>
          <w:sz w:val="22"/>
          <w:szCs w:val="22"/>
        </w:rPr>
        <w:t xml:space="preserve">Generar reportes estadísticos para la gestión administrativa.</w:t>
      </w:r>
    </w:p>
    <w:p>
      <w:pPr>
        <w:pStyle w:val="ListParagraph"/>
        <w:numPr>
          <w:ilvl w:val="0"/>
          <w:numId w:val="2"/>
        </w:numPr>
        <w:spacing w:after="80"/>
      </w:pPr>
      <w:r>
        <w:rPr>
          <w:rFonts w:ascii="Calibri" w:cs="Calibri" w:eastAsia="Calibri" w:hAnsi="Calibri"/>
          <w:b w:val="false"/>
          <w:bCs w:val="false"/>
          <w:color w:val="2D3748"/>
          <w:sz w:val="22"/>
          <w:szCs w:val="22"/>
        </w:rPr>
        <w:t xml:space="preserve">Controlar el acceso mediante roles y permisos (RBAC).</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1.4 Sesgos Técnicos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rFonts w:ascii="Calibri" w:cs="Calibri" w:eastAsia="Calibri" w:hAnsi="Calibri"/>
                <w:b/>
                <w:bCs/>
                <w:color w:val="FFFFFF"/>
                <w:sz w:val="20"/>
                <w:szCs w:val="20"/>
              </w:rPr>
              <w:t xml:space="preserve">Sesgo de Complejidad</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Querer abarcar demasiadas funcionalidades desde el inicio sin validar primero las necesidades reales.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C62828" w:val="clear"/>
            <w:tcMar>
              <w:top w:type="dxa" w:w="100"/>
              <w:left w:type="dxa" w:w="150"/>
              <w:bottom w:type="dxa" w:w="100"/>
              <w:right w:type="dxa" w:w="150"/>
            </w:tcMar>
          </w:tcPr>
          <w:p>
            <w:r>
              <w:rPr>
                <w:rFonts w:ascii="Calibri" w:cs="Calibri" w:eastAsia="Calibri" w:hAnsi="Calibri"/>
                <w:b/>
                <w:bCs/>
                <w:color w:val="FFFFFF"/>
                <w:sz w:val="20"/>
                <w:szCs w:val="20"/>
              </w:rPr>
              <w:t xml:space="preserve">Sesgo Tecnológico</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Priorizar herramientas y tecnologías antes de comprender los procesos y necesidades del usuario.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5568" w:val="clear"/>
            <w:tcMar>
              <w:top w:type="dxa" w:w="100"/>
              <w:left w:type="dxa" w:w="150"/>
              <w:bottom w:type="dxa" w:w="100"/>
              <w:right w:type="dxa" w:w="150"/>
            </w:tcMar>
          </w:tcPr>
          <w:p>
            <w:r>
              <w:rPr>
                <w:rFonts w:ascii="Calibri" w:cs="Calibri" w:eastAsia="Calibri" w:hAnsi="Calibri"/>
                <w:b/>
                <w:bCs/>
                <w:color w:val="FFFFFF"/>
                <w:sz w:val="20"/>
                <w:szCs w:val="20"/>
              </w:rPr>
              <w:t xml:space="preserve">Sesgo de Solución Rápida</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Intentar implementar sin validación adecuada con usuarios y sin definir bien el alcance.</w:t>
            </w:r>
          </w:p>
        </w:tc>
      </w:tr>
    </w:tbl>
    <w:p>
      <w:pPr>
        <w:spacing w:after="180"/>
      </w:pPr>
      <w:r>
        <w:t xml:space="preserve"/>
      </w:r>
    </w:p>
    <w:p>
      <w:pPr>
        <w:pStyle w:val="Heading2"/>
        <w:spacing w:after="120" w:before="240"/>
      </w:pPr>
      <w:r>
        <w:rPr>
          <w:rFonts w:ascii="Calibri" w:cs="Calibri" w:eastAsia="Calibri" w:hAnsi="Calibri"/>
          <w:b/>
          <w:bCs/>
          <w:color w:val="0A2342"/>
          <w:sz w:val="28"/>
          <w:szCs w:val="28"/>
        </w:rPr>
        <w:t xml:space="preserve">1.5 Marco Normativo</w:t>
      </w:r>
    </w:p>
    <w:p>
      <w:pPr>
        <w:spacing w:after="140"/>
        <w:jc w:val="both"/>
      </w:pPr>
      <w:r>
        <w:rPr>
          <w:rFonts w:ascii="Calibri" w:cs="Calibri" w:eastAsia="Calibri" w:hAnsi="Calibri"/>
          <w:color w:val="2D3748"/>
          <w:sz w:val="22"/>
          <w:szCs w:val="22"/>
        </w:rPr>
        <w:t xml:space="preserve">El sistema se desarrolla en cumplimiento con las siguientes normas y resoluciones vigentes:</w:t>
      </w:r>
    </w:p>
    <w:p>
      <w:pPr>
        <w:pStyle w:val="ListParagraph"/>
        <w:numPr>
          <w:ilvl w:val="0"/>
          <w:numId w:val="2"/>
        </w:numPr>
        <w:spacing w:after="80"/>
      </w:pPr>
      <w:r>
        <w:rPr>
          <w:rFonts w:ascii="Calibri" w:cs="Calibri" w:eastAsia="Calibri" w:hAnsi="Calibri"/>
          <w:b/>
          <w:bCs/>
          <w:color w:val="2D3748"/>
          <w:sz w:val="22"/>
          <w:szCs w:val="22"/>
        </w:rPr>
        <w:t xml:space="preserve">Resolución 3100 de 2017 – Condiciones de habilitación del transporte asistencial TAB y TAM.</w:t>
      </w:r>
    </w:p>
    <w:p>
      <w:pPr>
        <w:pStyle w:val="ListParagraph"/>
        <w:numPr>
          <w:ilvl w:val="0"/>
          <w:numId w:val="2"/>
        </w:numPr>
        <w:spacing w:after="80"/>
      </w:pPr>
      <w:r>
        <w:rPr>
          <w:rFonts w:ascii="Calibri" w:cs="Calibri" w:eastAsia="Calibri" w:hAnsi="Calibri"/>
          <w:b/>
          <w:bCs/>
          <w:color w:val="2D3748"/>
          <w:sz w:val="22"/>
          <w:szCs w:val="22"/>
        </w:rPr>
        <w:t xml:space="preserve">Resolución 544 de 2023 – Disposiciones complementarias sobre prestación de servicios de salud.</w:t>
      </w:r>
    </w:p>
    <w:p>
      <w:pPr>
        <w:pStyle w:val="ListParagraph"/>
        <w:numPr>
          <w:ilvl w:val="0"/>
          <w:numId w:val="2"/>
        </w:numPr>
        <w:spacing w:after="80"/>
      </w:pPr>
      <w:r>
        <w:rPr>
          <w:rFonts w:ascii="Calibri" w:cs="Calibri" w:eastAsia="Calibri" w:hAnsi="Calibri"/>
          <w:b/>
          <w:bCs/>
          <w:color w:val="2D3748"/>
          <w:sz w:val="22"/>
          <w:szCs w:val="22"/>
        </w:rPr>
        <w:t xml:space="preserve">REPS (Registro Especial de Prestadores de Servicios de Salud) – Validación de instituciones habilitadas.</w:t>
      </w:r>
    </w:p>
    <w:p>
      <w:pPr>
        <w:pStyle w:val="ListParagraph"/>
        <w:numPr>
          <w:ilvl w:val="0"/>
          <w:numId w:val="2"/>
        </w:numPr>
        <w:spacing w:after="80"/>
      </w:pPr>
      <w:r>
        <w:rPr>
          <w:rFonts w:ascii="Calibri" w:cs="Calibri" w:eastAsia="Calibri" w:hAnsi="Calibri"/>
          <w:b/>
          <w:bCs/>
          <w:color w:val="2D3748"/>
          <w:sz w:val="22"/>
          <w:szCs w:val="22"/>
        </w:rPr>
        <w:t xml:space="preserve">Ley 1581 de 2012 – Protección de datos personales (Habeas Data).</w:t>
      </w:r>
    </w:p>
    <w:p>
      <w:pPr>
        <w:pStyle w:val="ListParagraph"/>
        <w:numPr>
          <w:ilvl w:val="0"/>
          <w:numId w:val="2"/>
        </w:numPr>
        <w:spacing w:after="80"/>
      </w:pPr>
      <w:r>
        <w:rPr>
          <w:rFonts w:ascii="Calibri" w:cs="Calibri" w:eastAsia="Calibri" w:hAnsi="Calibri"/>
          <w:b/>
          <w:bCs/>
          <w:color w:val="2D3748"/>
          <w:sz w:val="22"/>
          <w:szCs w:val="22"/>
        </w:rPr>
        <w:t xml:space="preserve">ISO/IEC 25010 – Modelo de calidad del software (SQuaRE).</w:t>
      </w:r>
    </w:p>
    <w:p>
      <w:pPr>
        <w:pStyle w:val="ListParagraph"/>
        <w:numPr>
          <w:ilvl w:val="0"/>
          <w:numId w:val="2"/>
        </w:numPr>
        <w:spacing w:after="80"/>
      </w:pPr>
      <w:r>
        <w:rPr>
          <w:rFonts w:ascii="Calibri" w:cs="Calibri" w:eastAsia="Calibri" w:hAnsi="Calibri"/>
          <w:b/>
          <w:bCs/>
          <w:color w:val="2D3748"/>
          <w:sz w:val="22"/>
          <w:szCs w:val="22"/>
        </w:rPr>
        <w:t xml:space="preserve">ISO/IEC 27001 – Seguridad de la información.</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1.6 Plan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980"/>
        <w:gridCol w:w="2480"/>
      </w:tblGrid>
      <w:tr>
        <w:tc>
          <w:tcPr>
            <w:tcW w:type="dxa" w:w="14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Nombre</w:t>
            </w:r>
          </w:p>
        </w:tc>
        <w:tc>
          <w:tcPr>
            <w:tcW w:type="dxa" w:w="298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Actividades Clave</w:t>
            </w:r>
          </w:p>
        </w:tc>
        <w:tc>
          <w:tcPr>
            <w:tcW w:type="dxa" w:w="248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Entregables</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Análisis</w:t>
            </w:r>
          </w:p>
        </w:tc>
        <w:tc>
          <w:tcPr>
            <w:tcW w:type="dxa" w:w="29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Entrevistas, encuestas, revisión normativa REPS/Res.3100</w:t>
            </w:r>
          </w:p>
        </w:tc>
        <w:tc>
          <w:tcPr>
            <w:tcW w:type="dxa" w:w="24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SRS, matriz de requerimientos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Diseño</w:t>
            </w:r>
          </w:p>
        </w:tc>
        <w:tc>
          <w:tcPr>
            <w:tcW w:type="dxa" w:w="29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Mockups, arquitectura, modelo de datos, casos de uso</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Mockup, DER, diagramas UML</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Desarrollo</w:t>
            </w:r>
          </w:p>
        </w:tc>
        <w:tc>
          <w:tcPr>
            <w:tcW w:type="dxa" w:w="29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Backend API REST, Frontend React/Vue, Base de Datos</w:t>
            </w:r>
          </w:p>
        </w:tc>
        <w:tc>
          <w:tcPr>
            <w:tcW w:type="dxa" w:w="24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Código fuente, módulos funcionales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Pruebas</w:t>
            </w:r>
          </w:p>
        </w:tc>
        <w:tc>
          <w:tcPr>
            <w:tcW w:type="dxa" w:w="29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Pruebas funcionales, usabilidad y rendimiento con QA</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color w:val="2D3748"/>
                <w:sz w:val="20"/>
                <w:szCs w:val="20"/>
              </w:rPr>
              <w:t xml:space="preserve">Informe de pruebas, bugs resueltos</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Implementación</w:t>
            </w:r>
          </w:p>
        </w:tc>
        <w:tc>
          <w:tcPr>
            <w:tcW w:type="dxa" w:w="29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Despliegue en servidor, capacitación a usuarios</w:t>
            </w:r>
          </w:p>
        </w:tc>
        <w:tc>
          <w:tcPr>
            <w:tcW w:type="dxa" w:w="24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Calibri" w:cs="Calibri" w:eastAsia="Calibri" w:hAnsi="Calibri"/>
                <w:color w:val="2D3748"/>
                <w:sz w:val="20"/>
                <w:szCs w:val="20"/>
              </w:rPr>
              <w:t xml:space="preserve">Sistema en producción, manuales</w:t>
            </w:r>
          </w:p>
        </w:tc>
      </w:tr>
    </w:tbl>
    <w:p>
      <w:pPr>
        <w:spacing w:after="180"/>
      </w:pPr>
      <w:r>
        <w:t xml:space="preserve"/>
      </w:r>
    </w:p>
    <w:p>
      <w:r>
        <w:br w:type="page"/>
      </w:r>
    </w:p>
    <w:p>
      <w:pPr>
        <w:pStyle w:val="Heading1"/>
        <w:pBdr>
          <w:bottom w:val="single" w:color="1565C0" w:sz="6" w:space="4"/>
        </w:pBdr>
        <w:spacing w:after="180" w:before="360"/>
      </w:pPr>
      <w:r>
        <w:rPr>
          <w:rFonts w:ascii="Calibri" w:cs="Calibri" w:eastAsia="Calibri" w:hAnsi="Calibri"/>
          <w:b/>
          <w:bCs/>
          <w:color w:val="0A2342"/>
          <w:sz w:val="36"/>
          <w:szCs w:val="36"/>
        </w:rPr>
        <w:t xml:space="preserve">2. CONCEPTUALIZACIÓN Y DISEÑO DE INTERFAZ (MOCKUP)</w:t>
      </w:r>
    </w:p>
    <w:p>
      <w:pPr>
        <w:spacing w:after="140"/>
        <w:jc w:val="both"/>
      </w:pPr>
      <w:r>
        <w:rPr>
          <w:rFonts w:ascii="Calibri" w:cs="Calibri" w:eastAsia="Calibri" w:hAnsi="Calibri"/>
          <w:color w:val="2D3748"/>
          <w:sz w:val="22"/>
          <w:szCs w:val="22"/>
        </w:rPr>
        <w:t xml:space="preserve">A continuación se describen los wireframes conceptuales de las pantallas principales del Sistema de Gestión de Ambulancias. Cada pantalla incluye su propósito, elementos de interfaz y las reglas de negocio que la rigen.</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2.1  PANTALLA DE LOGIN — Acceso al Sistema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after="100"/>
              <w:jc w:val="center"/>
            </w:pPr>
            <w:r>
              <w:rPr>
                <w:rFonts w:ascii="Courier New" w:cs="Courier New" w:eastAsia="Courier New" w:hAnsi="Courier New"/>
                <w:color w:val="0A2342"/>
                <w:sz w:val="18"/>
                <w:szCs w:val="18"/>
              </w:rPr>
              <w:t xml:space="preserve">╔════════════════════════════════╗</w:t>
            </w:r>
          </w:p>
          <w:p>
            <w:pPr>
              <w:spacing w:after="100"/>
              <w:jc w:val="center"/>
            </w:pPr>
            <w:r>
              <w:rPr>
                <w:rFonts w:ascii="Courier New" w:cs="Courier New" w:eastAsia="Courier New" w:hAnsi="Courier New"/>
                <w:b/>
                <w:bCs/>
                <w:color w:val="0A2342"/>
                <w:sz w:val="18"/>
                <w:szCs w:val="18"/>
              </w:rPr>
              <w:t xml:space="preserve">║   🚑  SISTEMA GESTIÓN AMBULANCIAS  ║</w:t>
            </w:r>
          </w:p>
          <w:p>
            <w:pPr>
              <w:spacing w:after="100"/>
              <w:jc w:val="center"/>
            </w:pPr>
            <w:r>
              <w:rPr>
                <w:rFonts w:ascii="Courier New" w:cs="Courier New" w:eastAsia="Courier New" w:hAnsi="Courier New"/>
                <w:color w:val="0A2342"/>
                <w:sz w:val="18"/>
                <w:szCs w:val="18"/>
              </w:rPr>
              <w:t xml:space="preserve">╠════════════════════════════════╣</w:t>
            </w:r>
          </w:p>
          <w:p>
            <w:pPr>
              <w:spacing w:after="80"/>
              <w:jc w:val="center"/>
            </w:pPr>
            <w:r>
              <w:rPr>
                <w:rFonts w:ascii="Courier New" w:cs="Courier New" w:eastAsia="Courier New" w:hAnsi="Courier New"/>
                <w:color w:val="4A5568"/>
                <w:sz w:val="18"/>
                <w:szCs w:val="18"/>
              </w:rPr>
              <w:t xml:space="preserve">║                                ║</w:t>
            </w:r>
          </w:p>
          <w:p>
            <w:pPr>
              <w:spacing w:after="60"/>
              <w:jc w:val="center"/>
            </w:pPr>
            <w:r>
              <w:rPr>
                <w:rFonts w:ascii="Courier New" w:cs="Courier New" w:eastAsia="Courier New" w:hAnsi="Courier New"/>
                <w:color w:val="4A5568"/>
                <w:sz w:val="18"/>
                <w:szCs w:val="18"/>
              </w:rPr>
              <w:t xml:space="preserve">║   Correo electrónico:          ║</w:t>
            </w:r>
          </w:p>
          <w:p>
            <w:pPr>
              <w:spacing w:after="60"/>
              <w:jc w:val="center"/>
            </w:pPr>
            <w:r>
              <w:rPr>
                <w:rFonts w:ascii="Courier New" w:cs="Courier New" w:eastAsia="Courier New" w:hAnsi="Courier New"/>
                <w:color w:val="1565C0"/>
                <w:sz w:val="18"/>
                <w:szCs w:val="18"/>
              </w:rPr>
              <w:t xml:space="preserve">║  ┌──────────────────────────┐  ║</w:t>
            </w:r>
          </w:p>
          <w:p>
            <w:pPr>
              <w:spacing w:after="60"/>
              <w:jc w:val="center"/>
            </w:pPr>
            <w:r>
              <w:rPr>
                <w:rFonts w:ascii="Courier New" w:cs="Courier New" w:eastAsia="Courier New" w:hAnsi="Courier New"/>
                <w:color w:val="4A5568"/>
                <w:sz w:val="18"/>
                <w:szCs w:val="18"/>
              </w:rPr>
              <w:t xml:space="preserve">║  │  usuario@sga.com        │  ║</w:t>
            </w:r>
          </w:p>
          <w:p>
            <w:pPr>
              <w:spacing w:after="60"/>
              <w:jc w:val="center"/>
            </w:pPr>
            <w:r>
              <w:rPr>
                <w:rFonts w:ascii="Courier New" w:cs="Courier New" w:eastAsia="Courier New" w:hAnsi="Courier New"/>
                <w:color w:val="1565C0"/>
                <w:sz w:val="18"/>
                <w:szCs w:val="18"/>
              </w:rPr>
              <w:t xml:space="preserve">║  └──────────────────────────┘  ║</w:t>
            </w:r>
          </w:p>
          <w:p>
            <w:pPr>
              <w:spacing w:after="60"/>
              <w:jc w:val="center"/>
            </w:pPr>
            <w:r>
              <w:rPr>
                <w:rFonts w:ascii="Courier New" w:cs="Courier New" w:eastAsia="Courier New" w:hAnsi="Courier New"/>
                <w:color w:val="4A5568"/>
                <w:sz w:val="18"/>
                <w:szCs w:val="18"/>
              </w:rPr>
              <w:t xml:space="preserve">║   Contraseña:                  ║</w:t>
            </w:r>
          </w:p>
          <w:p>
            <w:pPr>
              <w:spacing w:after="60"/>
              <w:jc w:val="center"/>
            </w:pPr>
            <w:r>
              <w:rPr>
                <w:rFonts w:ascii="Courier New" w:cs="Courier New" w:eastAsia="Courier New" w:hAnsi="Courier New"/>
                <w:color w:val="1565C0"/>
                <w:sz w:val="18"/>
                <w:szCs w:val="18"/>
              </w:rPr>
              <w:t xml:space="preserve">║  ┌──────────────────────────┐  ║</w:t>
            </w:r>
          </w:p>
          <w:p>
            <w:pPr>
              <w:spacing w:after="60"/>
              <w:jc w:val="center"/>
            </w:pPr>
            <w:r>
              <w:rPr>
                <w:rFonts w:ascii="Courier New" w:cs="Courier New" w:eastAsia="Courier New" w:hAnsi="Courier New"/>
                <w:color w:val="4A5568"/>
                <w:sz w:val="18"/>
                <w:szCs w:val="18"/>
              </w:rPr>
              <w:t xml:space="preserve">║  │  ●●●●●●●●●●●●          │  ║</w:t>
            </w:r>
          </w:p>
          <w:p>
            <w:pPr>
              <w:spacing w:after="60"/>
              <w:jc w:val="center"/>
            </w:pPr>
            <w:r>
              <w:rPr>
                <w:rFonts w:ascii="Courier New" w:cs="Courier New" w:eastAsia="Courier New" w:hAnsi="Courier New"/>
                <w:color w:val="1565C0"/>
                <w:sz w:val="18"/>
                <w:szCs w:val="18"/>
              </w:rPr>
              <w:t xml:space="preserve">║  └──────────────────────────┘  ║</w:t>
            </w:r>
          </w:p>
          <w:p>
            <w:pPr>
              <w:spacing w:after="60"/>
              <w:jc w:val="center"/>
            </w:pPr>
            <w:r>
              <w:rPr>
                <w:rFonts w:ascii="Courier New" w:cs="Courier New" w:eastAsia="Courier New" w:hAnsi="Courier New"/>
                <w:color w:val="4A5568"/>
                <w:sz w:val="18"/>
                <w:szCs w:val="18"/>
              </w:rPr>
              <w:t xml:space="preserve">║                                ║</w:t>
            </w:r>
          </w:p>
          <w:p>
            <w:pPr>
              <w:spacing w:after="60"/>
              <w:jc w:val="center"/>
            </w:pPr>
            <w:r>
              <w:rPr>
                <w:rFonts w:ascii="Courier New" w:cs="Courier New" w:eastAsia="Courier New" w:hAnsi="Courier New"/>
                <w:b/>
                <w:bCs/>
                <w:color w:val="C62828"/>
                <w:sz w:val="18"/>
                <w:szCs w:val="18"/>
              </w:rPr>
              <w:t xml:space="preserve">║  [████████  INGRESAR  ████████]  ║</w:t>
            </w:r>
          </w:p>
          <w:p>
            <w:pPr>
              <w:spacing w:after="60"/>
              <w:jc w:val="center"/>
            </w:pPr>
            <w:r>
              <w:rPr>
                <w:rFonts w:ascii="Courier New" w:cs="Courier New" w:eastAsia="Courier New" w:hAnsi="Courier New"/>
                <w:color w:val="4A5568"/>
                <w:sz w:val="18"/>
                <w:szCs w:val="18"/>
              </w:rPr>
              <w:t xml:space="preserve">║                                ║</w:t>
            </w:r>
          </w:p>
          <w:p>
            <w:pPr>
              <w:spacing w:after="60"/>
              <w:jc w:val="center"/>
            </w:pPr>
            <w:r>
              <w:rPr>
                <w:rFonts w:ascii="Courier New" w:cs="Courier New" w:eastAsia="Courier New" w:hAnsi="Courier New"/>
                <w:color w:val="1565C0"/>
                <w:sz w:val="18"/>
                <w:szCs w:val="18"/>
              </w:rPr>
              <w:t xml:space="preserve">║  ¿Olvidó su contraseña? →      ║</w:t>
            </w:r>
          </w:p>
          <w:p>
            <w:pPr>
              <w:spacing w:after="60"/>
              <w:jc w:val="center"/>
            </w:pPr>
            <w:r>
              <w:rPr>
                <w:rFonts w:ascii="Courier New" w:cs="Courier New" w:eastAsia="Courier New" w:hAnsi="Courier New"/>
                <w:color w:val="0A2342"/>
                <w:sz w:val="18"/>
                <w:szCs w:val="18"/>
              </w:rPr>
              <w:t xml:space="preserve">╚════════════════════════════════╝</w:t>
            </w:r>
          </w:p>
        </w:tc>
        <w:tc>
          <w:tcPr>
            <w:tcW w:type="dxa" w:w="3860"/>
            <w:tcBorders>
              <w:top w:val="none"/>
              <w:left w:val="single" w:color="CCCCCC" w:sz="1"/>
              <w:bottom w:val="none"/>
              <w:right w:val="none"/>
            </w:tcBorders>
            <w:tcMar>
              <w:top w:type="dxa" w:w="100"/>
              <w:left w:type="dxa" w:w="150"/>
              <w:bottom w:type="dxa" w:w="100"/>
              <w:right w:type="dxa" w:w="150"/>
            </w:tcMar>
          </w:tcPr>
          <w:p>
            <w:pPr>
              <w:spacing w:after="100"/>
            </w:pPr>
            <w:r>
              <w:rPr>
                <w:rFonts w:ascii="Calibri" w:cs="Calibri" w:eastAsia="Calibri" w:hAnsi="Calibri"/>
                <w:b/>
                <w:bCs/>
                <w:color w:val="0A2342"/>
                <w:sz w:val="22"/>
                <w:szCs w:val="22"/>
              </w:rPr>
              <w:t xml:space="preserve">Elementos de interfaz:</w:t>
            </w:r>
          </w:p>
          <w:p>
            <w:pPr>
              <w:pStyle w:val="ListParagraph"/>
              <w:numPr>
                <w:ilvl w:val="0"/>
                <w:numId w:val="2"/>
              </w:numPr>
              <w:spacing w:after="80"/>
            </w:pPr>
            <w:r>
              <w:rPr>
                <w:rFonts w:ascii="Calibri" w:cs="Calibri" w:eastAsia="Calibri" w:hAnsi="Calibri"/>
                <w:b w:val="false"/>
                <w:bCs w:val="false"/>
                <w:color w:val="2D3748"/>
                <w:sz w:val="22"/>
                <w:szCs w:val="22"/>
              </w:rPr>
              <w:t xml:space="preserve">Campo de correo electrónico con validación de formato</w:t>
            </w:r>
          </w:p>
          <w:p>
            <w:pPr>
              <w:pStyle w:val="ListParagraph"/>
              <w:numPr>
                <w:ilvl w:val="0"/>
                <w:numId w:val="2"/>
              </w:numPr>
              <w:spacing w:after="80"/>
            </w:pPr>
            <w:r>
              <w:rPr>
                <w:rFonts w:ascii="Calibri" w:cs="Calibri" w:eastAsia="Calibri" w:hAnsi="Calibri"/>
                <w:b w:val="false"/>
                <w:bCs w:val="false"/>
                <w:color w:val="2D3748"/>
                <w:sz w:val="22"/>
                <w:szCs w:val="22"/>
              </w:rPr>
              <w:t xml:space="preserve">Campo de contraseña con opción de mostrar/ocultar</w:t>
            </w:r>
          </w:p>
          <w:p>
            <w:pPr>
              <w:pStyle w:val="ListParagraph"/>
              <w:numPr>
                <w:ilvl w:val="0"/>
                <w:numId w:val="2"/>
              </w:numPr>
              <w:spacing w:after="80"/>
            </w:pPr>
            <w:r>
              <w:rPr>
                <w:rFonts w:ascii="Calibri" w:cs="Calibri" w:eastAsia="Calibri" w:hAnsi="Calibri"/>
                <w:b w:val="false"/>
                <w:bCs w:val="false"/>
                <w:color w:val="2D3748"/>
                <w:sz w:val="22"/>
                <w:szCs w:val="22"/>
              </w:rPr>
              <w:t xml:space="preserve">Botón 'Ingresar' en rojo institucional</w:t>
            </w:r>
          </w:p>
          <w:p>
            <w:pPr>
              <w:pStyle w:val="ListParagraph"/>
              <w:numPr>
                <w:ilvl w:val="0"/>
                <w:numId w:val="2"/>
              </w:numPr>
              <w:spacing w:after="80"/>
            </w:pPr>
            <w:r>
              <w:rPr>
                <w:rFonts w:ascii="Calibri" w:cs="Calibri" w:eastAsia="Calibri" w:hAnsi="Calibri"/>
                <w:b w:val="false"/>
                <w:bCs w:val="false"/>
                <w:color w:val="2D3748"/>
                <w:sz w:val="22"/>
                <w:szCs w:val="22"/>
              </w:rPr>
              <w:t xml:space="preserve">Enlace de recuperación de contraseña</w:t>
            </w:r>
          </w:p>
          <w:p>
            <w:pPr>
              <w:spacing w:after="180"/>
            </w:pPr>
            <w:r>
              <w:t xml:space="preserve"/>
            </w:r>
          </w:p>
          <w:p>
            <w:pPr>
              <w:spacing w:after="100"/>
            </w:pPr>
            <w:r>
              <w:rPr>
                <w:rFonts w:ascii="Calibri" w:cs="Calibri" w:eastAsia="Calibri" w:hAnsi="Calibri"/>
                <w:b/>
                <w:bCs/>
                <w:color w:val="C62828"/>
                <w:sz w:val="22"/>
                <w:szCs w:val="22"/>
              </w:rPr>
              <w:t xml:space="preserve">Reglas de negocio:</w:t>
            </w:r>
          </w:p>
          <w:p>
            <w:pPr>
              <w:pStyle w:val="ListParagraph"/>
              <w:numPr>
                <w:ilvl w:val="0"/>
                <w:numId w:val="2"/>
              </w:numPr>
              <w:spacing w:after="80"/>
            </w:pPr>
            <w:r>
              <w:rPr>
                <w:rFonts w:ascii="Calibri" w:cs="Calibri" w:eastAsia="Calibri" w:hAnsi="Calibri"/>
                <w:b w:val="false"/>
                <w:bCs w:val="false"/>
                <w:color w:val="2D3748"/>
                <w:sz w:val="22"/>
                <w:szCs w:val="22"/>
              </w:rPr>
              <w:t xml:space="preserve">Bloqueo automático tras 5 intentos fallidos (30 min)</w:t>
            </w:r>
          </w:p>
          <w:p>
            <w:pPr>
              <w:pStyle w:val="ListParagraph"/>
              <w:numPr>
                <w:ilvl w:val="0"/>
                <w:numId w:val="2"/>
              </w:numPr>
              <w:spacing w:after="80"/>
            </w:pPr>
            <w:r>
              <w:rPr>
                <w:rFonts w:ascii="Calibri" w:cs="Calibri" w:eastAsia="Calibri" w:hAnsi="Calibri"/>
                <w:b w:val="false"/>
                <w:bCs w:val="false"/>
                <w:color w:val="2D3748"/>
                <w:sz w:val="22"/>
                <w:szCs w:val="22"/>
              </w:rPr>
              <w:t xml:space="preserve">Token JWT con máximo 8 horas de vigencia</w:t>
            </w:r>
          </w:p>
          <w:p>
            <w:pPr>
              <w:pStyle w:val="ListParagraph"/>
              <w:numPr>
                <w:ilvl w:val="0"/>
                <w:numId w:val="2"/>
              </w:numPr>
              <w:spacing w:after="80"/>
            </w:pPr>
            <w:r>
              <w:rPr>
                <w:rFonts w:ascii="Calibri" w:cs="Calibri" w:eastAsia="Calibri" w:hAnsi="Calibri"/>
                <w:b w:val="false"/>
                <w:bCs w:val="false"/>
                <w:color w:val="2D3748"/>
                <w:sz w:val="22"/>
                <w:szCs w:val="22"/>
              </w:rPr>
              <w:t xml:space="preserve">Redirección según rol asignado</w:t>
            </w:r>
          </w:p>
          <w:p>
            <w:pPr>
              <w:pStyle w:val="ListParagraph"/>
              <w:numPr>
                <w:ilvl w:val="0"/>
                <w:numId w:val="2"/>
              </w:numPr>
              <w:spacing w:after="80"/>
            </w:pPr>
            <w:r>
              <w:rPr>
                <w:rFonts w:ascii="Calibri" w:cs="Calibri" w:eastAsia="Calibri" w:hAnsi="Calibri"/>
                <w:b w:val="false"/>
                <w:bCs w:val="false"/>
                <w:color w:val="2D3748"/>
                <w:sz w:val="22"/>
                <w:szCs w:val="22"/>
              </w:rPr>
              <w:t xml:space="preserve">Contraseñas expiran cada 90 días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2.2  PANEL DE CONTROL — Dashboard Principal</w:t>
            </w:r>
          </w:p>
        </w:tc>
      </w:tr>
    </w:tbl>
    <w:p>
      <w:pPr>
        <w:spacing w:after="180"/>
      </w:pPr>
      <w:r>
        <w:t xml:space="preserve"/>
      </w:r>
    </w:p>
    <w:p>
      <w:pPr>
        <w:spacing w:after="140"/>
        <w:jc w:val="both"/>
      </w:pPr>
      <w:r>
        <w:rPr>
          <w:rFonts w:ascii="Calibri" w:cs="Calibri" w:eastAsia="Calibri" w:hAnsi="Calibri"/>
          <w:color w:val="2D3748"/>
          <w:sz w:val="22"/>
          <w:szCs w:val="22"/>
        </w:rPr>
        <w:t xml:space="preserve">El panel de control es la interfaz central del sistema. Proporciona una vista consolidada del estado operativo en tiempo real, con actualización automática vía WebSockets.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vAlign w:val="center"/>
          </w:tcPr>
          <w:p>
            <w:pPr>
              <w:jc w:val="center"/>
            </w:pPr>
            <w:r>
              <w:rPr>
                <w:rFonts w:ascii="Segoe UI Emoji" w:cs="Segoe UI Emoji" w:eastAsia="Segoe UI Emoji" w:hAnsi="Segoe UI Emoji"/>
                <w:sz w:val="36"/>
                <w:szCs w:val="36"/>
              </w:rPr>
              <w:t xml:space="preserve">🚑</w:t>
            </w:r>
          </w:p>
          <w:p>
            <w:pPr>
              <w:jc w:val="center"/>
            </w:pPr>
            <w:r>
              <w:rPr>
                <w:rFonts w:ascii="Calibri" w:cs="Calibri" w:eastAsia="Calibri" w:hAnsi="Calibri"/>
                <w:b/>
                <w:bCs/>
                <w:color w:val="FFFFFF"/>
                <w:sz w:val="52"/>
                <w:szCs w:val="52"/>
              </w:rPr>
              <w:t xml:space="preserve">12</w:t>
            </w:r>
          </w:p>
          <w:p>
            <w:pPr>
              <w:jc w:val="center"/>
            </w:pPr>
            <w:r>
              <w:rPr>
                <w:rFonts w:ascii="Calibri" w:cs="Calibri" w:eastAsia="Calibri" w:hAnsi="Calibri"/>
                <w:color w:val="FFFFFF"/>
                <w:sz w:val="18"/>
                <w:szCs w:val="18"/>
              </w:rPr>
              <w:t xml:space="preserve">Servicios Activos</w:t>
            </w:r>
          </w:p>
        </w:tc>
        <w:tc>
          <w:tcPr>
            <w:tcW w:type="dxa" w:w="234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vAlign w:val="center"/>
          </w:tcPr>
          <w:p>
            <w:pPr>
              <w:jc w:val="center"/>
            </w:pPr>
            <w:r>
              <w:rPr>
                <w:rFonts w:ascii="Segoe UI Emoji" w:cs="Segoe UI Emoji" w:eastAsia="Segoe UI Emoji" w:hAnsi="Segoe UI Emoji"/>
                <w:sz w:val="36"/>
                <w:szCs w:val="36"/>
              </w:rPr>
              <w:t xml:space="preserve">🟢</w:t>
            </w:r>
          </w:p>
          <w:p>
            <w:pPr>
              <w:jc w:val="center"/>
            </w:pPr>
            <w:r>
              <w:rPr>
                <w:rFonts w:ascii="Calibri" w:cs="Calibri" w:eastAsia="Calibri" w:hAnsi="Calibri"/>
                <w:b/>
                <w:bCs/>
                <w:color w:val="FFFFFF"/>
                <w:sz w:val="52"/>
                <w:szCs w:val="52"/>
              </w:rPr>
              <w:t xml:space="preserve">7</w:t>
            </w:r>
          </w:p>
          <w:p>
            <w:pPr>
              <w:jc w:val="center"/>
            </w:pPr>
            <w:r>
              <w:rPr>
                <w:rFonts w:ascii="Calibri" w:cs="Calibri" w:eastAsia="Calibri" w:hAnsi="Calibri"/>
                <w:color w:val="FFFFFF"/>
                <w:sz w:val="18"/>
                <w:szCs w:val="18"/>
              </w:rPr>
              <w:t xml:space="preserve">TAB Disponibles</w:t>
            </w:r>
          </w:p>
        </w:tc>
        <w:tc>
          <w:tcPr>
            <w:tcW w:type="dxa" w:w="2340"/>
            <w:tcBorders>
              <w:top w:val="single" w:color="CCCCCC" w:sz="1"/>
              <w:left w:val="single" w:color="CCCCCC" w:sz="1"/>
              <w:bottom w:val="single" w:color="CCCCCC" w:sz="1"/>
              <w:right w:val="single" w:color="CCCCCC" w:sz="1"/>
            </w:tcBorders>
            <w:shd w:fill="B71C1C" w:val="clear"/>
            <w:tcMar>
              <w:top w:type="dxa" w:w="100"/>
              <w:left w:type="dxa" w:w="150"/>
              <w:bottom w:type="dxa" w:w="100"/>
              <w:right w:type="dxa" w:w="150"/>
            </w:tcMar>
            <w:vAlign w:val="center"/>
          </w:tcPr>
          <w:p>
            <w:pPr>
              <w:jc w:val="center"/>
            </w:pPr>
            <w:r>
              <w:rPr>
                <w:rFonts w:ascii="Segoe UI Emoji" w:cs="Segoe UI Emoji" w:eastAsia="Segoe UI Emoji" w:hAnsi="Segoe UI Emoji"/>
                <w:sz w:val="36"/>
                <w:szCs w:val="36"/>
              </w:rPr>
              <w:t xml:space="preserve">🔴</w:t>
            </w:r>
          </w:p>
          <w:p>
            <w:pPr>
              <w:jc w:val="center"/>
            </w:pPr>
            <w:r>
              <w:rPr>
                <w:rFonts w:ascii="Calibri" w:cs="Calibri" w:eastAsia="Calibri" w:hAnsi="Calibri"/>
                <w:b/>
                <w:bCs/>
                <w:color w:val="FFFFFF"/>
                <w:sz w:val="52"/>
                <w:szCs w:val="52"/>
              </w:rPr>
              <w:t xml:space="preserve">3</w:t>
            </w:r>
          </w:p>
          <w:p>
            <w:pPr>
              <w:jc w:val="center"/>
            </w:pPr>
            <w:r>
              <w:rPr>
                <w:rFonts w:ascii="Calibri" w:cs="Calibri" w:eastAsia="Calibri" w:hAnsi="Calibri"/>
                <w:color w:val="FFFFFF"/>
                <w:sz w:val="18"/>
                <w:szCs w:val="18"/>
              </w:rPr>
              <w:t xml:space="preserve">TAM Disponibles</w:t>
            </w:r>
          </w:p>
        </w:tc>
        <w:tc>
          <w:tcPr>
            <w:tcW w:type="dxa" w:w="2340"/>
            <w:tcBorders>
              <w:top w:val="single" w:color="CCCCCC" w:sz="1"/>
              <w:left w:val="single" w:color="CCCCCC" w:sz="1"/>
              <w:bottom w:val="single" w:color="CCCCCC" w:sz="1"/>
              <w:right w:val="single" w:color="CCCCCC" w:sz="1"/>
            </w:tcBorders>
            <w:shd w:fill="C62828" w:val="clear"/>
            <w:tcMar>
              <w:top w:type="dxa" w:w="100"/>
              <w:left w:type="dxa" w:w="150"/>
              <w:bottom w:type="dxa" w:w="100"/>
              <w:right w:type="dxa" w:w="150"/>
            </w:tcMar>
            <w:vAlign w:val="center"/>
          </w:tcPr>
          <w:p>
            <w:pPr>
              <w:jc w:val="center"/>
            </w:pPr>
            <w:r>
              <w:rPr>
                <w:rFonts w:ascii="Segoe UI Emoji" w:cs="Segoe UI Emoji" w:eastAsia="Segoe UI Emoji" w:hAnsi="Segoe UI Emoji"/>
                <w:sz w:val="36"/>
                <w:szCs w:val="36"/>
              </w:rPr>
              <w:t xml:space="preserve">⚠️</w:t>
            </w:r>
          </w:p>
          <w:p>
            <w:pPr>
              <w:jc w:val="center"/>
            </w:pPr>
            <w:r>
              <w:rPr>
                <w:rFonts w:ascii="Calibri" w:cs="Calibri" w:eastAsia="Calibri" w:hAnsi="Calibri"/>
                <w:b/>
                <w:bCs/>
                <w:color w:val="FFFFFF"/>
                <w:sz w:val="52"/>
                <w:szCs w:val="52"/>
              </w:rPr>
              <w:t xml:space="preserve">2</w:t>
            </w:r>
          </w:p>
          <w:p>
            <w:pPr>
              <w:jc w:val="center"/>
            </w:pPr>
            <w:r>
              <w:rPr>
                <w:rFonts w:ascii="Calibri" w:cs="Calibri" w:eastAsia="Calibri" w:hAnsi="Calibri"/>
                <w:color w:val="FFFFFF"/>
                <w:sz w:val="18"/>
                <w:szCs w:val="18"/>
              </w:rPr>
              <w:t xml:space="preserve">Alertas Críticas</w:t>
            </w:r>
          </w:p>
        </w:tc>
      </w:tr>
    </w:tbl>
    <w:p>
      <w:pPr>
        <w:spacing w:after="180"/>
      </w:pPr>
      <w:r>
        <w:t xml:space="preserve"/>
      </w:r>
    </w:p>
    <w:p>
      <w:pPr>
        <w:spacing w:after="140"/>
        <w:jc w:val="both"/>
      </w:pPr>
      <w:r>
        <w:rPr>
          <w:rFonts w:ascii="Calibri" w:cs="Calibri" w:eastAsia="Calibri" w:hAnsi="Calibri"/>
          <w:color w:val="2D3748"/>
          <w:sz w:val="22"/>
          <w:szCs w:val="22"/>
        </w:rPr>
        <w:t xml:space="preserve">Indicadores de prioridad de servicios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1500"/>
        <w:gridCol w:w="2960"/>
      </w:tblGrid>
      <w:tr>
        <w:tc>
          <w:tcPr>
            <w:tcW w:type="dxa" w:w="12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20"/>
                <w:szCs w:val="20"/>
              </w:rPr>
              <w:t xml:space="preserve">Prioridad</w:t>
            </w:r>
          </w:p>
        </w:tc>
        <w:tc>
          <w:tcPr>
            <w:tcW w:type="dxa" w:w="37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c>
          <w:tcPr>
            <w:tcW w:type="dxa" w:w="1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20"/>
                <w:szCs w:val="20"/>
              </w:rPr>
              <w:t xml:space="preserve">Unidad</w:t>
            </w:r>
          </w:p>
        </w:tc>
        <w:tc>
          <w:tcPr>
            <w:tcW w:type="dxa" w:w="296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20"/>
                <w:szCs w:val="20"/>
              </w:rPr>
              <w:t xml:space="preserve">Color del Sistema</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P1 🔴 CRÍTICA</w:t>
            </w:r>
          </w:p>
        </w:tc>
        <w:tc>
          <w:tcPr>
            <w:tcW w:type="dxa" w:w="37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Calibri" w:cs="Calibri" w:eastAsia="Calibri" w:hAnsi="Calibri"/>
                <w:color w:val="2D3748"/>
                <w:sz w:val="20"/>
                <w:szCs w:val="20"/>
              </w:rPr>
              <w:t xml:space="preserve">Paciente en riesgo inminente de vida — atención inmediata</w:t>
            </w:r>
          </w:p>
        </w:tc>
        <w:tc>
          <w:tcPr>
            <w:tcW w:type="dxa" w:w="1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TAM</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ROJO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P2 🟠 URGENTE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color w:val="2D3748"/>
                <w:sz w:val="20"/>
                <w:szCs w:val="20"/>
              </w:rPr>
              <w:t xml:space="preserve">Condición grave que requiere atención rápida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TAM / TAB</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NARANJA</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P3 🟡 MODERADA</w:t>
            </w:r>
          </w:p>
        </w:tc>
        <w:tc>
          <w:tcPr>
            <w:tcW w:type="dxa" w:w="37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Calibri" w:cs="Calibri" w:eastAsia="Calibri" w:hAnsi="Calibri"/>
                <w:color w:val="2D3748"/>
                <w:sz w:val="20"/>
                <w:szCs w:val="20"/>
              </w:rPr>
              <w:t xml:space="preserve">Condición que puede esperar sin riesgo inmediato</w:t>
            </w:r>
          </w:p>
        </w:tc>
        <w:tc>
          <w:tcPr>
            <w:tcW w:type="dxa" w:w="1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TAB</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AMARILLO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P4 🟢 LEVE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color w:val="2D3748"/>
                <w:sz w:val="20"/>
                <w:szCs w:val="20"/>
              </w:rPr>
              <w:t xml:space="preserve">Traslado programado o condición no urgente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TAB</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color w:val="2D3748"/>
                <w:sz w:val="20"/>
                <w:szCs w:val="20"/>
              </w:rPr>
              <w:t xml:space="preserve">VERDE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2.3  MÓDULO GESTIÓN DE AMBULANCIAS</w:t>
            </w:r>
          </w:p>
        </w:tc>
      </w:tr>
    </w:tbl>
    <w:p>
      <w:pPr>
        <w:spacing w:after="180"/>
      </w:pPr>
      <w:r>
        <w:t xml:space="preserve"/>
      </w:r>
    </w:p>
    <w:p>
      <w:pPr>
        <w:spacing w:after="140"/>
        <w:jc w:val="both"/>
      </w:pPr>
      <w:r>
        <w:rPr>
          <w:rFonts w:ascii="Calibri" w:cs="Calibri" w:eastAsia="Calibri" w:hAnsi="Calibri"/>
          <w:color w:val="2D3748"/>
          <w:sz w:val="22"/>
          <w:szCs w:val="22"/>
        </w:rPr>
        <w:t xml:space="preserve">Este módulo permite el registro, consulta, actualización y eliminación lógica de ambulancias. Diferencia visualmente las unidades TAB (verde) y TAM (rojo) en todos los paneles.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600"/>
        <w:gridCol w:w="1500"/>
        <w:gridCol w:w="1260"/>
      </w:tblGrid>
      <w:tr>
        <w:tc>
          <w:tcPr>
            <w:tcW w:type="dxa" w:w="14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N° Unidad</w:t>
            </w:r>
          </w:p>
        </w:tc>
        <w:tc>
          <w:tcPr>
            <w:tcW w:type="dxa" w:w="18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Placa</w:t>
            </w:r>
          </w:p>
        </w:tc>
        <w:tc>
          <w:tcPr>
            <w:tcW w:type="dxa" w:w="18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Estado</w:t>
            </w:r>
          </w:p>
        </w:tc>
        <w:tc>
          <w:tcPr>
            <w:tcW w:type="dxa" w:w="1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Documentación</w:t>
            </w:r>
          </w:p>
        </w:tc>
        <w:tc>
          <w:tcPr>
            <w:tcW w:type="dxa" w:w="126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Acciones</w:t>
            </w:r>
          </w:p>
        </w:tc>
      </w:tr>
      <w:tr>
        <w:tc>
          <w:tcPr>
            <w:tcW w:type="dxa" w:w="14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AMB-001</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ABC-123</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TAB</w:t>
            </w:r>
          </w:p>
        </w:tc>
        <w:tc>
          <w:tcPr>
            <w:tcW w:type="dxa" w:w="16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Disponible</w:t>
            </w:r>
          </w:p>
        </w:tc>
        <w:tc>
          <w:tcPr>
            <w:tcW w:type="dxa" w:w="15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SOAT: ✅ REPS: ✅</w:t>
            </w:r>
          </w:p>
        </w:tc>
        <w:tc>
          <w:tcPr>
            <w:tcW w:type="dxa" w:w="126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w:t>
            </w:r>
          </w:p>
        </w:tc>
      </w:tr>
      <w:tr>
        <w:tc>
          <w:tcPr>
            <w:tcW w:type="dxa" w:w="14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AMB-002</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DEF-456</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TAM</w:t>
            </w:r>
          </w:p>
        </w:tc>
        <w:tc>
          <w:tcPr>
            <w:tcW w:type="dxa" w:w="16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En Servicio</w:t>
            </w:r>
          </w:p>
        </w:tc>
        <w:tc>
          <w:tcPr>
            <w:tcW w:type="dxa" w:w="1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SOAT: ✅ REPS: ✅</w:t>
            </w:r>
          </w:p>
        </w:tc>
        <w:tc>
          <w:tcPr>
            <w:tcW w:type="dxa" w:w="126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w:t>
            </w:r>
          </w:p>
        </w:tc>
      </w:tr>
      <w:tr>
        <w:tc>
          <w:tcPr>
            <w:tcW w:type="dxa" w:w="14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AMB-003</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GHI-789</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TAB</w:t>
            </w:r>
          </w:p>
        </w:tc>
        <w:tc>
          <w:tcPr>
            <w:tcW w:type="dxa" w:w="16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Mantenimiento</w:t>
            </w:r>
          </w:p>
        </w:tc>
        <w:tc>
          <w:tcPr>
            <w:tcW w:type="dxa" w:w="15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SOAT: ✅ REPS: ⚠️</w:t>
            </w:r>
          </w:p>
        </w:tc>
        <w:tc>
          <w:tcPr>
            <w:tcW w:type="dxa" w:w="126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w:t>
            </w:r>
          </w:p>
        </w:tc>
      </w:tr>
      <w:tr>
        <w:tc>
          <w:tcPr>
            <w:tcW w:type="dxa" w:w="14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AMB-004</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JKL-012</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TAM</w:t>
            </w:r>
          </w:p>
        </w:tc>
        <w:tc>
          <w:tcPr>
            <w:tcW w:type="dxa" w:w="16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Fuera Servicio</w:t>
            </w:r>
          </w:p>
        </w:tc>
        <w:tc>
          <w:tcPr>
            <w:tcW w:type="dxa" w:w="1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SOAT: ❌ REPS: ✅</w:t>
            </w:r>
          </w:p>
        </w:tc>
        <w:tc>
          <w:tcPr>
            <w:tcW w:type="dxa" w:w="126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2.4  MÓDULO DE SOLICITUDES DE EMERGENCIA Y ASIGNACIÓN</w:t>
            </w:r>
          </w:p>
        </w:tc>
      </w:tr>
    </w:tbl>
    <w:p>
      <w:pPr>
        <w:spacing w:after="180"/>
      </w:pPr>
      <w:r>
        <w:t xml:space="preserve"/>
      </w:r>
    </w:p>
    <w:p>
      <w:pPr>
        <w:spacing w:after="140"/>
        <w:jc w:val="both"/>
      </w:pPr>
      <w:r>
        <w:rPr>
          <w:rFonts w:ascii="Calibri" w:cs="Calibri" w:eastAsia="Calibri" w:hAnsi="Calibri"/>
          <w:color w:val="2D3748"/>
          <w:sz w:val="22"/>
          <w:szCs w:val="22"/>
        </w:rPr>
        <w:t xml:space="preserve">Este módulo gestiona el ciclo completo de la atención prehospitalaria desde la recepción de la solicitud hasta el cierre del servicio. La asignación automática se ejecuta en máximo 2 segundos.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spacing w:after="100"/>
            </w:pPr>
            <w:r>
              <w:rPr>
                <w:rFonts w:ascii="Calibri" w:cs="Calibri" w:eastAsia="Calibri" w:hAnsi="Calibri"/>
                <w:b/>
                <w:bCs/>
                <w:color w:val="0A2342"/>
                <w:sz w:val="24"/>
                <w:szCs w:val="24"/>
              </w:rPr>
              <w:t xml:space="preserve">Registro de Solicitud</w:t>
            </w:r>
          </w:p>
          <w:p>
            <w:pPr>
              <w:pStyle w:val="ListParagraph"/>
              <w:numPr>
                <w:ilvl w:val="0"/>
                <w:numId w:val="2"/>
              </w:numPr>
              <w:spacing w:after="80"/>
            </w:pPr>
            <w:r>
              <w:rPr>
                <w:rFonts w:ascii="Calibri" w:cs="Calibri" w:eastAsia="Calibri" w:hAnsi="Calibri"/>
                <w:b w:val="false"/>
                <w:bCs w:val="false"/>
                <w:color w:val="2D3748"/>
                <w:sz w:val="22"/>
                <w:szCs w:val="22"/>
              </w:rPr>
              <w:t xml:space="preserve">Hora de solicitud (automática)</w:t>
            </w:r>
          </w:p>
          <w:p>
            <w:pPr>
              <w:pStyle w:val="ListParagraph"/>
              <w:numPr>
                <w:ilvl w:val="0"/>
                <w:numId w:val="2"/>
              </w:numPr>
              <w:spacing w:after="80"/>
            </w:pPr>
            <w:r>
              <w:rPr>
                <w:rFonts w:ascii="Calibri" w:cs="Calibri" w:eastAsia="Calibri" w:hAnsi="Calibri"/>
                <w:b w:val="false"/>
                <w:bCs w:val="false"/>
                <w:color w:val="2D3748"/>
                <w:sz w:val="22"/>
                <w:szCs w:val="22"/>
              </w:rPr>
              <w:t xml:space="preserve">Dirección / Coordenadas del evento</w:t>
            </w:r>
          </w:p>
          <w:p>
            <w:pPr>
              <w:pStyle w:val="ListParagraph"/>
              <w:numPr>
                <w:ilvl w:val="0"/>
                <w:numId w:val="2"/>
              </w:numPr>
              <w:spacing w:after="80"/>
            </w:pPr>
            <w:r>
              <w:rPr>
                <w:rFonts w:ascii="Calibri" w:cs="Calibri" w:eastAsia="Calibri" w:hAnsi="Calibri"/>
                <w:b w:val="false"/>
                <w:bCs w:val="false"/>
                <w:color w:val="2D3748"/>
                <w:sz w:val="22"/>
                <w:szCs w:val="22"/>
              </w:rPr>
              <w:t xml:space="preserve">Tipo de emergencia</w:t>
            </w:r>
          </w:p>
          <w:p>
            <w:pPr>
              <w:pStyle w:val="ListParagraph"/>
              <w:numPr>
                <w:ilvl w:val="0"/>
                <w:numId w:val="2"/>
              </w:numPr>
              <w:spacing w:after="80"/>
            </w:pPr>
            <w:r>
              <w:rPr>
                <w:rFonts w:ascii="Calibri" w:cs="Calibri" w:eastAsia="Calibri" w:hAnsi="Calibri"/>
                <w:b w:val="false"/>
                <w:bCs w:val="false"/>
                <w:color w:val="2D3748"/>
                <w:sz w:val="22"/>
                <w:szCs w:val="22"/>
              </w:rPr>
              <w:t xml:space="preserve">Nivel de prioridad clínica (P1-P4)</w:t>
            </w:r>
          </w:p>
          <w:p>
            <w:pPr>
              <w:pStyle w:val="ListParagraph"/>
              <w:numPr>
                <w:ilvl w:val="0"/>
                <w:numId w:val="2"/>
              </w:numPr>
              <w:spacing w:after="80"/>
            </w:pPr>
            <w:r>
              <w:rPr>
                <w:rFonts w:ascii="Calibri" w:cs="Calibri" w:eastAsia="Calibri" w:hAnsi="Calibri"/>
                <w:b w:val="false"/>
                <w:bCs w:val="false"/>
                <w:color w:val="2D3748"/>
                <w:sz w:val="22"/>
                <w:szCs w:val="22"/>
              </w:rPr>
              <w:t xml:space="preserve">Datos del solicitante / paciente</w:t>
            </w:r>
          </w:p>
          <w:p>
            <w:pPr>
              <w:pStyle w:val="ListParagraph"/>
              <w:numPr>
                <w:ilvl w:val="0"/>
                <w:numId w:val="2"/>
              </w:numPr>
              <w:spacing w:after="80"/>
            </w:pPr>
            <w:r>
              <w:rPr>
                <w:rFonts w:ascii="Calibri" w:cs="Calibri" w:eastAsia="Calibri" w:hAnsi="Calibri"/>
                <w:b w:val="false"/>
                <w:bCs w:val="false"/>
                <w:color w:val="2D3748"/>
                <w:sz w:val="22"/>
                <w:szCs w:val="22"/>
              </w:rPr>
              <w:t xml:space="preserve">Antecedentes médicos relevantes</w:t>
            </w:r>
          </w:p>
        </w:tc>
        <w:tc>
          <w:tcPr>
            <w:tcW w:type="dxa" w:w="4680"/>
            <w:tcBorders>
              <w:top w:val="single" w:color="CCCCCC" w:sz="1"/>
              <w:left w:val="single" w:color="CCCCCC" w:sz="1"/>
              <w:bottom w:val="single" w:color="CCCCCC" w:sz="1"/>
              <w:right w:val="single" w:color="CCCCCC" w:sz="1"/>
            </w:tcBorders>
            <w:shd w:fill="FFF3F3" w:val="clear"/>
            <w:tcMar>
              <w:top w:type="dxa" w:w="100"/>
              <w:left w:type="dxa" w:w="150"/>
              <w:bottom w:type="dxa" w:w="100"/>
              <w:right w:type="dxa" w:w="150"/>
            </w:tcMar>
          </w:tcPr>
          <w:p>
            <w:pPr>
              <w:spacing w:after="100"/>
            </w:pPr>
            <w:r>
              <w:rPr>
                <w:rFonts w:ascii="Calibri" w:cs="Calibri" w:eastAsia="Calibri" w:hAnsi="Calibri"/>
                <w:b/>
                <w:bCs/>
                <w:color w:val="C62828"/>
                <w:sz w:val="24"/>
                <w:szCs w:val="24"/>
              </w:rPr>
              <w:t xml:space="preserve">Ciclo de Vida del Servicio</w:t>
            </w:r>
          </w:p>
          <w:p>
            <w:pPr>
              <w:pStyle w:val="ListParagraph"/>
              <w:numPr>
                <w:ilvl w:val="0"/>
                <w:numId w:val="2"/>
              </w:numPr>
              <w:spacing w:after="80"/>
            </w:pPr>
            <w:r>
              <w:rPr>
                <w:rFonts w:ascii="Calibri" w:cs="Calibri" w:eastAsia="Calibri" w:hAnsi="Calibri"/>
                <w:b w:val="false"/>
                <w:bCs w:val="false"/>
                <w:color w:val="2D3748"/>
                <w:sz w:val="22"/>
                <w:szCs w:val="22"/>
              </w:rPr>
              <w:t xml:space="preserve">📥 Solicitado</w:t>
            </w:r>
          </w:p>
          <w:p>
            <w:pPr>
              <w:pStyle w:val="ListParagraph"/>
              <w:numPr>
                <w:ilvl w:val="0"/>
                <w:numId w:val="2"/>
              </w:numPr>
              <w:spacing w:after="80"/>
            </w:pPr>
            <w:r>
              <w:rPr>
                <w:rFonts w:ascii="Calibri" w:cs="Calibri" w:eastAsia="Calibri" w:hAnsi="Calibri"/>
                <w:b w:val="false"/>
                <w:bCs w:val="false"/>
                <w:color w:val="2D3748"/>
                <w:sz w:val="22"/>
                <w:szCs w:val="22"/>
              </w:rPr>
              <w:t xml:space="preserve">📋 Asignado (Ambulancia + Personal)</w:t>
            </w:r>
          </w:p>
          <w:p>
            <w:pPr>
              <w:pStyle w:val="ListParagraph"/>
              <w:numPr>
                <w:ilvl w:val="0"/>
                <w:numId w:val="2"/>
              </w:numPr>
              <w:spacing w:after="80"/>
            </w:pPr>
            <w:r>
              <w:rPr>
                <w:rFonts w:ascii="Calibri" w:cs="Calibri" w:eastAsia="Calibri" w:hAnsi="Calibri"/>
                <w:b w:val="false"/>
                <w:bCs w:val="false"/>
                <w:color w:val="2D3748"/>
                <w:sz w:val="22"/>
                <w:szCs w:val="22"/>
              </w:rPr>
              <w:t xml:space="preserve">🚗 En Ruta</w:t>
            </w:r>
          </w:p>
          <w:p>
            <w:pPr>
              <w:pStyle w:val="ListParagraph"/>
              <w:numPr>
                <w:ilvl w:val="0"/>
                <w:numId w:val="2"/>
              </w:numPr>
              <w:spacing w:after="80"/>
            </w:pPr>
            <w:r>
              <w:rPr>
                <w:rFonts w:ascii="Calibri" w:cs="Calibri" w:eastAsia="Calibri" w:hAnsi="Calibri"/>
                <w:b w:val="false"/>
                <w:bCs w:val="false"/>
                <w:color w:val="2D3748"/>
                <w:sz w:val="22"/>
                <w:szCs w:val="22"/>
              </w:rPr>
              <w:t xml:space="preserve">🏥 En Atención</w:t>
            </w:r>
          </w:p>
          <w:p>
            <w:pPr>
              <w:pStyle w:val="ListParagraph"/>
              <w:numPr>
                <w:ilvl w:val="0"/>
                <w:numId w:val="2"/>
              </w:numPr>
              <w:spacing w:after="80"/>
            </w:pPr>
            <w:r>
              <w:rPr>
                <w:rFonts w:ascii="Calibri" w:cs="Calibri" w:eastAsia="Calibri" w:hAnsi="Calibri"/>
                <w:b w:val="false"/>
                <w:bCs w:val="false"/>
                <w:color w:val="2D3748"/>
                <w:sz w:val="22"/>
                <w:szCs w:val="22"/>
              </w:rPr>
              <w:t xml:space="preserve">🔄 Traslado</w:t>
            </w:r>
          </w:p>
          <w:p>
            <w:pPr>
              <w:pStyle w:val="ListParagraph"/>
              <w:numPr>
                <w:ilvl w:val="0"/>
                <w:numId w:val="2"/>
              </w:numPr>
              <w:spacing w:after="80"/>
            </w:pPr>
            <w:r>
              <w:rPr>
                <w:rFonts w:ascii="Calibri" w:cs="Calibri" w:eastAsia="Calibri" w:hAnsi="Calibri"/>
                <w:b w:val="false"/>
                <w:bCs w:val="false"/>
                <w:color w:val="2D3748"/>
                <w:sz w:val="22"/>
                <w:szCs w:val="22"/>
              </w:rPr>
              <w:t xml:space="preserve">✅ Finalizado / ❌ Cancelado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2.5  PANEL DE MONITOREO EN TIEMPO REAL</w:t>
            </w:r>
          </w:p>
        </w:tc>
      </w:tr>
    </w:tbl>
    <w:p>
      <w:pPr>
        <w:spacing w:after="180"/>
      </w:pPr>
      <w:r>
        <w:t xml:space="preserve"/>
      </w:r>
    </w:p>
    <w:p>
      <w:pPr>
        <w:spacing w:after="140"/>
        <w:jc w:val="both"/>
      </w:pPr>
      <w:r>
        <w:rPr>
          <w:rFonts w:ascii="Calibri" w:cs="Calibri" w:eastAsia="Calibri" w:hAnsi="Calibri"/>
          <w:color w:val="2D3748"/>
          <w:sz w:val="22"/>
          <w:szCs w:val="22"/>
        </w:rPr>
        <w:t xml:space="preserve">El panel de monitoreo proporciona visibilidad completa del estado operativo del sistema mediante WebSockets, sin necesidad de recargar la página.</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00"/>
        <w:gridCol w:w="1500"/>
        <w:gridCol w:w="1520"/>
      </w:tblGrid>
      <w:tr>
        <w:tc>
          <w:tcPr>
            <w:tcW w:type="dxa" w:w="234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Ambulancia</w:t>
            </w:r>
          </w:p>
        </w:tc>
        <w:tc>
          <w:tcPr>
            <w:tcW w:type="dxa" w:w="18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Tipo</w:t>
            </w:r>
          </w:p>
        </w:tc>
        <w:tc>
          <w:tcPr>
            <w:tcW w:type="dxa" w:w="22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Estado</w:t>
            </w:r>
          </w:p>
        </w:tc>
        <w:tc>
          <w:tcPr>
            <w:tcW w:type="dxa" w:w="1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Personal</w:t>
            </w:r>
          </w:p>
        </w:tc>
        <w:tc>
          <w:tcPr>
            <w:tcW w:type="dxa" w:w="152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Última actualización</w:t>
            </w:r>
          </w:p>
        </w:tc>
      </w:tr>
      <w:tr>
        <w:tc>
          <w:tcPr>
            <w:tcW w:type="dxa" w:w="234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AMB-001 (ABC-123)</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TAB</w:t>
            </w:r>
          </w:p>
        </w:tc>
        <w:tc>
          <w:tcPr>
            <w:tcW w:type="dxa" w:w="22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DISPONIBLE</w:t>
            </w:r>
          </w:p>
        </w:tc>
        <w:tc>
          <w:tcPr>
            <w:tcW w:type="dxa" w:w="15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García / Muñoz</w:t>
            </w:r>
          </w:p>
        </w:tc>
        <w:tc>
          <w:tcPr>
            <w:tcW w:type="dxa" w:w="152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hace 30 seg</w:t>
            </w:r>
          </w:p>
        </w:tc>
      </w:tr>
      <w:tr>
        <w:tc>
          <w:tcPr>
            <w:tcW w:type="dxa" w:w="234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AMB-002 (DEF-456)</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TAM</w:t>
            </w:r>
          </w:p>
        </w:tc>
        <w:tc>
          <w:tcPr>
            <w:tcW w:type="dxa" w:w="2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EN SERVICIO</w:t>
            </w:r>
          </w:p>
        </w:tc>
        <w:tc>
          <w:tcPr>
            <w:tcW w:type="dxa" w:w="1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Dr. Torres / Pérez</w:t>
            </w:r>
          </w:p>
        </w:tc>
        <w:tc>
          <w:tcPr>
            <w:tcW w:type="dxa" w:w="152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hace 2 min</w:t>
            </w:r>
          </w:p>
        </w:tc>
      </w:tr>
      <w:tr>
        <w:tc>
          <w:tcPr>
            <w:tcW w:type="dxa" w:w="234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AMB-003 (GHI-789)</w:t>
            </w:r>
          </w:p>
        </w:tc>
        <w:tc>
          <w:tcPr>
            <w:tcW w:type="dxa" w:w="18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TAB</w:t>
            </w:r>
          </w:p>
        </w:tc>
        <w:tc>
          <w:tcPr>
            <w:tcW w:type="dxa" w:w="22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MANTENIMIENTO</w:t>
            </w:r>
          </w:p>
        </w:tc>
        <w:tc>
          <w:tcPr>
            <w:tcW w:type="dxa" w:w="150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w:t>
            </w:r>
          </w:p>
        </w:tc>
        <w:tc>
          <w:tcPr>
            <w:tcW w:type="dxa" w:w="152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hace 1 hora</w:t>
            </w:r>
          </w:p>
        </w:tc>
      </w:tr>
      <w:tr>
        <w:tc>
          <w:tcPr>
            <w:tcW w:type="dxa" w:w="234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AMB-005 (MNO-678)</w:t>
            </w:r>
          </w:p>
        </w:tc>
        <w:tc>
          <w:tcPr>
            <w:tcW w:type="dxa" w:w="1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TAM</w:t>
            </w:r>
          </w:p>
        </w:tc>
        <w:tc>
          <w:tcPr>
            <w:tcW w:type="dxa" w:w="2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 EN RUTA</w:t>
            </w:r>
          </w:p>
        </w:tc>
        <w:tc>
          <w:tcPr>
            <w:tcW w:type="dxa" w:w="1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Dr. López / Castro</w:t>
            </w:r>
          </w:p>
        </w:tc>
        <w:tc>
          <w:tcPr>
            <w:tcW w:type="dxa" w:w="152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jc w:val="center"/>
            </w:pPr>
            <w:r>
              <w:rPr>
                <w:rFonts w:ascii="Calibri" w:cs="Calibri" w:eastAsia="Calibri" w:hAnsi="Calibri"/>
                <w:color w:val="2D3748"/>
                <w:sz w:val="18"/>
                <w:szCs w:val="18"/>
              </w:rPr>
              <w:t xml:space="preserve">hace 45 seg</w:t>
            </w:r>
          </w:p>
        </w:tc>
      </w:tr>
    </w:tbl>
    <w:p>
      <w:pPr>
        <w:spacing w:after="180"/>
      </w:pPr>
      <w:r>
        <w:t xml:space="preserve"/>
      </w:r>
    </w:p>
    <w:p>
      <w:r>
        <w:br w:type="page"/>
      </w:r>
    </w:p>
    <w:p>
      <w:pPr>
        <w:pStyle w:val="Heading1"/>
        <w:pBdr>
          <w:bottom w:val="single" w:color="1565C0" w:sz="6" w:space="4"/>
        </w:pBdr>
        <w:spacing w:after="180" w:before="360"/>
      </w:pPr>
      <w:r>
        <w:rPr>
          <w:rFonts w:ascii="Calibri" w:cs="Calibri" w:eastAsia="Calibri" w:hAnsi="Calibri"/>
          <w:b/>
          <w:bCs/>
          <w:color w:val="0A2342"/>
          <w:sz w:val="36"/>
          <w:szCs w:val="36"/>
        </w:rPr>
        <w:t xml:space="preserve">3. MEJORAS PROPUESTAS Y BENEFICIOS ESPERADOS</w:t>
      </w:r>
    </w:p>
    <w:p>
      <w:pPr>
        <w:pStyle w:val="Heading2"/>
        <w:spacing w:after="120" w:before="240"/>
      </w:pPr>
      <w:r>
        <w:rPr>
          <w:rFonts w:ascii="Calibri" w:cs="Calibri" w:eastAsia="Calibri" w:hAnsi="Calibri"/>
          <w:b/>
          <w:bCs/>
          <w:color w:val="0A2342"/>
          <w:sz w:val="28"/>
          <w:szCs w:val="28"/>
        </w:rPr>
        <w:t xml:space="preserve">3.1 Mejoras de Desarrollo</w:t>
      </w:r>
    </w:p>
    <w:p>
      <w:pPr>
        <w:pStyle w:val="ListParagraph"/>
        <w:numPr>
          <w:ilvl w:val="0"/>
          <w:numId w:val="2"/>
        </w:numPr>
        <w:spacing w:after="80"/>
      </w:pPr>
      <w:r>
        <w:rPr>
          <w:rFonts w:ascii="Calibri" w:cs="Calibri" w:eastAsia="Calibri" w:hAnsi="Calibri"/>
          <w:b/>
          <w:bCs/>
          <w:color w:val="2D3748"/>
          <w:sz w:val="22"/>
          <w:szCs w:val="22"/>
        </w:rPr>
        <w:t xml:space="preserve">Implementar el sistema de forma progresiva iniciando por un MVP bien validado.</w:t>
      </w:r>
    </w:p>
    <w:p>
      <w:pPr>
        <w:pStyle w:val="ListParagraph"/>
        <w:numPr>
          <w:ilvl w:val="0"/>
          <w:numId w:val="2"/>
        </w:numPr>
        <w:spacing w:after="80"/>
      </w:pPr>
      <w:r>
        <w:rPr>
          <w:rFonts w:ascii="Calibri" w:cs="Calibri" w:eastAsia="Calibri" w:hAnsi="Calibri"/>
          <w:b/>
          <w:bCs/>
          <w:color w:val="2D3748"/>
          <w:sz w:val="22"/>
          <w:szCs w:val="22"/>
        </w:rPr>
        <w:t xml:space="preserve">Validar la solución con usuarios reales antes del desarrollo completo.</w:t>
      </w:r>
    </w:p>
    <w:p>
      <w:pPr>
        <w:pStyle w:val="ListParagraph"/>
        <w:numPr>
          <w:ilvl w:val="0"/>
          <w:numId w:val="2"/>
        </w:numPr>
        <w:spacing w:after="80"/>
      </w:pPr>
      <w:r>
        <w:rPr>
          <w:rFonts w:ascii="Calibri" w:cs="Calibri" w:eastAsia="Calibri" w:hAnsi="Calibri"/>
          <w:b/>
          <w:bCs/>
          <w:color w:val="2D3748"/>
          <w:sz w:val="22"/>
          <w:szCs w:val="22"/>
        </w:rPr>
        <w:t xml:space="preserve">Evitar dependencia de una tecnología específica desde el inicio.</w:t>
      </w:r>
    </w:p>
    <w:p>
      <w:pPr>
        <w:pStyle w:val="ListParagraph"/>
        <w:numPr>
          <w:ilvl w:val="0"/>
          <w:numId w:val="2"/>
        </w:numPr>
        <w:spacing w:after="80"/>
      </w:pPr>
      <w:r>
        <w:rPr>
          <w:rFonts w:ascii="Calibri" w:cs="Calibri" w:eastAsia="Calibri" w:hAnsi="Calibri"/>
          <w:b/>
          <w:bCs/>
          <w:color w:val="2D3748"/>
          <w:sz w:val="22"/>
          <w:szCs w:val="22"/>
        </w:rPr>
        <w:t xml:space="preserve">Incorporar controles que eviten conflictos en asignación simultánea de ambulancias.</w:t>
      </w:r>
    </w:p>
    <w:p>
      <w:pPr>
        <w:pStyle w:val="ListParagraph"/>
        <w:numPr>
          <w:ilvl w:val="0"/>
          <w:numId w:val="2"/>
        </w:numPr>
        <w:spacing w:after="80"/>
      </w:pPr>
      <w:r>
        <w:rPr>
          <w:rFonts w:ascii="Calibri" w:cs="Calibri" w:eastAsia="Calibri" w:hAnsi="Calibri"/>
          <w:b/>
          <w:bCs/>
          <w:color w:val="2D3748"/>
          <w:sz w:val="22"/>
          <w:szCs w:val="22"/>
        </w:rPr>
        <w:t xml:space="preserve">Precargar competencias y resultados de aprendizaje del personal médico.</w:t>
      </w:r>
    </w:p>
    <w:p>
      <w:pPr>
        <w:spacing w:after="180"/>
      </w:pPr>
      <w:r>
        <w:t xml:space="preserve"/>
      </w:r>
    </w:p>
    <w:p>
      <w:pPr>
        <w:pStyle w:val="Heading2"/>
        <w:spacing w:after="120" w:before="240"/>
      </w:pPr>
      <w:r>
        <w:rPr>
          <w:rFonts w:ascii="Calibri" w:cs="Calibri" w:eastAsia="Calibri" w:hAnsi="Calibri"/>
          <w:b/>
          <w:bCs/>
          <w:color w:val="0A2342"/>
          <w:sz w:val="28"/>
          <w:szCs w:val="28"/>
        </w:rPr>
        <w:t xml:space="preserve">3.2 Beneficios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pPr>
              <w:jc w:val="center"/>
            </w:pPr>
            <w:r>
              <w:rPr>
                <w:rFonts w:ascii="Calibri" w:cs="Calibri" w:eastAsia="Calibri" w:hAnsi="Calibri"/>
                <w:b/>
                <w:bCs/>
                <w:color w:val="FFFFFF"/>
                <w:sz w:val="20"/>
                <w:szCs w:val="20"/>
              </w:rPr>
              <w:t xml:space="preserve">Beneficio</w:t>
            </w:r>
          </w:p>
        </w:tc>
        <w:tc>
          <w:tcPr>
            <w:tcW w:type="dxa" w:w="736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Eficiencia</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Reducción del tiempo de asignación de ambulancias a menos de 2 segundos vs procesos manuales que toman varios minutos.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Errores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Eliminación de errores en asignación, cruces de horarios y registros incompletos mediante validaciones automáticas.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Trazabilidad</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Seguimiento completo de cada servicio desde la solicitud hasta el cierre, con auditoría inmutable de 5 años.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Seguridad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Protección de datos sensibles de pacientes conforme a la Ley 1581/2012 y estándares ISO 27001.</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Decisiones</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Generación de KPIs y reportes estadísticos para mejora continua y planificación estratégica.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Calibri" w:cs="Calibri" w:eastAsia="Calibri" w:hAnsi="Calibri"/>
                <w:b/>
                <w:bCs/>
                <w:color w:val="2D3748"/>
                <w:sz w:val="20"/>
                <w:szCs w:val="20"/>
              </w:rPr>
              <w:t xml:space="preserve">⚖️ Cumplimiento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D3748"/>
                <w:sz w:val="20"/>
                <w:szCs w:val="20"/>
              </w:rPr>
              <w:t xml:space="preserve">Alineación con Resolución 3100/2017 y REPS garantizando habilitación y calidad del servicio.</w:t>
            </w:r>
          </w:p>
        </w:tc>
      </w:tr>
    </w:tbl>
    <w:p>
      <w:pPr>
        <w:spacing w:after="180"/>
      </w:pPr>
      <w:r>
        <w:t xml:space="preserve"/>
      </w:r>
    </w:p>
    <w:p>
      <w:pPr>
        <w:pStyle w:val="Heading2"/>
        <w:spacing w:after="120" w:before="240"/>
      </w:pPr>
      <w:r>
        <w:rPr>
          <w:rFonts w:ascii="Calibri" w:cs="Calibri" w:eastAsia="Calibri" w:hAnsi="Calibri"/>
          <w:b/>
          <w:bCs/>
          <w:color w:val="0A2342"/>
          <w:sz w:val="28"/>
          <w:szCs w:val="28"/>
        </w:rPr>
        <w:t xml:space="preserve">3.3 Conclusión</w:t>
      </w:r>
    </w:p>
    <w:p>
      <w:pPr>
        <w:spacing w:after="140"/>
        <w:jc w:val="both"/>
      </w:pPr>
      <w:r>
        <w:rPr>
          <w:rFonts w:ascii="Calibri" w:cs="Calibri" w:eastAsia="Calibri" w:hAnsi="Calibri"/>
          <w:color w:val="2D3748"/>
          <w:sz w:val="22"/>
          <w:szCs w:val="22"/>
        </w:rPr>
        <w:t xml:space="preserve">El Sistema de Gestión de Ambulancias representa una solución tecnológica viable, clara y organizada para modernizar los servicios de atención prehospitalaria. Su enfoque en un MVP, la consideración de sesgos técnicos identificados y el cumplimiento normativo con la Resolución 3100 de 2017 y el REPS permiten reducir riesgos operativos y asegurar una implementación más eficiente.</w:t>
      </w:r>
    </w:p>
    <w:p>
      <w:pPr>
        <w:spacing w:after="140"/>
        <w:jc w:val="both"/>
      </w:pPr>
      <w:r>
        <w:rPr>
          <w:rFonts w:ascii="Calibri" w:cs="Calibri" w:eastAsia="Calibri" w:hAnsi="Calibri"/>
          <w:color w:val="2D3748"/>
          <w:sz w:val="22"/>
          <w:szCs w:val="22"/>
        </w:rPr>
        <w:t xml:space="preserve">El SGA contribuirá a la transformación digital de las instituciones de salud, mejorando la coordinación operativa, la seguridad de la información y la calidad del servicio prestado a la comunidad, con un diseño escalable que permitirá su crecimiento futuro.</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342" w:val="clear"/>
            <w:tcMar>
              <w:top w:type="dxa" w:w="200"/>
              <w:left w:type="dxa" w:w="300"/>
              <w:bottom w:type="dxa" w:w="200"/>
              <w:right w:type="dxa" w:w="300"/>
            </w:tcMar>
          </w:tcPr>
          <w:p>
            <w:pPr>
              <w:jc w:val="center"/>
            </w:pPr>
            <w:r>
              <w:rPr>
                <w:rFonts w:ascii="Calibri" w:cs="Calibri" w:eastAsia="Calibri" w:hAnsi="Calibri"/>
                <w:b/>
                <w:bCs/>
                <w:color w:val="C62828"/>
                <w:sz w:val="26"/>
                <w:szCs w:val="26"/>
              </w:rPr>
              <w:t xml:space="preserve">EQUIPO DE DESARROLLO</w:t>
            </w:r>
          </w:p>
          <w:p>
            <w:pPr>
              <w:spacing w:after="80"/>
              <w:jc w:val="center"/>
            </w:pPr>
            <w:r>
              <w:rPr>
                <w:rFonts w:ascii="Calibri" w:cs="Calibri" w:eastAsia="Calibri" w:hAnsi="Calibri"/>
                <w:color w:val="CADCFC"/>
                <w:sz w:val="22"/>
                <w:szCs w:val="22"/>
              </w:rPr>
              <w:t xml:space="preserve">Nicolas Esteban Aldana Doria — Backend  |  Juan Miguel Muñoz Castañeda — Scrum Master  |  Miguel Ángel Estrada Torrentes — Frontend</w:t>
            </w:r>
          </w:p>
          <w:p>
            <w:pPr>
              <w:jc w:val="center"/>
            </w:pPr>
            <w:r>
              <w:rPr>
                <w:rFonts w:ascii="Calibri" w:cs="Calibri" w:eastAsia="Calibri" w:hAnsi="Calibri"/>
                <w:color w:val="9DB8CC"/>
                <w:sz w:val="20"/>
                <w:szCs w:val="20"/>
              </w:rPr>
              <w:t xml:space="preserve">Instructor: Juan Carlos Rodríguez  |  SENA – Tecnología ADS  |  Neiva, Huila – 2026</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4A5568"/>
        <w:sz w:val="18"/>
        <w:szCs w:val="18"/>
      </w:rPr>
      <w:t xml:space="preserve">Página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single" w:color="C62828" w:sz="6"/>
            <w:right w:val="none"/>
          </w:tcBorders>
          <w:tcMar>
            <w:top w:type="dxa" w:w="100"/>
            <w:left w:type="dxa" w:w="150"/>
            <w:bottom w:type="dxa" w:w="100"/>
            <w:right w:type="dxa" w:w="150"/>
          </w:tcMar>
        </w:tcPr>
        <w:p>
          <w:r>
            <w:rPr>
              <w:rFonts w:ascii="Calibri" w:cs="Calibri" w:eastAsia="Calibri" w:hAnsi="Calibri"/>
              <w:b/>
              <w:bCs/>
              <w:color w:val="0A2342"/>
              <w:sz w:val="18"/>
              <w:szCs w:val="18"/>
            </w:rPr>
            <w:t xml:space="preserve">SISTEMA DE GESTIÓN DE AMBULANCIAS – SGA</w:t>
          </w:r>
        </w:p>
      </w:tc>
      <w:tc>
        <w:tcPr>
          <w:tcW w:type="dxa" w:w="2360"/>
          <w:tcBorders>
            <w:top w:val="none"/>
            <w:left w:val="none"/>
            <w:bottom w:val="single" w:color="C62828" w:sz="6"/>
            <w:right w:val="none"/>
          </w:tcBorders>
          <w:tcMar>
            <w:top w:type="dxa" w:w="100"/>
            <w:left w:type="dxa" w:w="150"/>
            <w:bottom w:type="dxa" w:w="100"/>
            <w:right w:type="dxa" w:w="150"/>
          </w:tcMar>
        </w:tcPr>
        <w:p>
          <w:pPr>
            <w:jc w:val="right"/>
          </w:pPr>
          <w:r>
            <w:rPr>
              <w:color w:val="4A5568"/>
              <w:sz w:val="16"/>
              <w:szCs w:val="16"/>
            </w:rPr>
            <w:t xml:space="preserve">SENA – ADS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A2342"/>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A23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2026-06-06T03:14:24.797Z</dcterms:created>
  <dcterms:modified xsi:type="dcterms:W3CDTF">2026-06-06T03:14:24.798Z</dcterms:modified>
</cp:coreProperties>
</file>

<file path=docProps/custom.xml><?xml version="1.0" encoding="utf-8"?>
<Properties xmlns="http://schemas.openxmlformats.org/officeDocument/2006/custom-properties" xmlns:vt="http://schemas.openxmlformats.org/officeDocument/2006/docPropsVTypes"/>
</file>