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0" w:lineRule="exact"/>
        <w:jc w:val="center"/>
      </w:pPr>
      <w:r>
        <w:rPr>
          <w:rFonts w:ascii="Calibri" w:hAnsi="Calibri"/>
          <w:b/>
          <w:i w:val="0"/>
          <w:color w:val="0F2850"/>
          <w:sz w:val="36"/>
        </w:rPr>
        <w:t>CIPHERFLOW</w:t>
      </w:r>
    </w:p>
    <w:p>
      <w:pPr>
        <w:spacing w:before="0" w:after="20" w:line="260" w:lineRule="exact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Security Data Engineering Pipeline  ·  Task 1: Automation Design Memo</w:t>
      </w:r>
    </w:p>
    <w:p>
      <w:pPr>
        <w:spacing w:before="60" w:after="60"/>
        <w:pBdr>
          <w:bottom w:val="single" w:sz="4" w:space="1" w:color="50505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Document Type: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Design Memo — Task 1 Theoretical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Date: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July 26, 2026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Author: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MAFA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Track: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AI, Automation &amp; Security Engineering</w:t>
            </w:r>
          </w:p>
        </w:tc>
      </w:tr>
    </w:tbl>
    <w:p>
      <w:pPr>
        <w:spacing w:before="60" w:after="60"/>
        <w:pBdr>
          <w:bottom w:val="single" w:sz="4" w:space="1" w:color="505050"/>
        </w:pBdr>
      </w:pPr>
    </w:p>
    <w:p>
      <w:pPr>
        <w:spacing w:before="140" w:after="40" w:line="260" w:lineRule="exact"/>
        <w:jc w:val="left"/>
      </w:pPr>
      <w:r>
        <w:rPr>
          <w:rFonts w:ascii="Calibri" w:hAnsi="Calibri"/>
          <w:b/>
          <w:i w:val="0"/>
          <w:color w:val="0F2850"/>
          <w:sz w:val="22"/>
        </w:rPr>
        <w:t>1.  Executive Summary</w:t>
      </w:r>
    </w:p>
    <w:p>
      <w:pPr>
        <w:spacing w:before="0" w:after="80" w:line="260" w:lineRule="exact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Security automation matures through three tiers: Quick Scripts for immediate personal use, Production Automation as shared SOC utilities, and Security Engineering Pipelines as enterprise fault-tolerant infrastructure. This memo compares all three across five engineering dimensions — code structure, error handling, observability, testing, and documentation — with concrete SecOps scenarios and clear escalation criteria. CipherFlow was built at the Production Automation tier with deliberate design choices that support future graduation to pipeline scale.</w:t>
      </w:r>
    </w:p>
    <w:p>
      <w:pPr>
        <w:spacing w:before="140" w:after="40" w:line="260" w:lineRule="exact"/>
        <w:jc w:val="left"/>
      </w:pPr>
      <w:r>
        <w:rPr>
          <w:rFonts w:ascii="Calibri" w:hAnsi="Calibri"/>
          <w:b/>
          <w:i w:val="0"/>
          <w:color w:val="0F2850"/>
          <w:sz w:val="22"/>
        </w:rPr>
        <w:t>2.  Automation Maturity: Three-Tier Breakdown</w:t>
      </w:r>
    </w:p>
    <w:p>
      <w:pPr>
        <w:spacing w:before="100" w:after="20" w:line="240" w:lineRule="exact"/>
        <w:jc w:val="left"/>
      </w:pPr>
      <w:r>
        <w:rPr>
          <w:rFonts w:ascii="Calibri" w:hAnsi="Calibri"/>
          <w:b/>
          <w:i w:val="0"/>
          <w:color w:val="000000"/>
          <w:sz w:val="20"/>
        </w:rPr>
        <w:t>2.1  Quick Scripts — Individual, One-Off Tools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Code Structure: </w:t>
      </w:r>
      <w:r>
        <w:rPr>
          <w:rFonts w:ascii="Calibri" w:hAnsi="Calibri"/>
          <w:b w:val="0"/>
          <w:i w:val="0"/>
          <w:color w:val="000000"/>
          <w:sz w:val="20"/>
        </w:rPr>
        <w:t>Single-file, procedural. Hardcoded paths and values. No modularity or reuse.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Error Handling: </w:t>
      </w:r>
      <w:r>
        <w:rPr>
          <w:rFonts w:ascii="Calibri" w:hAnsi="Calibri"/>
          <w:b w:val="0"/>
          <w:i w:val="0"/>
          <w:color w:val="000000"/>
          <w:sz w:val="20"/>
        </w:rPr>
        <w:t>Crash on error. Bare try/except or none; entire run fails on any unexpected input.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Observability: </w:t>
      </w:r>
      <w:r>
        <w:rPr>
          <w:rFonts w:ascii="Calibri" w:hAnsi="Calibri"/>
          <w:b w:val="0"/>
          <w:i w:val="0"/>
          <w:color w:val="000000"/>
          <w:sz w:val="20"/>
        </w:rPr>
        <w:t>print() only. No log files, no audit trail, no structured output.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Testing: </w:t>
      </w:r>
      <w:r>
        <w:rPr>
          <w:rFonts w:ascii="Calibri" w:hAnsi="Calibri"/>
          <w:b w:val="0"/>
          <w:i w:val="0"/>
          <w:color w:val="000000"/>
          <w:sz w:val="20"/>
        </w:rPr>
        <w:t>Manual, ad-hoc. Run once, inspect visually. Zero automated coverage.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Documentation: </w:t>
      </w:r>
      <w:r>
        <w:rPr>
          <w:rFonts w:ascii="Calibri" w:hAnsi="Calibri"/>
          <w:b w:val="0"/>
          <w:i w:val="0"/>
          <w:color w:val="000000"/>
          <w:sz w:val="20"/>
        </w:rPr>
        <w:t>Sparse inline notes. Typically undocumented and discarded after one use.</w:t>
      </w:r>
    </w:p>
    <w:p>
      <w:pPr>
        <w:spacing w:before="20" w:after="100" w:line="240" w:lineRule="exact"/>
        <w:ind w:left="288"/>
        <w:jc w:val="left"/>
      </w:pPr>
      <w:r>
        <w:rPr>
          <w:rFonts w:ascii="Calibri" w:hAnsi="Calibri"/>
          <w:b/>
          <w:i/>
          <w:color w:val="6E6E6E"/>
          <w:sz w:val="19"/>
        </w:rPr>
        <w:t xml:space="preserve">Example: </w:t>
      </w:r>
      <w:r>
        <w:rPr>
          <w:rFonts w:ascii="Calibri" w:hAnsi="Calibri"/>
          <w:b w:val="0"/>
          <w:i/>
          <w:color w:val="6E6E6E"/>
          <w:sz w:val="19"/>
        </w:rPr>
        <w:t>Analyst writes 15 lines to extract BLOCKED IPs from a firewall CSV during an incident. Runs once, never reused.</w:t>
      </w:r>
    </w:p>
    <w:p>
      <w:pPr>
        <w:spacing w:before="100" w:after="20" w:line="240" w:lineRule="exact"/>
        <w:jc w:val="left"/>
      </w:pPr>
      <w:r>
        <w:rPr>
          <w:rFonts w:ascii="Calibri" w:hAnsi="Calibri"/>
          <w:b/>
          <w:i w:val="0"/>
          <w:color w:val="000000"/>
          <w:sz w:val="20"/>
        </w:rPr>
        <w:t>2.2  Production Automation — Shared Team Utilities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Code Structure: </w:t>
      </w:r>
      <w:r>
        <w:rPr>
          <w:rFonts w:ascii="Calibri" w:hAnsi="Calibri"/>
          <w:b w:val="0"/>
          <w:i w:val="0"/>
          <w:color w:val="000000"/>
          <w:sz w:val="20"/>
        </w:rPr>
        <w:t>Modular multi-file package. CLI via argparse. Config via .env/YAML. Reusable functions.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Error Handling: </w:t>
      </w:r>
      <w:r>
        <w:rPr>
          <w:rFonts w:ascii="Calibri" w:hAnsi="Calibri"/>
          <w:b w:val="0"/>
          <w:i w:val="0"/>
          <w:color w:val="000000"/>
          <w:sz w:val="20"/>
        </w:rPr>
        <w:t>Defensive and graceful — malformed lines skipped with warnings, execution continues.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Observability: </w:t>
      </w:r>
      <w:r>
        <w:rPr>
          <w:rFonts w:ascii="Calibri" w:hAnsi="Calibri"/>
          <w:b w:val="0"/>
          <w:i w:val="0"/>
          <w:color w:val="000000"/>
          <w:sz w:val="20"/>
        </w:rPr>
        <w:t>Python logging module: timestamped INFO/WARNING/ERROR levels, rotating log files.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Testing: </w:t>
      </w:r>
      <w:r>
        <w:rPr>
          <w:rFonts w:ascii="Calibri" w:hAnsi="Calibri"/>
          <w:b w:val="0"/>
          <w:i w:val="0"/>
          <w:color w:val="000000"/>
          <w:sz w:val="20"/>
        </w:rPr>
        <w:t>Automated pytest suites covering all formats, checks, and edge cases. Runs in CI.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Documentation: </w:t>
      </w:r>
      <w:r>
        <w:rPr>
          <w:rFonts w:ascii="Calibri" w:hAnsi="Calibri"/>
          <w:b w:val="0"/>
          <w:i w:val="0"/>
          <w:color w:val="000000"/>
          <w:sz w:val="20"/>
        </w:rPr>
        <w:t>README.md with setup, CLI usage, schema definitions, and usage examples.</w:t>
      </w:r>
    </w:p>
    <w:p>
      <w:pPr>
        <w:spacing w:before="20" w:after="100" w:line="240" w:lineRule="exact"/>
        <w:ind w:left="288"/>
        <w:jc w:val="left"/>
      </w:pPr>
      <w:r>
        <w:rPr>
          <w:rFonts w:ascii="Calibri" w:hAnsi="Calibri"/>
          <w:b/>
          <w:i/>
          <w:color w:val="6E6E6E"/>
          <w:sz w:val="19"/>
        </w:rPr>
        <w:t xml:space="preserve">Example: </w:t>
      </w:r>
      <w:r>
        <w:rPr>
          <w:rFonts w:ascii="Calibri" w:hAnsi="Calibri"/>
          <w:b w:val="0"/>
          <w:i/>
          <w:color w:val="6E6E6E"/>
          <w:sz w:val="19"/>
        </w:rPr>
        <w:t>CipherFlow — log_parser.py + quality_validator.py + pytest suite, processing daily VPN logs for brute-force detection.</w:t>
      </w:r>
    </w:p>
    <w:p>
      <w:pPr>
        <w:spacing w:before="100" w:after="20" w:line="240" w:lineRule="exact"/>
        <w:jc w:val="left"/>
      </w:pPr>
      <w:r>
        <w:rPr>
          <w:rFonts w:ascii="Calibri" w:hAnsi="Calibri"/>
          <w:b/>
          <w:i w:val="0"/>
          <w:color w:val="000000"/>
          <w:sz w:val="20"/>
        </w:rPr>
        <w:t>2.3  Security Engineering Pipelines — Enterprise Infrastructure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Code Structure: </w:t>
      </w:r>
      <w:r>
        <w:rPr>
          <w:rFonts w:ascii="Calibri" w:hAnsi="Calibri"/>
          <w:b w:val="0"/>
          <w:i w:val="0"/>
          <w:color w:val="000000"/>
          <w:sz w:val="20"/>
        </w:rPr>
        <w:t>Microservices or event-driven stream processing (Kafka, Flink). Strict OOP, typed contracts.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Error Handling: </w:t>
      </w:r>
      <w:r>
        <w:rPr>
          <w:rFonts w:ascii="Calibri" w:hAnsi="Calibri"/>
          <w:b w:val="0"/>
          <w:i w:val="0"/>
          <w:color w:val="000000"/>
          <w:sz w:val="20"/>
        </w:rPr>
        <w:t>Fault-tolerant: Dead-Letter Queues, retries with exponential backoff, circuit breakers.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Observability: </w:t>
      </w:r>
      <w:r>
        <w:rPr>
          <w:rFonts w:ascii="Calibri" w:hAnsi="Calibri"/>
          <w:b w:val="0"/>
          <w:i w:val="0"/>
          <w:color w:val="000000"/>
          <w:sz w:val="20"/>
        </w:rPr>
        <w:t>Distributed tracing (OpenTelemetry), Prometheus/Grafana, SIEM. Real-time SLA alerting.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Testing: </w:t>
      </w:r>
      <w:r>
        <w:rPr>
          <w:rFonts w:ascii="Calibri" w:hAnsi="Calibri"/>
          <w:b w:val="0"/>
          <w:i w:val="0"/>
          <w:color w:val="000000"/>
          <w:sz w:val="20"/>
        </w:rPr>
        <w:t>Full CI/CD: unit, integration, load/stress (50k+ eps), chaos engineering.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Documentation: </w:t>
      </w:r>
      <w:r>
        <w:rPr>
          <w:rFonts w:ascii="Calibri" w:hAnsi="Calibri"/>
          <w:b w:val="0"/>
          <w:i w:val="0"/>
          <w:color w:val="000000"/>
          <w:sz w:val="20"/>
        </w:rPr>
        <w:t>ADRs, OpenAPI specs, disaster recovery runbooks, SLO/SLA definitions.</w:t>
      </w:r>
    </w:p>
    <w:p>
      <w:pPr>
        <w:spacing w:before="20" w:after="80" w:line="240" w:lineRule="exact"/>
        <w:ind w:left="288"/>
        <w:jc w:val="left"/>
      </w:pPr>
      <w:r>
        <w:rPr>
          <w:rFonts w:ascii="Calibri" w:hAnsi="Calibri"/>
          <w:b/>
          <w:i/>
          <w:color w:val="6E6E6E"/>
          <w:sz w:val="19"/>
        </w:rPr>
        <w:t xml:space="preserve">Example: </w:t>
      </w:r>
      <w:r>
        <w:rPr>
          <w:rFonts w:ascii="Calibri" w:hAnsi="Calibri"/>
          <w:b w:val="0"/>
          <w:i/>
          <w:color w:val="6E6E6E"/>
          <w:sz w:val="19"/>
        </w:rPr>
        <w:t>Enterprise pipeline ingesting 500k events/sec from CloudTrail, CrowdStrike, and Palo Alto into an OCSF SIEM.</w:t>
      </w:r>
    </w:p>
    <w:p>
      <w:r>
        <w:br w:type="page"/>
      </w:r>
    </w:p>
    <w:p>
      <w:pPr>
        <w:spacing w:before="140" w:after="40" w:line="260" w:lineRule="exact"/>
        <w:jc w:val="left"/>
      </w:pPr>
      <w:r>
        <w:rPr>
          <w:rFonts w:ascii="Calibri" w:hAnsi="Calibri"/>
          <w:b/>
          <w:i w:val="0"/>
          <w:color w:val="0F2850"/>
          <w:sz w:val="22"/>
        </w:rPr>
        <w:t>3.  Comparative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Quick Scripts</w:t>
            </w:r>
          </w:p>
        </w:tc>
        <w:tc>
          <w:tcPr>
            <w:tcW w:type="dxa" w:w="2520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Production Automation</w:t>
            </w:r>
          </w:p>
        </w:tc>
        <w:tc>
          <w:tcPr>
            <w:tcW w:type="dxa" w:w="2736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Engineering Pipelines</w:t>
            </w:r>
          </w:p>
        </w:tc>
      </w:tr>
      <w:tr>
        <w:tc>
          <w:tcPr>
            <w:tcW w:type="dxa" w:w="180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Code Structure</w:t>
            </w:r>
          </w:p>
        </w:tc>
        <w:tc>
          <w:tcPr>
            <w:tcW w:type="dxa" w:w="216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Single-file, procedural</w:t>
            </w:r>
          </w:p>
        </w:tc>
        <w:tc>
          <w:tcPr>
            <w:tcW w:type="dxa" w:w="252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Modular package + CLI</w:t>
            </w:r>
          </w:p>
        </w:tc>
        <w:tc>
          <w:tcPr>
            <w:tcW w:type="dxa" w:w="2736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Microservices / Event-driven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Error Handling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Crash on error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Skip &amp; warn defensively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DLQ, retries, circuit breakers</w:t>
            </w:r>
          </w:p>
        </w:tc>
      </w:tr>
      <w:tr>
        <w:tc>
          <w:tcPr>
            <w:tcW w:type="dxa" w:w="180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Observability</w:t>
            </w:r>
          </w:p>
        </w:tc>
        <w:tc>
          <w:tcPr>
            <w:tcW w:type="dxa" w:w="216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print() only</w:t>
            </w:r>
          </w:p>
        </w:tc>
        <w:tc>
          <w:tcPr>
            <w:tcW w:type="dxa" w:w="252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Structured logging (INFO/WARN/ERR)</w:t>
            </w:r>
          </w:p>
        </w:tc>
        <w:tc>
          <w:tcPr>
            <w:tcW w:type="dxa" w:w="2736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Prometheus, OpenTelemetry, SIEM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Testing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Manual, ad-hoc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Automated pytest, CI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CI/CD + load + chaos tests</w:t>
            </w:r>
          </w:p>
        </w:tc>
      </w:tr>
      <w:tr>
        <w:tc>
          <w:tcPr>
            <w:tcW w:type="dxa" w:w="180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Inline comments only</w:t>
            </w:r>
          </w:p>
        </w:tc>
        <w:tc>
          <w:tcPr>
            <w:tcW w:type="dxa" w:w="2520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README + CLI guides</w:t>
            </w:r>
          </w:p>
        </w:tc>
        <w:tc>
          <w:tcPr>
            <w:tcW w:type="dxa" w:w="2736"/>
            <w:shd w:val="clear" w:color="auto" w:fill="EDF2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ADRs, runbooks, OpenAPI specs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  <w:sz w:val="18"/>
              </w:rPr>
              <w:t>Scale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&lt; 10k events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10k – 1M events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&gt; 1M events/day streaming</w:t>
            </w:r>
          </w:p>
        </w:tc>
      </w:tr>
    </w:tbl>
    <w:p>
      <w:pPr>
        <w:spacing w:before="140" w:after="40" w:line="260" w:lineRule="exact"/>
        <w:jc w:val="left"/>
      </w:pPr>
      <w:r>
        <w:rPr>
          <w:rFonts w:ascii="Calibri" w:hAnsi="Calibri"/>
          <w:b/>
          <w:i w:val="0"/>
          <w:color w:val="0F2850"/>
          <w:sz w:val="22"/>
        </w:rPr>
        <w:t>4.  When to Escalate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Script → Production: </w:t>
      </w:r>
      <w:r>
        <w:rPr>
          <w:rFonts w:ascii="Calibri" w:hAnsi="Calibri"/>
          <w:b w:val="0"/>
          <w:i w:val="0"/>
          <w:color w:val="000000"/>
          <w:sz w:val="20"/>
        </w:rPr>
        <w:t>When a script is shared with any teammate, runs on a recurring schedule, or its failure directly impacts team operations. Trigger: user base &gt; 1, reuse &gt; weekly, or output consumed downstream.</w:t>
      </w:r>
    </w:p>
    <w:p>
      <w:pPr>
        <w:spacing w:before="0" w:after="40" w:line="260" w:lineRule="exact"/>
        <w:ind w:left="288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/>
          <w:i w:val="0"/>
          <w:color w:val="000000"/>
          <w:sz w:val="20"/>
        </w:rPr>
        <w:t xml:space="preserve">Production → Pipeline: </w:t>
      </w:r>
      <w:r>
        <w:rPr>
          <w:rFonts w:ascii="Calibri" w:hAnsi="Calibri"/>
          <w:b w:val="0"/>
          <w:i w:val="0"/>
          <w:color w:val="000000"/>
          <w:sz w:val="20"/>
        </w:rPr>
        <w:t>When single-node throughput cannot meet volume demands, real-time latency SLAs apply, or outages risk compliance violations. Trigger: &gt; 1M events/day, latency SLA &lt; 5 s, or data loss = breach.</w:t>
      </w:r>
    </w:p>
    <w:p>
      <w:pPr>
        <w:spacing w:before="140" w:after="40" w:line="260" w:lineRule="exact"/>
        <w:jc w:val="left"/>
      </w:pPr>
      <w:r>
        <w:rPr>
          <w:rFonts w:ascii="Calibri" w:hAnsi="Calibri"/>
          <w:b/>
          <w:i w:val="0"/>
          <w:color w:val="0F2850"/>
          <w:sz w:val="22"/>
        </w:rPr>
        <w:t>5.  What CipherFlow Delivers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768"/>
            <w:shd w:val="clear" w:color="auto" w:fill="0F28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44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log_parser.py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Parses Firewall CSV, Auth, and DNS logs → unified 10-field JSONL schema. UUID4 IDs, Z-format UTC timestamps, IP validation, graceful malformed-line skipping.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quality_validator.py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 modular checks: missing fields, IP validation + private-IP flagging, timestamp anomalies, duplicate detection, suspicious pattern analysis. Outputs console / CSV / JSON reports.</w:t>
            </w:r>
          </w:p>
        </w:tc>
      </w:tr>
      <w:tr>
        <w:tc>
          <w:tcPr>
            <w:tcW w:type="dxa" w:w="244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FastAPI Backend + WS /ws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REST API + real WebSocket endpoint pushing live stats snapshots every 2 seconds to connected clients. Attack simulation (DDoS, Brute Force, DNS Tunneling).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React Dashboard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Midnight Crimson SOC dashboard — risk gauges, event timeline, live notifications, attack controls. Glassmorphism design, Recharts visualizations.</w:t>
            </w:r>
          </w:p>
        </w:tc>
      </w:tr>
      <w:tr>
        <w:tc>
          <w:tcPr>
            <w:tcW w:type="dxa" w:w="244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Scale Test (Task 4)</w:t>
            </w:r>
          </w:p>
        </w:tc>
        <w:tc>
          <w:tcPr>
            <w:tcW w:type="dxa" w:w="6768"/>
            <w:shd w:val="clear" w:color="auto" w:fill="EDF2FA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15,000 synthetic records processed at &gt; 40,000 rec/sec. Peak memory 18 MB (tracemalloc). Bottleneck: JSON serialization — streaming fix documented in PERFORMANCE.md.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color w:val="000000"/>
                <w:sz w:val="18"/>
              </w:rPr>
              <w:t>Test Suite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 pytest tests across parser and validator — 100 % pass rate on clean checkout. Covers all 3 formats, 5 validator checks, timestamp, IP, malformed-line, and end-to-end.</w:t>
            </w:r>
          </w:p>
        </w:tc>
      </w:tr>
    </w:tbl>
    <w:p>
      <w:pPr>
        <w:spacing w:before="60" w:after="60"/>
        <w:pBdr>
          <w:bottom w:val="single" w:sz="4" w:space="1" w:color="505050"/>
        </w:pBdr>
      </w:pPr>
    </w:p>
    <w:p>
      <w:pPr>
        <w:spacing w:before="40" w:after="0" w:line="260" w:lineRule="exact"/>
        <w:jc w:val="center"/>
      </w:pPr>
      <w:r>
        <w:rPr>
          <w:rFonts w:ascii="Calibri" w:hAnsi="Calibri"/>
          <w:b w:val="0"/>
          <w:i/>
          <w:color w:val="6E6E6E"/>
          <w:sz w:val="17"/>
        </w:rPr>
        <w:t>CipherFlow  ·  Security Data Engineering Pipeline  ·  Task 1 Design Memo  ·  MAFA  ·  July 2026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