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72"/>
          <w:szCs w:val="72"/>
        </w:rPr>
      </w:pPr>
      <w:r w:rsidDel="00000000" w:rsidR="00000000" w:rsidRPr="00000000">
        <w:rPr>
          <w:sz w:val="72"/>
          <w:szCs w:val="72"/>
          <w:rtl w:val="0"/>
        </w:rPr>
        <w:t xml:space="preserve">Informe Técnico: Diseño de Solución Big Data para Plataforma de Analítica de Demanda de Taxis NYC</w:t>
      </w:r>
    </w:p>
    <w:p w:rsidR="00000000" w:rsidDel="00000000" w:rsidP="00000000" w:rsidRDefault="00000000" w:rsidRPr="00000000" w14:paraId="00000002">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Introducción</w:t>
      </w:r>
    </w:p>
    <w:p w:rsidR="00000000" w:rsidDel="00000000" w:rsidP="00000000" w:rsidRDefault="00000000" w:rsidRPr="00000000" w14:paraId="00000004">
      <w:pPr>
        <w:rPr/>
      </w:pPr>
      <w:r w:rsidDel="00000000" w:rsidR="00000000" w:rsidRPr="00000000">
        <w:rPr>
          <w:rtl w:val="0"/>
        </w:rPr>
        <w:t xml:space="preserve">El presente informe desarrolla una propuesta de solución Big Data para la plataforma de analítica de demanda de taxis de la ciudad de Nueva York, en respuesta al caso de estudio planteado para la evaluación de la asignatura. El objetivo es diseñar una solución integral y justificada que permita abordar problemas de distribución ineficiente de taxis, congestión en zonas de alta demanda, falta de predicción por sector, escasa visibilidad operacional y dificultad para detectar anomalías o fraudes en los viajes.</w:t>
      </w:r>
    </w:p>
    <w:p w:rsidR="00000000" w:rsidDel="00000000" w:rsidP="00000000" w:rsidRDefault="00000000" w:rsidRPr="00000000" w14:paraId="00000005">
      <w:pPr>
        <w:rPr/>
      </w:pPr>
      <w:r w:rsidDel="00000000" w:rsidR="00000000" w:rsidRPr="00000000">
        <w:rPr>
          <w:rtl w:val="0"/>
        </w:rPr>
        <w:t xml:space="preserve">La evaluación exige estructurar la propuesta considerando el contexto del problema, el ciclo de vida de los datos, la gobernanza, la arquitectura de alto nivel y el ecosistema tecnológico en Google Cloud Platform (GCP). Además, para el laboratorio batch, se solicita evidenciar un pipeline técnico que contemple ingestión en Cloud Storage, creación de tabla RAW en BigQuery, transformación de datos, almacenamiento procesado y respaldo o exportación de resultados.</w:t>
      </w:r>
    </w:p>
    <w:p w:rsidR="00000000" w:rsidDel="00000000" w:rsidP="00000000" w:rsidRDefault="00000000" w:rsidRPr="00000000" w14:paraId="00000006">
      <w:pPr>
        <w:pStyle w:val="Heading1"/>
        <w:rPr/>
      </w:pPr>
      <w:r w:rsidDel="00000000" w:rsidR="00000000" w:rsidRPr="00000000">
        <w:rPr>
          <w:rtl w:val="0"/>
        </w:rPr>
        <w:t xml:space="preserve">Contexto del caso y problemática</w:t>
      </w:r>
    </w:p>
    <w:p w:rsidR="00000000" w:rsidDel="00000000" w:rsidP="00000000" w:rsidRDefault="00000000" w:rsidRPr="00000000" w14:paraId="00000007">
      <w:pPr>
        <w:rPr/>
      </w:pPr>
      <w:r w:rsidDel="00000000" w:rsidR="00000000" w:rsidRPr="00000000">
        <w:rPr>
          <w:rtl w:val="0"/>
        </w:rPr>
        <w:t xml:space="preserve">La NYC Taxi and Limousine Commission administra un ecosistema de transporte que genera grandes volúmenes de información a partir de dispositivos GPS instalados en vehículos, sistemas de pago electrónico, aplicaciones móviles y registros históricos de viajes. Entre los atributos disponibles destacan ubicación de recogida y destino, duración del trayecto, distancia recorrida, tarifa, propina, método de pago, fecha y hora del servicio.</w:t>
      </w:r>
    </w:p>
    <w:p w:rsidR="00000000" w:rsidDel="00000000" w:rsidP="00000000" w:rsidRDefault="00000000" w:rsidRPr="00000000" w14:paraId="00000008">
      <w:pPr>
        <w:rPr/>
      </w:pPr>
      <w:r w:rsidDel="00000000" w:rsidR="00000000" w:rsidRPr="00000000">
        <w:rPr>
          <w:rtl w:val="0"/>
        </w:rPr>
        <w:t xml:space="preserve">Este entorno presenta una combinación de datos históricos procesados en batch y datos potencialmente disponibles en tiempo casi real mediante streaming. Esa dualidad permite construir soluciones analíticas tanto para análisis retrospectivo como para monitoreo operacional con baja latencia.</w:t>
      </w:r>
    </w:p>
    <w:p w:rsidR="00000000" w:rsidDel="00000000" w:rsidP="00000000" w:rsidRDefault="00000000" w:rsidRPr="00000000" w14:paraId="00000009">
      <w:pPr>
        <w:rPr/>
      </w:pPr>
      <w:r w:rsidDel="00000000" w:rsidR="00000000" w:rsidRPr="00000000">
        <w:rPr>
          <w:rtl w:val="0"/>
        </w:rPr>
        <w:t xml:space="preserve">Actualmente, la organización enfrenta cinco problemas principales: distribución ineficiente de taxis, congestión en sectores de alta demanda, incapacidad para anticipar la demanda por zona y horario, limitada visibilidad en tiempo real y dificultades para detectar comportamientos anómalos o fraudulentos. Estos problemas afectan tanto la eficiencia del servicio como la calidad de la toma de decisiones operacionales y estratégicas.</w:t>
      </w:r>
    </w:p>
    <w:p w:rsidR="00000000" w:rsidDel="00000000" w:rsidP="00000000" w:rsidRDefault="00000000" w:rsidRPr="00000000" w14:paraId="0000000A">
      <w:pPr>
        <w:pStyle w:val="Heading1"/>
        <w:rPr/>
      </w:pPr>
      <w:r w:rsidDel="00000000" w:rsidR="00000000" w:rsidRPr="00000000">
        <w:rPr>
          <w:rtl w:val="0"/>
        </w:rPr>
        <w:t xml:space="preserve">Justificación de por qué es un caso Big Data</w:t>
      </w:r>
    </w:p>
    <w:p w:rsidR="00000000" w:rsidDel="00000000" w:rsidP="00000000" w:rsidRDefault="00000000" w:rsidRPr="00000000" w14:paraId="0000000B">
      <w:pPr>
        <w:rPr/>
      </w:pPr>
      <w:r w:rsidDel="00000000" w:rsidR="00000000" w:rsidRPr="00000000">
        <w:rPr>
          <w:rtl w:val="0"/>
        </w:rPr>
        <w:t xml:space="preserve">El caso de taxis NYC califica como un problema de Big Data porque cumple con varias de las características clásicas de este enfoque. En primer lugar, existe volumen, ya que el sistema registra millones de viajes y múltiples eventos asociados a cada uno, incluyendo coordenadas, eventos de pago y trazas operacionales.</w:t>
      </w:r>
    </w:p>
    <w:p w:rsidR="00000000" w:rsidDel="00000000" w:rsidP="00000000" w:rsidRDefault="00000000" w:rsidRPr="00000000" w14:paraId="0000000C">
      <w:pPr>
        <w:rPr/>
      </w:pPr>
      <w:r w:rsidDel="00000000" w:rsidR="00000000" w:rsidRPr="00000000">
        <w:rPr>
          <w:rtl w:val="0"/>
        </w:rPr>
        <w:t xml:space="preserve">En segundo lugar, existe velocidad, porque muchos eventos llegan en tiempo casi real y requieren procesamiento con baja latencia para habilitar decisiones operacionales, como redistribución de taxis, alertas de congestión o detección temprana de anomalías. También existe variedad, al combinarse datos estructurados, semiestructurados y potencialmente externos o no estructurados.</w:t>
      </w:r>
    </w:p>
    <w:p w:rsidR="00000000" w:rsidDel="00000000" w:rsidP="00000000" w:rsidRDefault="00000000" w:rsidRPr="00000000" w14:paraId="0000000D">
      <w:pPr>
        <w:rPr/>
      </w:pPr>
      <w:r w:rsidDel="00000000" w:rsidR="00000000" w:rsidRPr="00000000">
        <w:rPr>
          <w:rtl w:val="0"/>
        </w:rPr>
        <w:t xml:space="preserve">A ello se suman la veracidad, debido a problemas como GPS errático, pagos fallidos o registros incompletos, y el valor, porque una explotación analítica adecuada permite mejorar distribución, reducir tiempos de espera, optimizar ingresos y fortalecer la detección de fraude. Por estas razones, el caso supera las capacidades de una analítica tradicional basada sólo en reportes estáticos o planillas aisladas.</w:t>
      </w:r>
    </w:p>
    <w:p w:rsidR="00000000" w:rsidDel="00000000" w:rsidP="00000000" w:rsidRDefault="00000000" w:rsidRPr="00000000" w14:paraId="0000000E">
      <w:pPr>
        <w:pStyle w:val="Heading2"/>
        <w:rPr/>
      </w:pPr>
      <w:r w:rsidDel="00000000" w:rsidR="00000000" w:rsidRPr="00000000">
        <w:rPr>
          <w:rtl w:val="0"/>
        </w:rPr>
        <w:t xml:space="preserve">Big Data versus BI tradicional</w:t>
      </w:r>
    </w:p>
    <w:p w:rsidR="00000000" w:rsidDel="00000000" w:rsidP="00000000" w:rsidRDefault="00000000" w:rsidRPr="00000000" w14:paraId="0000000F">
      <w:pPr>
        <w:rPr/>
      </w:pPr>
      <w:r w:rsidDel="00000000" w:rsidR="00000000" w:rsidRPr="00000000">
        <w:rPr>
          <w:rtl w:val="0"/>
        </w:rPr>
        <w:t xml:space="preserve">No todos los requerimientos del caso necesitan la misma arquitectura analítica. Algunas necesidades, como reportes mensuales, análisis descriptivo histórico o comparación por temporadas, pueden resolverse con herramientas de BI tradicional sobre datos consolidados.</w:t>
      </w:r>
    </w:p>
    <w:p w:rsidR="00000000" w:rsidDel="00000000" w:rsidP="00000000" w:rsidRDefault="00000000" w:rsidRPr="00000000" w14:paraId="00000010">
      <w:pPr>
        <w:rPr/>
      </w:pPr>
      <w:r w:rsidDel="00000000" w:rsidR="00000000" w:rsidRPr="00000000">
        <w:rPr>
          <w:rtl w:val="0"/>
        </w:rPr>
        <w:t xml:space="preserve">Sin embargo, la predicción de demanda por sector, el monitoreo casi en tiempo real de disponibilidad y congestión, y la detección inmediata de anomalías sobre grandes volúmenes requieren una arquitectura Big Data en la nube. La razón principal es que estas capacidades exigen escalabilidad, procesamiento distribuido y soporte para flujos continuos de eventos, lo que excede a soluciones manuales o puramente batch tradicionales.</w:t>
      </w:r>
    </w:p>
    <w:p w:rsidR="00000000" w:rsidDel="00000000" w:rsidP="00000000" w:rsidRDefault="00000000" w:rsidRPr="00000000" w14:paraId="00000011">
      <w:pPr>
        <w:pStyle w:val="Heading1"/>
        <w:rPr/>
      </w:pPr>
      <w:r w:rsidDel="00000000" w:rsidR="00000000" w:rsidRPr="00000000">
        <w:rPr>
          <w:rtl w:val="0"/>
        </w:rPr>
        <w:t xml:space="preserve">Objetivos del proyecto</w:t>
      </w:r>
    </w:p>
    <w:p w:rsidR="00000000" w:rsidDel="00000000" w:rsidP="00000000" w:rsidRDefault="00000000" w:rsidRPr="00000000" w14:paraId="00000012">
      <w:pPr>
        <w:pStyle w:val="Heading2"/>
        <w:rPr/>
      </w:pPr>
      <w:r w:rsidDel="00000000" w:rsidR="00000000" w:rsidRPr="00000000">
        <w:rPr>
          <w:rtl w:val="0"/>
        </w:rPr>
        <w:t xml:space="preserve">Objetivos de negocio</w:t>
      </w:r>
    </w:p>
    <w:p w:rsidR="00000000" w:rsidDel="00000000" w:rsidP="00000000" w:rsidRDefault="00000000" w:rsidRPr="00000000" w14:paraId="00000013">
      <w:pPr>
        <w:rPr/>
      </w:pPr>
      <w:r w:rsidDel="00000000" w:rsidR="00000000" w:rsidRPr="00000000">
        <w:rPr>
          <w:rtl w:val="0"/>
        </w:rPr>
        <w:t xml:space="preserve">La solución propuesta busca mejorar la eficiencia en la distribución de taxis mediante modelos que permitan anticipar la demanda por zona y horario. También apunta a reducir la congestión en sectores críticos, aumentar la visibilidad operacional del sistema y fortalecer la identificación de fraudes o anomalías en rutas, tarifas y medios de pago.</w:t>
      </w:r>
    </w:p>
    <w:p w:rsidR="00000000" w:rsidDel="00000000" w:rsidP="00000000" w:rsidRDefault="00000000" w:rsidRPr="00000000" w14:paraId="00000014">
      <w:pPr>
        <w:rPr/>
      </w:pPr>
      <w:r w:rsidDel="00000000" w:rsidR="00000000" w:rsidRPr="00000000">
        <w:rPr>
          <w:rtl w:val="0"/>
        </w:rPr>
        <w:t xml:space="preserve">Estos objetivos de negocio responden directamente a los problemas operacionales observados en el caso. En términos prácticos, la plataforma debe transformarse en una herramienta de apoyo a la toma de decisiones tanto para gestión de flota como para control, supervisión y planificación urbana.</w:t>
      </w:r>
    </w:p>
    <w:p w:rsidR="00000000" w:rsidDel="00000000" w:rsidP="00000000" w:rsidRDefault="00000000" w:rsidRPr="00000000" w14:paraId="00000015">
      <w:pPr>
        <w:pStyle w:val="Heading2"/>
        <w:rPr/>
      </w:pPr>
      <w:r w:rsidDel="00000000" w:rsidR="00000000" w:rsidRPr="00000000">
        <w:rPr>
          <w:rtl w:val="0"/>
        </w:rPr>
        <w:t xml:space="preserve">Objetivos técnicos</w:t>
      </w:r>
    </w:p>
    <w:p w:rsidR="00000000" w:rsidDel="00000000" w:rsidP="00000000" w:rsidRDefault="00000000" w:rsidRPr="00000000" w14:paraId="00000016">
      <w:pPr>
        <w:rPr/>
      </w:pPr>
      <w:r w:rsidDel="00000000" w:rsidR="00000000" w:rsidRPr="00000000">
        <w:rPr>
          <w:rtl w:val="0"/>
        </w:rPr>
        <w:t xml:space="preserve">Para cumplir esos objetivos, la solución técnica debe construir un repositorio central en la nube que integre datos históricos y operacionales, implementar pipelines batch para cargas históricas y pipelines streaming para eventos recientes, habilitar modelos analíticos y exponer resultados en dashboards gerenciales y operacionales.</w:t>
      </w:r>
    </w:p>
    <w:p w:rsidR="00000000" w:rsidDel="00000000" w:rsidP="00000000" w:rsidRDefault="00000000" w:rsidRPr="00000000" w14:paraId="00000017">
      <w:pPr>
        <w:rPr/>
      </w:pPr>
      <w:r w:rsidDel="00000000" w:rsidR="00000000" w:rsidRPr="00000000">
        <w:rPr>
          <w:rtl w:val="0"/>
        </w:rPr>
        <w:t xml:space="preserve">Adicionalmente, se requiere incorporar mecanismos de seguridad, anonimización, calidad y gobierno de datos que garanticen consistencia, cumplimiento y trazabilidad a lo largo de todo el ciclo de vida del dato. Esto convierte a la solución no solo en una plataforma tecnológica, sino en una arquitectura de datos sostenible y gobernada.</w:t>
      </w:r>
    </w:p>
    <w:p w:rsidR="00000000" w:rsidDel="00000000" w:rsidP="00000000" w:rsidRDefault="00000000" w:rsidRPr="00000000" w14:paraId="00000018">
      <w:pPr>
        <w:pStyle w:val="Heading1"/>
        <w:rPr/>
      </w:pPr>
      <w:r w:rsidDel="00000000" w:rsidR="00000000" w:rsidRPr="00000000">
        <w:rPr>
          <w:rtl w:val="0"/>
        </w:rPr>
        <w:t xml:space="preserve">Flujo batch solicitado por la evaluación</w:t>
      </w:r>
    </w:p>
    <w:p w:rsidR="00000000" w:rsidDel="00000000" w:rsidP="00000000" w:rsidRDefault="00000000" w:rsidRPr="00000000" w14:paraId="00000019">
      <w:pPr>
        <w:rPr/>
      </w:pPr>
      <w:r w:rsidDel="00000000" w:rsidR="00000000" w:rsidRPr="00000000">
        <w:rPr>
          <w:rtl w:val="0"/>
        </w:rPr>
        <w:t xml:space="preserve">La evaluación parcial establece un flujo técnico recomendado para el procesamiento batch con GCP. Dicho flujo parte desde un dataset de aproximadamente 1.000.000 a 2.000.000 de registros, idealmente del caso de taxis NYC, y continúa con la carga del archivo hacia Cloud Storage en formatos como CSV, JSON o Parquet.</w:t>
      </w:r>
    </w:p>
    <w:p w:rsidR="00000000" w:rsidDel="00000000" w:rsidP="00000000" w:rsidRDefault="00000000" w:rsidRPr="00000000" w14:paraId="0000001A">
      <w:pPr>
        <w:rPr/>
      </w:pPr>
      <w:r w:rsidDel="00000000" w:rsidR="00000000" w:rsidRPr="00000000">
        <w:rPr>
          <w:rtl w:val="0"/>
        </w:rPr>
        <w:t xml:space="preserve">Posteriormente, se debe crear una tabla RAW en BigQuery a partir de los datos almacenados en Cloud Storage. Esta tabla actúa como capa intermedia para la preparación de datos y como base para la transformación posterior.</w:t>
      </w:r>
    </w:p>
    <w:p w:rsidR="00000000" w:rsidDel="00000000" w:rsidP="00000000" w:rsidRDefault="00000000" w:rsidRPr="00000000" w14:paraId="0000001B">
      <w:pPr>
        <w:rPr/>
      </w:pPr>
      <w:r w:rsidDel="00000000" w:rsidR="00000000" w:rsidRPr="00000000">
        <w:rPr>
          <w:rtl w:val="0"/>
        </w:rPr>
        <w:t xml:space="preserve">Luego, la pauta solicita conectar Dataprep a BigQuery para realizar limpieza, validaciones, transformación de atributos y generación de campos derivados. El resultado transformado debe almacenarse nuevamente en BigQuery como capa procesada o Data Warehouse analítico.</w:t>
      </w:r>
    </w:p>
    <w:p w:rsidR="00000000" w:rsidDel="00000000" w:rsidP="00000000" w:rsidRDefault="00000000" w:rsidRPr="00000000" w14:paraId="0000001C">
      <w:pPr>
        <w:rPr/>
      </w:pPr>
      <w:r w:rsidDel="00000000" w:rsidR="00000000" w:rsidRPr="00000000">
        <w:rPr>
          <w:rtl w:val="0"/>
        </w:rPr>
        <w:t xml:space="preserve">Finalmente, la evaluación pide persistencia y respaldo del resultado procesado, ya sea mediante exportación a CSV, almacenamiento en Cloud Storage o descarga local. De manera opcional, se pueden incorporar modelos predictivos en BigQuery ML y dashboards KPI en Looker Studio para alcanzar un nivel avanzado de logro.</w:t>
      </w:r>
    </w:p>
    <w:p w:rsidR="00000000" w:rsidDel="00000000" w:rsidP="00000000" w:rsidRDefault="00000000" w:rsidRPr="00000000" w14:paraId="0000001D">
      <w:pPr>
        <w:pStyle w:val="Heading1"/>
        <w:rPr/>
      </w:pPr>
      <w:r w:rsidDel="00000000" w:rsidR="00000000" w:rsidRPr="00000000">
        <w:rPr>
          <w:rtl w:val="0"/>
        </w:rPr>
        <w:t xml:space="preserve">Arquitectura propuesta en GCP</w:t>
      </w:r>
    </w:p>
    <w:p w:rsidR="00000000" w:rsidDel="00000000" w:rsidP="00000000" w:rsidRDefault="00000000" w:rsidRPr="00000000" w14:paraId="0000001E">
      <w:pPr>
        <w:rPr/>
      </w:pPr>
      <w:r w:rsidDel="00000000" w:rsidR="00000000" w:rsidRPr="00000000">
        <w:rPr>
          <w:rtl w:val="0"/>
        </w:rPr>
        <w:t xml:space="preserve">La arquitectura recomendada se basa en un enfoque Lakehouse en la nube, combinando la flexibilidad de un Data Lake sobre Cloud Storage con las capacidades analíticas serverless de BigQuery. Este enfoque permite almacenar datos crudos y curados, soportar reprocesos y centralizar la analítica en una plataforma escalable y gobernada.</w:t>
      </w:r>
    </w:p>
    <w:p w:rsidR="00000000" w:rsidDel="00000000" w:rsidP="00000000" w:rsidRDefault="00000000" w:rsidRPr="00000000" w14:paraId="0000001F">
      <w:pPr>
        <w:pStyle w:val="Heading2"/>
        <w:rPr/>
      </w:pPr>
      <w:r w:rsidDel="00000000" w:rsidR="00000000" w:rsidRPr="00000000">
        <w:rPr>
          <w:rtl w:val="0"/>
        </w:rPr>
        <w:t xml:space="preserve">Capa de ingestión batch</w:t>
      </w:r>
    </w:p>
    <w:p w:rsidR="00000000" w:rsidDel="00000000" w:rsidP="00000000" w:rsidRDefault="00000000" w:rsidRPr="00000000" w14:paraId="00000020">
      <w:pPr>
        <w:rPr/>
      </w:pPr>
      <w:r w:rsidDel="00000000" w:rsidR="00000000" w:rsidRPr="00000000">
        <w:rPr>
          <w:rtl w:val="0"/>
        </w:rPr>
        <w:t xml:space="preserve">La ingestión batch considera archivos históricos provenientes de registros de viajes, extractos de sistemas transaccionales y otras fuentes consolidadas. Estos datos aterrizan primero en Cloud Storage como zona raw, desde donde pueden cargarse a BigQuery RAW y posteriormente transformarse mediante herramientas de preparación y ETL/ELT.</w:t>
      </w:r>
    </w:p>
    <w:p w:rsidR="00000000" w:rsidDel="00000000" w:rsidP="00000000" w:rsidRDefault="00000000" w:rsidRPr="00000000" w14:paraId="00000021">
      <w:pPr>
        <w:rPr/>
      </w:pPr>
      <w:r w:rsidDel="00000000" w:rsidR="00000000" w:rsidRPr="00000000">
        <w:rPr>
          <w:rtl w:val="0"/>
        </w:rPr>
        <w:t xml:space="preserve">En esta capa, Cloud Storage cumple el rol de landing zone por su escalabilidad, bajo costo y facilidad de integración con otros servicios GCP. Para procesos más robustos, el documento propone Dataflow o Data Fusion como mecanismos de transformación e integración hacia capas estructuradas.</w:t>
      </w:r>
    </w:p>
    <w:p w:rsidR="00000000" w:rsidDel="00000000" w:rsidP="00000000" w:rsidRDefault="00000000" w:rsidRPr="00000000" w14:paraId="00000022">
      <w:pPr>
        <w:pStyle w:val="Heading2"/>
        <w:rPr/>
      </w:pPr>
      <w:r w:rsidDel="00000000" w:rsidR="00000000" w:rsidRPr="00000000">
        <w:rPr>
          <w:rtl w:val="0"/>
        </w:rPr>
        <w:t xml:space="preserve">Capa de ingestión streaming</w:t>
      </w:r>
    </w:p>
    <w:p w:rsidR="00000000" w:rsidDel="00000000" w:rsidP="00000000" w:rsidRDefault="00000000" w:rsidRPr="00000000" w14:paraId="00000023">
      <w:pPr>
        <w:rPr/>
      </w:pPr>
      <w:r w:rsidDel="00000000" w:rsidR="00000000" w:rsidRPr="00000000">
        <w:rPr>
          <w:rtl w:val="0"/>
        </w:rPr>
        <w:t xml:space="preserve">Para eventos de GPS, inicios y fines de viaje, pagos y actividad de aplicaciones móviles, la propuesta recomienda </w:t>
      </w:r>
      <w:r w:rsidDel="00000000" w:rsidR="00000000" w:rsidRPr="00000000">
        <w:rPr>
          <w:rtl w:val="0"/>
        </w:rPr>
        <w:t xml:space="preserve">Pub/Sub</w:t>
      </w:r>
      <w:r w:rsidDel="00000000" w:rsidR="00000000" w:rsidRPr="00000000">
        <w:rPr>
          <w:rtl w:val="0"/>
        </w:rPr>
        <w:t xml:space="preserve"> como servicio de mensajería distribuida y Dataflow streaming como motor de procesamiento de eventos. Esta combinación permite trabajar con ventanas de tiempo, enriquecimiento de datos y cargas cercanas al tiempo real hacia BigQuery o Bigtable.</w:t>
      </w:r>
    </w:p>
    <w:p w:rsidR="00000000" w:rsidDel="00000000" w:rsidP="00000000" w:rsidRDefault="00000000" w:rsidRPr="00000000" w14:paraId="00000024">
      <w:pPr>
        <w:rPr/>
      </w:pPr>
      <w:r w:rsidDel="00000000" w:rsidR="00000000" w:rsidRPr="00000000">
        <w:rPr>
          <w:rtl w:val="0"/>
        </w:rPr>
        <w:t xml:space="preserve">Aunque esta capa no es estrictamente obligatoria para la parte mínima del laboratorio batch, su inclusión fortalece la propuesta integral y demuestra alineación con la problemática del caso, especialmente respecto a visibilidad operacional y respuesta rápida ante cambios de demanda.</w:t>
      </w:r>
    </w:p>
    <w:p w:rsidR="00000000" w:rsidDel="00000000" w:rsidP="00000000" w:rsidRDefault="00000000" w:rsidRPr="00000000" w14:paraId="00000025">
      <w:pPr>
        <w:pStyle w:val="Heading2"/>
        <w:rPr/>
      </w:pPr>
      <w:r w:rsidDel="00000000" w:rsidR="00000000" w:rsidRPr="00000000">
        <w:rPr>
          <w:rtl w:val="0"/>
        </w:rPr>
        <w:t xml:space="preserve">Capa de almacenamiento y analítica</w:t>
      </w:r>
    </w:p>
    <w:p w:rsidR="00000000" w:rsidDel="00000000" w:rsidP="00000000" w:rsidRDefault="00000000" w:rsidRPr="00000000" w14:paraId="00000026">
      <w:pPr>
        <w:rPr/>
      </w:pPr>
      <w:r w:rsidDel="00000000" w:rsidR="00000000" w:rsidRPr="00000000">
        <w:rPr>
          <w:rtl w:val="0"/>
        </w:rPr>
        <w:t xml:space="preserve">Cloud Storage funciona como repositorio de datos crudos y curados, mientras que BigQuery actúa como Data Warehouse central para consultas SQL, reporting, modelado analítico y machine learning sobre grandes volúmenes. La propuesta también considera Bigtable como opción para escenarios de lectura de baja latencia y alto throughput.</w:t>
      </w:r>
    </w:p>
    <w:p w:rsidR="00000000" w:rsidDel="00000000" w:rsidP="00000000" w:rsidRDefault="00000000" w:rsidRPr="00000000" w14:paraId="00000027">
      <w:pPr>
        <w:rPr/>
      </w:pPr>
      <w:r w:rsidDel="00000000" w:rsidR="00000000" w:rsidRPr="00000000">
        <w:rPr>
          <w:rtl w:val="0"/>
        </w:rPr>
        <w:t xml:space="preserve">Esta decisión es consistente con el caso, ya que BigQuery permite consolidar datos batch y streaming en vistas unificadas, facilitando tanto análisis históricos como explotación operacional. Además, su naturaleza serverless reduce la complejidad de administración y mejora la escalabilidad del sistema.</w:t>
      </w:r>
    </w:p>
    <w:p w:rsidR="00000000" w:rsidDel="00000000" w:rsidP="00000000" w:rsidRDefault="00000000" w:rsidRPr="00000000" w14:paraId="00000028">
      <w:pPr>
        <w:pStyle w:val="Heading2"/>
        <w:rPr/>
      </w:pPr>
      <w:r w:rsidDel="00000000" w:rsidR="00000000" w:rsidRPr="00000000">
        <w:rPr>
          <w:rtl w:val="0"/>
        </w:rPr>
        <w:t xml:space="preserve">Capa de Machine Learning y visualización</w:t>
      </w:r>
    </w:p>
    <w:p w:rsidR="00000000" w:rsidDel="00000000" w:rsidP="00000000" w:rsidRDefault="00000000" w:rsidRPr="00000000" w14:paraId="00000029">
      <w:pPr>
        <w:rPr/>
      </w:pPr>
      <w:r w:rsidDel="00000000" w:rsidR="00000000" w:rsidRPr="00000000">
        <w:rPr>
          <w:rtl w:val="0"/>
        </w:rPr>
        <w:t xml:space="preserve">Para analítica predictiva, el diseño contempla BigQuery ML como alternativa directa para entrenar modelos sobre las tablas analíticas sin salir del entorno SQL. En casos de mayor complejidad, también se propone Vertex AI para construir, desplegar y administrar modelos personalizados.</w:t>
      </w:r>
    </w:p>
    <w:p w:rsidR="00000000" w:rsidDel="00000000" w:rsidP="00000000" w:rsidRDefault="00000000" w:rsidRPr="00000000" w14:paraId="0000002A">
      <w:pPr>
        <w:rPr/>
      </w:pPr>
      <w:r w:rsidDel="00000000" w:rsidR="00000000" w:rsidRPr="00000000">
        <w:rPr>
          <w:rtl w:val="0"/>
        </w:rPr>
        <w:t xml:space="preserve">En visualización, la herramienta sugerida es Looker Studio, conectada directamente a BigQuery para evitar silos de información y asegurar que los indicadores se construyen sobre datos gobernados y actualizados. Esta capa es clave para entregar valor tangible a usuarios de negocio, analistas y tomadores de decisión.</w:t>
      </w:r>
    </w:p>
    <w:p w:rsidR="00000000" w:rsidDel="00000000" w:rsidP="00000000" w:rsidRDefault="00000000" w:rsidRPr="00000000" w14:paraId="0000002B">
      <w:pPr>
        <w:pStyle w:val="Heading1"/>
        <w:rPr/>
      </w:pPr>
      <w:r w:rsidDel="00000000" w:rsidR="00000000" w:rsidRPr="00000000">
        <w:rPr>
          <w:rtl w:val="0"/>
        </w:rPr>
        <w:t xml:space="preserve">Ciclo de vida de los datos</w:t>
      </w:r>
    </w:p>
    <w:p w:rsidR="00000000" w:rsidDel="00000000" w:rsidP="00000000" w:rsidRDefault="00000000" w:rsidRPr="00000000" w14:paraId="0000002C">
      <w:pPr>
        <w:rPr/>
      </w:pPr>
      <w:r w:rsidDel="00000000" w:rsidR="00000000" w:rsidRPr="00000000">
        <w:rPr>
          <w:rtl w:val="0"/>
        </w:rPr>
        <w:t xml:space="preserve">El ciclo de vida del dato en esta solución comienza con la captura e ingestión desde fuentes como GPS, aplicaciones móviles, sistemas de pago y registros históricos. En esta etapa se deben definir formatos, contratos de datos, frecuencias de actualización y mecanismos de recepción batch o streaming.</w:t>
      </w:r>
    </w:p>
    <w:p w:rsidR="00000000" w:rsidDel="00000000" w:rsidP="00000000" w:rsidRDefault="00000000" w:rsidRPr="00000000" w14:paraId="0000002D">
      <w:pPr>
        <w:rPr/>
      </w:pPr>
      <w:r w:rsidDel="00000000" w:rsidR="00000000" w:rsidRPr="00000000">
        <w:rPr>
          <w:rtl w:val="0"/>
        </w:rPr>
        <w:t xml:space="preserve">La segunda etapa corresponde al almacenamiento raw, donde los datos se reciben sin transformar en Cloud Storage o en tablas crudas de BigQuery. En este punto se incorporan metadatos básicos, clasificación inicial de sensibilidad y controles de acceso mínimos.</w:t>
      </w:r>
    </w:p>
    <w:p w:rsidR="00000000" w:rsidDel="00000000" w:rsidP="00000000" w:rsidRDefault="00000000" w:rsidRPr="00000000" w14:paraId="0000002E">
      <w:pPr>
        <w:rPr/>
      </w:pPr>
      <w:r w:rsidDel="00000000" w:rsidR="00000000" w:rsidRPr="00000000">
        <w:rPr>
          <w:rtl w:val="0"/>
        </w:rPr>
        <w:t xml:space="preserve">La tercera fase es la transformación y curación, donde se ejecutan procesos ETL o ELT para limpiar, validar, estandarizar y enriquecer la información. Aquí se generan capas curadas y modelos de datos orientados al análisis, como agregaciones por zona, franja horaria, demanda, ingresos y anomalías detectadas.</w:t>
      </w:r>
    </w:p>
    <w:p w:rsidR="00000000" w:rsidDel="00000000" w:rsidP="00000000" w:rsidRDefault="00000000" w:rsidRPr="00000000" w14:paraId="0000002F">
      <w:pPr>
        <w:rPr/>
      </w:pPr>
      <w:r w:rsidDel="00000000" w:rsidR="00000000" w:rsidRPr="00000000">
        <w:rPr>
          <w:rtl w:val="0"/>
        </w:rPr>
        <w:t xml:space="preserve">Luego viene el consumo analítico y operacional, donde los datos son utilizados por dashboards, consultas ad hoc, modelos de machine learning y APIs internas. Finalmente, el ciclo cierra con políticas de archivado y eliminación, que definen cuánto tiempo conservar datos detallados, qué información resumida mantener por más tiempo y cuándo trasladar datos a almacenamiento de menor costo o eliminarlos conforme a normas vigentes.</w:t>
      </w:r>
    </w:p>
    <w:p w:rsidR="00000000" w:rsidDel="00000000" w:rsidP="00000000" w:rsidRDefault="00000000" w:rsidRPr="00000000" w14:paraId="00000030">
      <w:pPr>
        <w:pStyle w:val="Heading1"/>
        <w:rPr/>
      </w:pPr>
      <w:r w:rsidDel="00000000" w:rsidR="00000000" w:rsidRPr="00000000">
        <w:rPr>
          <w:rtl w:val="0"/>
        </w:rPr>
        <w:t xml:space="preserve">Gobernanza de los datos</w:t>
      </w:r>
    </w:p>
    <w:p w:rsidR="00000000" w:rsidDel="00000000" w:rsidP="00000000" w:rsidRDefault="00000000" w:rsidRPr="00000000" w14:paraId="00000031">
      <w:pPr>
        <w:rPr/>
      </w:pPr>
      <w:r w:rsidDel="00000000" w:rsidR="00000000" w:rsidRPr="00000000">
        <w:rPr>
          <w:rtl w:val="0"/>
        </w:rPr>
        <w:t xml:space="preserve">La gobernanza propuesta considera distintos roles. Los Data Owners representan a las áreas de negocio responsables de cada dominio de datos, como Operaciones, Finanzas o Regulación; los Data Stewards gestionan definiciones, metadatos y reglas de calidad; el equipo de Ingeniería de Datos implementa los pipelines y asegura disponibilidad; y un comité de gobierno define políticas y prioridades.</w:t>
      </w:r>
    </w:p>
    <w:p w:rsidR="00000000" w:rsidDel="00000000" w:rsidP="00000000" w:rsidRDefault="00000000" w:rsidRPr="00000000" w14:paraId="00000032">
      <w:pPr>
        <w:rPr/>
      </w:pPr>
      <w:r w:rsidDel="00000000" w:rsidR="00000000" w:rsidRPr="00000000">
        <w:rPr>
          <w:rtl w:val="0"/>
        </w:rPr>
        <w:t xml:space="preserve">Este modelo de gobierno es relevante porque la solución no solo necesita tecnología, sino también responsabilidad organizacional sobre calidad, seguridad y uso de la información. Sin un esquema formal de roles, la plataforma puede perder trazabilidad y consistencia a medida que crecen los datos y los consumidores.</w:t>
      </w:r>
    </w:p>
    <w:p w:rsidR="00000000" w:rsidDel="00000000" w:rsidP="00000000" w:rsidRDefault="00000000" w:rsidRPr="00000000" w14:paraId="00000033">
      <w:pPr>
        <w:pStyle w:val="Heading2"/>
        <w:rPr/>
      </w:pPr>
      <w:r w:rsidDel="00000000" w:rsidR="00000000" w:rsidRPr="00000000">
        <w:rPr>
          <w:rtl w:val="0"/>
        </w:rPr>
        <w:t xml:space="preserve">Calidad de datos</w:t>
      </w:r>
    </w:p>
    <w:p w:rsidR="00000000" w:rsidDel="00000000" w:rsidP="00000000" w:rsidRDefault="00000000" w:rsidRPr="00000000" w14:paraId="00000034">
      <w:pPr>
        <w:rPr/>
      </w:pPr>
      <w:r w:rsidDel="00000000" w:rsidR="00000000" w:rsidRPr="00000000">
        <w:rPr>
          <w:rtl w:val="0"/>
        </w:rPr>
        <w:t xml:space="preserve">La propuesta incorpora reglas de calidad en pipelines batch y streaming, tales como validación de campos obligatorios, rangos esperados de tarifas, consistencia de coordenadas GPS, duplicados y verificación temporal de registros. Estas reglas son necesarias para mitigar problemas de veracidad y evitar que dashboards o modelos se construyen sobre datos defectuosos.</w:t>
      </w:r>
    </w:p>
    <w:p w:rsidR="00000000" w:rsidDel="00000000" w:rsidP="00000000" w:rsidRDefault="00000000" w:rsidRPr="00000000" w14:paraId="00000035">
      <w:pPr>
        <w:rPr/>
      </w:pPr>
      <w:r w:rsidDel="00000000" w:rsidR="00000000" w:rsidRPr="00000000">
        <w:rPr>
          <w:rtl w:val="0"/>
        </w:rPr>
        <w:t xml:space="preserve">También se sugiere el uso de un catálogo de datos, por ejemplo Data Catalog en GCP, para documentar datasets, tablas, campos, sensibilidad y linaje. Esto mejora la trazabilidad y facilita el uso confiable de la información por parte de analistas y equipos técnicos.</w:t>
      </w:r>
    </w:p>
    <w:p w:rsidR="00000000" w:rsidDel="00000000" w:rsidP="00000000" w:rsidRDefault="00000000" w:rsidRPr="00000000" w14:paraId="00000036">
      <w:pPr>
        <w:pStyle w:val="Heading2"/>
        <w:rPr/>
      </w:pPr>
      <w:r w:rsidDel="00000000" w:rsidR="00000000" w:rsidRPr="00000000">
        <w:rPr>
          <w:rtl w:val="0"/>
        </w:rPr>
        <w:t xml:space="preserve">Seguridad, privacidad y cumplimiento</w:t>
      </w:r>
    </w:p>
    <w:p w:rsidR="00000000" w:rsidDel="00000000" w:rsidP="00000000" w:rsidRDefault="00000000" w:rsidRPr="00000000" w14:paraId="00000037">
      <w:pPr>
        <w:rPr/>
      </w:pPr>
      <w:r w:rsidDel="00000000" w:rsidR="00000000" w:rsidRPr="00000000">
        <w:rPr>
          <w:rtl w:val="0"/>
        </w:rPr>
        <w:t xml:space="preserve">Dado que el caso puede involucrar información sensible de pasajeros, conductores y medios de pago, la propuesta considera clasificación de datos sensibles, anonimización, enmascaramiento o tokenización según corresponda. Además, se recomienda controlar el acceso mediante RBAC y principio de mínimo privilegio, separando permisos entre desarrolladores, analistas, científicos de datos, operaciones y gerencia.</w:t>
      </w:r>
    </w:p>
    <w:p w:rsidR="00000000" w:rsidDel="00000000" w:rsidP="00000000" w:rsidRDefault="00000000" w:rsidRPr="00000000" w14:paraId="00000038">
      <w:pPr>
        <w:rPr/>
      </w:pPr>
      <w:r w:rsidDel="00000000" w:rsidR="00000000" w:rsidRPr="00000000">
        <w:rPr>
          <w:rtl w:val="0"/>
        </w:rPr>
        <w:t xml:space="preserve">Junto con ello, deben registrarse accesos y actividades relevantes para fines de auditoría y cumplimiento. Estas prácticas son críticas en las capas de almacenamiento, consumo y exposición de resultados, especialmente cuando existen dashboards, APIs o modelos que consultan información operacional y financiera.</w:t>
      </w:r>
    </w:p>
    <w:p w:rsidR="00000000" w:rsidDel="00000000" w:rsidP="00000000" w:rsidRDefault="00000000" w:rsidRPr="00000000" w14:paraId="00000039">
      <w:pPr>
        <w:pStyle w:val="Heading1"/>
        <w:rPr/>
      </w:pPr>
      <w:r w:rsidDel="00000000" w:rsidR="00000000" w:rsidRPr="00000000">
        <w:rPr>
          <w:rtl w:val="0"/>
        </w:rPr>
        <w:t xml:space="preserve">Propuesta de ecosistema tecnológico GCP</w:t>
      </w:r>
    </w:p>
    <w:p w:rsidR="00000000" w:rsidDel="00000000" w:rsidP="00000000" w:rsidRDefault="00000000" w:rsidRPr="00000000" w14:paraId="0000003A">
      <w:pPr>
        <w:rPr/>
      </w:pPr>
      <w:r w:rsidDel="00000000" w:rsidR="00000000" w:rsidRPr="00000000">
        <w:rPr>
          <w:rtl w:val="0"/>
        </w:rPr>
        <w:t xml:space="preserve">La solución integral puede resumirse en un ecosistema tecnológico compuesto por Cloud Storage para almacenamiento inicial y curado, BigQuery para analítica y Data Warehouse, Pub/Sub para mensajería en tiempo real, Dataflow o Data Fusion para integración y transformación, BigQuery ML o Vertex AI para modelos predictivos y Looker Studio para visualización de KPIs y analítica gerencial.</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rHeight w:val="525" w:hRule="atLeast"/>
          <w:tblHeader w:val="0"/>
        </w:trPr>
        <w:tc>
          <w:tcPr>
            <w:shd w:fill="a4c2f4" w:val="clear"/>
          </w:tcPr>
          <w:p w:rsidR="00000000" w:rsidDel="00000000" w:rsidP="00000000" w:rsidRDefault="00000000" w:rsidRPr="00000000" w14:paraId="0000003B">
            <w:pPr>
              <w:spacing w:line="240" w:lineRule="auto"/>
              <w:ind w:left="720" w:firstLine="0"/>
              <w:rPr/>
            </w:pPr>
            <w:r w:rsidDel="00000000" w:rsidR="00000000" w:rsidRPr="00000000">
              <w:rPr>
                <w:rtl w:val="0"/>
              </w:rPr>
              <w:t xml:space="preserve">Capa</w:t>
            </w:r>
          </w:p>
        </w:tc>
        <w:tc>
          <w:tcPr>
            <w:shd w:fill="a4c2f4" w:val="clear"/>
          </w:tcPr>
          <w:p w:rsidR="00000000" w:rsidDel="00000000" w:rsidP="00000000" w:rsidRDefault="00000000" w:rsidRPr="00000000" w14:paraId="0000003C">
            <w:pPr>
              <w:spacing w:line="240" w:lineRule="auto"/>
              <w:ind w:left="720" w:firstLine="0"/>
              <w:rPr/>
            </w:pPr>
            <w:r w:rsidDel="00000000" w:rsidR="00000000" w:rsidRPr="00000000">
              <w:rPr>
                <w:rtl w:val="0"/>
              </w:rPr>
              <w:t xml:space="preserve">Función</w:t>
            </w:r>
          </w:p>
        </w:tc>
        <w:tc>
          <w:tcPr>
            <w:shd w:fill="a4c2f4" w:val="clear"/>
          </w:tcPr>
          <w:p w:rsidR="00000000" w:rsidDel="00000000" w:rsidP="00000000" w:rsidRDefault="00000000" w:rsidRPr="00000000" w14:paraId="0000003D">
            <w:pPr>
              <w:spacing w:line="240" w:lineRule="auto"/>
              <w:ind w:left="720" w:firstLine="0"/>
              <w:rPr/>
            </w:pPr>
            <w:r w:rsidDel="00000000" w:rsidR="00000000" w:rsidRPr="00000000">
              <w:rPr>
                <w:rtl w:val="0"/>
              </w:rPr>
              <w:t xml:space="preserve">Servicio GCP propuesto</w:t>
            </w:r>
          </w:p>
        </w:tc>
      </w:tr>
      <w:tr>
        <w:trPr>
          <w:cantSplit w:val="0"/>
          <w:tblHeader w:val="0"/>
        </w:trPr>
        <w:tc>
          <w:tcPr>
            <w:shd w:fill="d9d9d9" w:val="clear"/>
          </w:tcPr>
          <w:p w:rsidR="00000000" w:rsidDel="00000000" w:rsidP="00000000" w:rsidRDefault="00000000" w:rsidRPr="00000000" w14:paraId="0000003E">
            <w:pPr>
              <w:rPr/>
            </w:pPr>
            <w:r w:rsidDel="00000000" w:rsidR="00000000" w:rsidRPr="00000000">
              <w:rPr>
                <w:rtl w:val="0"/>
              </w:rPr>
              <w:t xml:space="preserve">Ingesta batch</w:t>
            </w:r>
          </w:p>
        </w:tc>
        <w:tc>
          <w:tcPr/>
          <w:p w:rsidR="00000000" w:rsidDel="00000000" w:rsidP="00000000" w:rsidRDefault="00000000" w:rsidRPr="00000000" w14:paraId="0000003F">
            <w:pPr>
              <w:rPr/>
            </w:pPr>
            <w:r w:rsidDel="00000000" w:rsidR="00000000" w:rsidRPr="00000000">
              <w:rPr>
                <w:rtl w:val="0"/>
              </w:rPr>
              <w:t xml:space="preserve">Recepción de históricos y landing zone</w:t>
            </w:r>
          </w:p>
        </w:tc>
        <w:tc>
          <w:tcPr/>
          <w:p w:rsidR="00000000" w:rsidDel="00000000" w:rsidP="00000000" w:rsidRDefault="00000000" w:rsidRPr="00000000" w14:paraId="00000040">
            <w:pPr>
              <w:rPr/>
            </w:pPr>
            <w:r w:rsidDel="00000000" w:rsidR="00000000" w:rsidRPr="00000000">
              <w:rPr>
                <w:rtl w:val="0"/>
              </w:rPr>
              <w:t xml:space="preserve">Cloud Storage</w:t>
            </w:r>
          </w:p>
        </w:tc>
      </w:tr>
      <w:tr>
        <w:trPr>
          <w:cantSplit w:val="0"/>
          <w:tblHeader w:val="0"/>
        </w:trPr>
        <w:tc>
          <w:tcPr>
            <w:shd w:fill="d9d9d9" w:val="clear"/>
          </w:tcPr>
          <w:p w:rsidR="00000000" w:rsidDel="00000000" w:rsidP="00000000" w:rsidRDefault="00000000" w:rsidRPr="00000000" w14:paraId="00000041">
            <w:pPr>
              <w:rPr/>
            </w:pPr>
            <w:r w:rsidDel="00000000" w:rsidR="00000000" w:rsidRPr="00000000">
              <w:rPr>
                <w:rtl w:val="0"/>
              </w:rPr>
              <w:t xml:space="preserve">Preparación y ETL/ELT</w:t>
            </w:r>
          </w:p>
        </w:tc>
        <w:tc>
          <w:tcPr/>
          <w:p w:rsidR="00000000" w:rsidDel="00000000" w:rsidP="00000000" w:rsidRDefault="00000000" w:rsidRPr="00000000" w14:paraId="00000042">
            <w:pPr>
              <w:rPr/>
            </w:pPr>
            <w:r w:rsidDel="00000000" w:rsidR="00000000" w:rsidRPr="00000000">
              <w:rPr>
                <w:rtl w:val="0"/>
              </w:rPr>
              <w:t xml:space="preserve">Limpieza y transformación</w:t>
            </w:r>
          </w:p>
        </w:tc>
        <w:tc>
          <w:tcPr/>
          <w:p w:rsidR="00000000" w:rsidDel="00000000" w:rsidP="00000000" w:rsidRDefault="00000000" w:rsidRPr="00000000" w14:paraId="00000043">
            <w:pPr>
              <w:rPr/>
            </w:pPr>
            <w:r w:rsidDel="00000000" w:rsidR="00000000" w:rsidRPr="00000000">
              <w:rPr>
                <w:rtl w:val="0"/>
              </w:rPr>
              <w:t xml:space="preserve">Dataprep / Dataflow / Data Fusion</w:t>
            </w:r>
          </w:p>
        </w:tc>
      </w:tr>
      <w:tr>
        <w:trPr>
          <w:cantSplit w:val="0"/>
          <w:tblHeader w:val="0"/>
        </w:trPr>
        <w:tc>
          <w:tcPr>
            <w:shd w:fill="d9d9d9" w:val="clear"/>
          </w:tcPr>
          <w:p w:rsidR="00000000" w:rsidDel="00000000" w:rsidP="00000000" w:rsidRDefault="00000000" w:rsidRPr="00000000" w14:paraId="00000044">
            <w:pPr>
              <w:rPr/>
            </w:pPr>
            <w:r w:rsidDel="00000000" w:rsidR="00000000" w:rsidRPr="00000000">
              <w:rPr>
                <w:rtl w:val="0"/>
              </w:rPr>
              <w:t xml:space="preserve">Capa RAW y analítica</w:t>
            </w:r>
          </w:p>
        </w:tc>
        <w:tc>
          <w:tcPr/>
          <w:p w:rsidR="00000000" w:rsidDel="00000000" w:rsidP="00000000" w:rsidRDefault="00000000" w:rsidRPr="00000000" w14:paraId="00000045">
            <w:pPr>
              <w:rPr/>
            </w:pPr>
            <w:r w:rsidDel="00000000" w:rsidR="00000000" w:rsidRPr="00000000">
              <w:rPr>
                <w:rtl w:val="0"/>
              </w:rPr>
              <w:t xml:space="preserve">Almacenamiento y consulta masiva</w:t>
            </w:r>
          </w:p>
        </w:tc>
        <w:tc>
          <w:tcPr/>
          <w:p w:rsidR="00000000" w:rsidDel="00000000" w:rsidP="00000000" w:rsidRDefault="00000000" w:rsidRPr="00000000" w14:paraId="00000046">
            <w:pPr>
              <w:rPr/>
            </w:pPr>
            <w:r w:rsidDel="00000000" w:rsidR="00000000" w:rsidRPr="00000000">
              <w:rPr>
                <w:rtl w:val="0"/>
              </w:rPr>
              <w:t xml:space="preserve">BigQuery</w:t>
            </w:r>
          </w:p>
        </w:tc>
      </w:tr>
      <w:tr>
        <w:trPr>
          <w:cantSplit w:val="0"/>
          <w:tblHeader w:val="0"/>
        </w:trPr>
        <w:tc>
          <w:tcPr>
            <w:shd w:fill="d9d9d9" w:val="clear"/>
          </w:tcPr>
          <w:p w:rsidR="00000000" w:rsidDel="00000000" w:rsidP="00000000" w:rsidRDefault="00000000" w:rsidRPr="00000000" w14:paraId="00000047">
            <w:pPr>
              <w:rPr/>
            </w:pPr>
            <w:r w:rsidDel="00000000" w:rsidR="00000000" w:rsidRPr="00000000">
              <w:rPr>
                <w:rtl w:val="0"/>
              </w:rPr>
              <w:t xml:space="preserve">Ingesta streaming</w:t>
            </w:r>
          </w:p>
        </w:tc>
        <w:tc>
          <w:tcPr/>
          <w:p w:rsidR="00000000" w:rsidDel="00000000" w:rsidP="00000000" w:rsidRDefault="00000000" w:rsidRPr="00000000" w14:paraId="00000048">
            <w:pPr>
              <w:rPr/>
            </w:pPr>
            <w:r w:rsidDel="00000000" w:rsidR="00000000" w:rsidRPr="00000000">
              <w:rPr>
                <w:rtl w:val="0"/>
              </w:rPr>
              <w:t xml:space="preserve">Recepción de eventos en tiempo real</w:t>
            </w:r>
          </w:p>
        </w:tc>
        <w:tc>
          <w:tcPr/>
          <w:p w:rsidR="00000000" w:rsidDel="00000000" w:rsidP="00000000" w:rsidRDefault="00000000" w:rsidRPr="00000000" w14:paraId="00000049">
            <w:pPr>
              <w:rPr/>
            </w:pPr>
            <w:r w:rsidDel="00000000" w:rsidR="00000000" w:rsidRPr="00000000">
              <w:rPr>
                <w:rtl w:val="0"/>
              </w:rPr>
              <w:t xml:space="preserve">Pub/Sub</w:t>
            </w:r>
          </w:p>
        </w:tc>
      </w:tr>
      <w:tr>
        <w:trPr>
          <w:cantSplit w:val="0"/>
          <w:tblHeader w:val="0"/>
        </w:trPr>
        <w:tc>
          <w:tcPr>
            <w:shd w:fill="d9d9d9" w:val="clear"/>
          </w:tcPr>
          <w:p w:rsidR="00000000" w:rsidDel="00000000" w:rsidP="00000000" w:rsidRDefault="00000000" w:rsidRPr="00000000" w14:paraId="0000004A">
            <w:pPr>
              <w:rPr/>
            </w:pPr>
            <w:r w:rsidDel="00000000" w:rsidR="00000000" w:rsidRPr="00000000">
              <w:rPr>
                <w:rtl w:val="0"/>
              </w:rPr>
              <w:t xml:space="preserve">Procesamiento streaming</w:t>
            </w:r>
          </w:p>
        </w:tc>
        <w:tc>
          <w:tcPr/>
          <w:p w:rsidR="00000000" w:rsidDel="00000000" w:rsidP="00000000" w:rsidRDefault="00000000" w:rsidRPr="00000000" w14:paraId="0000004B">
            <w:pPr>
              <w:rPr/>
            </w:pPr>
            <w:r w:rsidDel="00000000" w:rsidR="00000000" w:rsidRPr="00000000">
              <w:rPr>
                <w:rtl w:val="0"/>
              </w:rPr>
              <w:t xml:space="preserve">Enriquecimiento y ventanas de tiempo</w:t>
            </w:r>
          </w:p>
        </w:tc>
        <w:tc>
          <w:tcPr/>
          <w:p w:rsidR="00000000" w:rsidDel="00000000" w:rsidP="00000000" w:rsidRDefault="00000000" w:rsidRPr="00000000" w14:paraId="0000004C">
            <w:pPr>
              <w:rPr/>
            </w:pPr>
            <w:r w:rsidDel="00000000" w:rsidR="00000000" w:rsidRPr="00000000">
              <w:rPr>
                <w:rtl w:val="0"/>
              </w:rPr>
              <w:t xml:space="preserve">Dataflow</w:t>
            </w:r>
          </w:p>
        </w:tc>
      </w:tr>
      <w:tr>
        <w:trPr>
          <w:cantSplit w:val="0"/>
          <w:tblHeader w:val="0"/>
        </w:trPr>
        <w:tc>
          <w:tcPr>
            <w:shd w:fill="d9d9d9" w:val="clear"/>
          </w:tcPr>
          <w:p w:rsidR="00000000" w:rsidDel="00000000" w:rsidP="00000000" w:rsidRDefault="00000000" w:rsidRPr="00000000" w14:paraId="0000004D">
            <w:pPr>
              <w:rPr/>
            </w:pPr>
            <w:r w:rsidDel="00000000" w:rsidR="00000000" w:rsidRPr="00000000">
              <w:rPr>
                <w:rtl w:val="0"/>
              </w:rPr>
              <w:t xml:space="preserve">Machine Learning</w:t>
            </w:r>
          </w:p>
        </w:tc>
        <w:tc>
          <w:tcPr/>
          <w:p w:rsidR="00000000" w:rsidDel="00000000" w:rsidP="00000000" w:rsidRDefault="00000000" w:rsidRPr="00000000" w14:paraId="0000004E">
            <w:pPr>
              <w:rPr/>
            </w:pPr>
            <w:r w:rsidDel="00000000" w:rsidR="00000000" w:rsidRPr="00000000">
              <w:rPr>
                <w:rtl w:val="0"/>
              </w:rPr>
              <w:t xml:space="preserve">Predicción y detección de anomalías</w:t>
            </w:r>
          </w:p>
        </w:tc>
        <w:tc>
          <w:tcPr/>
          <w:p w:rsidR="00000000" w:rsidDel="00000000" w:rsidP="00000000" w:rsidRDefault="00000000" w:rsidRPr="00000000" w14:paraId="0000004F">
            <w:pPr>
              <w:rPr/>
            </w:pPr>
            <w:r w:rsidDel="00000000" w:rsidR="00000000" w:rsidRPr="00000000">
              <w:rPr>
                <w:rtl w:val="0"/>
              </w:rPr>
              <w:t xml:space="preserve">BigQuery ML / Vertex AI</w:t>
            </w:r>
          </w:p>
        </w:tc>
      </w:tr>
      <w:tr>
        <w:trPr>
          <w:cantSplit w:val="0"/>
          <w:tblHeader w:val="0"/>
        </w:trPr>
        <w:tc>
          <w:tcPr>
            <w:shd w:fill="d9d9d9" w:val="clear"/>
          </w:tcPr>
          <w:p w:rsidR="00000000" w:rsidDel="00000000" w:rsidP="00000000" w:rsidRDefault="00000000" w:rsidRPr="00000000" w14:paraId="00000050">
            <w:pPr>
              <w:rPr/>
            </w:pPr>
            <w:r w:rsidDel="00000000" w:rsidR="00000000" w:rsidRPr="00000000">
              <w:rPr>
                <w:rtl w:val="0"/>
              </w:rPr>
              <w:t xml:space="preserve">Visualización</w:t>
            </w:r>
          </w:p>
        </w:tc>
        <w:tc>
          <w:tcPr/>
          <w:p w:rsidR="00000000" w:rsidDel="00000000" w:rsidP="00000000" w:rsidRDefault="00000000" w:rsidRPr="00000000" w14:paraId="00000051">
            <w:pPr>
              <w:rPr/>
            </w:pPr>
            <w:r w:rsidDel="00000000" w:rsidR="00000000" w:rsidRPr="00000000">
              <w:rPr>
                <w:rtl w:val="0"/>
              </w:rPr>
              <w:t xml:space="preserve">Dashboard KPI y analítica ejecutiva</w:t>
            </w:r>
          </w:p>
        </w:tc>
        <w:tc>
          <w:tcPr/>
          <w:p w:rsidR="00000000" w:rsidDel="00000000" w:rsidP="00000000" w:rsidRDefault="00000000" w:rsidRPr="00000000" w14:paraId="00000052">
            <w:pPr>
              <w:rPr/>
            </w:pPr>
            <w:r w:rsidDel="00000000" w:rsidR="00000000" w:rsidRPr="00000000">
              <w:rPr>
                <w:rtl w:val="0"/>
              </w:rPr>
              <w:t xml:space="preserve">Looker Studio</w:t>
            </w:r>
          </w:p>
        </w:tc>
      </w:tr>
    </w:tbl>
    <w:p w:rsidR="00000000" w:rsidDel="00000000" w:rsidP="00000000" w:rsidRDefault="00000000" w:rsidRPr="00000000" w14:paraId="00000053">
      <w:pPr>
        <w:rPr/>
      </w:pPr>
      <w:r w:rsidDel="00000000" w:rsidR="00000000" w:rsidRPr="00000000">
        <w:rPr>
          <w:rtl w:val="0"/>
        </w:rPr>
        <w:br w:type="textWrapping"/>
        <w:t xml:space="preserve">Este ecosistema es coherente con los requerimientos del caso y con la pauta de evaluación, ya que cubre tanto el mínimo exigido para el procesamiento batch como una proyección de madurez hacia capacidades predictivas y de monitoreo operacional avanzado.</w:t>
      </w:r>
    </w:p>
    <w:p w:rsidR="00000000" w:rsidDel="00000000" w:rsidP="00000000" w:rsidRDefault="00000000" w:rsidRPr="00000000" w14:paraId="00000054">
      <w:pPr>
        <w:pStyle w:val="Heading2"/>
        <w:rPr/>
      </w:pPr>
      <w:r w:rsidDel="00000000" w:rsidR="00000000" w:rsidRPr="00000000">
        <w:rPr>
          <w:rtl w:val="0"/>
        </w:rPr>
        <w:t xml:space="preserve">Arquitectura de referencia</w:t>
      </w:r>
    </w:p>
    <w:p w:rsidR="00000000" w:rsidDel="00000000" w:rsidP="00000000" w:rsidRDefault="00000000" w:rsidRPr="00000000" w14:paraId="00000055">
      <w:pPr>
        <w:rPr/>
      </w:pPr>
      <w:r w:rsidDel="00000000" w:rsidR="00000000" w:rsidRPr="00000000">
        <w:rPr>
          <w:rtl w:val="0"/>
        </w:rPr>
        <w:t xml:space="preserve">La propuesta se alinea con una arquitectura Lakehouse y, en términos de procesamiento, con un enfoque similar a Lambda. La capa batch gestiona históricos, reprocesamiento, agregados y entrenamiento periódico de modelos, mientras que la capa de velocidad procesa eventos recientes para monitoreo, alertas y decisiones operativas inmediatas.</w:t>
      </w:r>
    </w:p>
    <w:p w:rsidR="00000000" w:rsidDel="00000000" w:rsidP="00000000" w:rsidRDefault="00000000" w:rsidRPr="00000000" w14:paraId="00000056">
      <w:pPr>
        <w:rPr/>
      </w:pPr>
      <w:r w:rsidDel="00000000" w:rsidR="00000000" w:rsidRPr="00000000">
        <w:rPr>
          <w:rtl w:val="0"/>
        </w:rPr>
        <w:t xml:space="preserve">Ambas capas convergen en BigQuery, lo que permite entregar una visión unificada del comportamiento histórico y del estado actual del sistema. Esta convergencia facilita que los usuarios consulten una única plataforma analítica sin separar artificialmente datos antiguos y recientes.</w:t>
      </w:r>
    </w:p>
    <w:p w:rsidR="00000000" w:rsidDel="00000000" w:rsidP="00000000" w:rsidRDefault="00000000" w:rsidRPr="00000000" w14:paraId="00000057">
      <w:pPr>
        <w:pStyle w:val="Heading1"/>
        <w:rPr/>
      </w:pPr>
      <w:r w:rsidDel="00000000" w:rsidR="00000000" w:rsidRPr="00000000">
        <w:rPr>
          <w:rtl w:val="0"/>
        </w:rPr>
        <w:t xml:space="preserve">Resultados esperados y niveles de logro</w:t>
      </w:r>
    </w:p>
    <w:p w:rsidR="00000000" w:rsidDel="00000000" w:rsidP="00000000" w:rsidRDefault="00000000" w:rsidRPr="00000000" w14:paraId="00000058">
      <w:pPr>
        <w:rPr/>
      </w:pPr>
      <w:r w:rsidDel="00000000" w:rsidR="00000000" w:rsidRPr="00000000">
        <w:rPr>
          <w:rtl w:val="0"/>
        </w:rPr>
        <w:t xml:space="preserve">Según la pauta, el nivel base esperado es implementar un pipeline completo hasta BigQuery procesado. El nivel intermedio agrega persistencia y exportación correcta de resultados, mientras que el nivel avanzado considera modelos en BigQuery ML y un dashboard KPI conectado a BigQuery mediante Looker Studio.</w:t>
      </w:r>
    </w:p>
    <w:p w:rsidR="00000000" w:rsidDel="00000000" w:rsidP="00000000" w:rsidRDefault="00000000" w:rsidRPr="00000000" w14:paraId="00000059">
      <w:pPr>
        <w:rPr/>
      </w:pPr>
      <w:r w:rsidDel="00000000" w:rsidR="00000000" w:rsidRPr="00000000">
        <w:rPr>
          <w:rtl w:val="0"/>
        </w:rPr>
        <w:t xml:space="preserve">Por lo tanto, una entrega sólida debe evidenciar al menos el cumplimiento del pipeline batch completo, acompañado de una justificación arquitectónica, un modelo de gobernanza y una descripción clara del ciclo de vida del dato. Si además se incorpora exportación de resultados y una proyección hacia visualización o ML, la propuesta queda mejor alineada con los niveles superiores de logro.</w:t>
      </w:r>
    </w:p>
    <w:p w:rsidR="00000000" w:rsidDel="00000000" w:rsidP="00000000" w:rsidRDefault="00000000" w:rsidRPr="00000000" w14:paraId="0000005A">
      <w:pPr>
        <w:pStyle w:val="Heading1"/>
        <w:rPr/>
      </w:pPr>
      <w:r w:rsidDel="00000000" w:rsidR="00000000" w:rsidRPr="00000000">
        <w:rPr>
          <w:rtl w:val="0"/>
        </w:rPr>
        <w:t xml:space="preserve">Conclusión</w:t>
      </w:r>
    </w:p>
    <w:p w:rsidR="00000000" w:rsidDel="00000000" w:rsidP="00000000" w:rsidRDefault="00000000" w:rsidRPr="00000000" w14:paraId="0000005B">
      <w:pPr>
        <w:rPr/>
      </w:pPr>
      <w:r w:rsidDel="00000000" w:rsidR="00000000" w:rsidRPr="00000000">
        <w:rPr>
          <w:rtl w:val="0"/>
        </w:rPr>
        <w:t xml:space="preserve">El caso de analítica de demanda de taxis en Nueva York constituye un problema genuino de Big Data, debido a la combinación de alto volumen de información, necesidad de procesamiento con baja latencia, diversidad de fuentes y requerimientos de calidad, seguridad y explotación analítica. Por ello, una arquitectura basada en GCP resulta adecuada para responder tanto a las exigencias.</w:t>
      </w:r>
    </w:p>
    <w:p w:rsidR="00000000" w:rsidDel="00000000" w:rsidP="00000000" w:rsidRDefault="00000000" w:rsidRPr="00000000" w14:paraId="0000005C">
      <w:pPr>
        <w:rPr/>
      </w:pPr>
      <w:r w:rsidDel="00000000" w:rsidR="00000000" w:rsidRPr="00000000">
        <w:rPr>
          <w:rtl w:val="0"/>
        </w:rPr>
        <w:t xml:space="preserve">La solución propuesta, basada en Cloud Storage, BigQuery, Dataprep, Dataflow, Pub/Sub, BigQuery ML y Looker Studio, permite cubrir el flujo batch obligatorio y al mismo tiempo proyectar una plataforma moderna de analítica operacional y predictiva. En conjunto, el diseño entrega una base técnica y de gobierno suficiente para mejorar la distribución de taxis, aumentar la visibilidad del sistema y apoyar decisiones más oportunas y confiables.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Yq5nIDp5n/nlNGf3dzEm5Kpr1w==">CgMxLjA4AHIhMXB5LXpEckltbWZSc3p6MXg4aHdhdDZPNXVoYkNyZjlt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