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before="200" w:after="80" w:line="360" w:lineRule="auto"/>
        <w:jc w:val="center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b/>
          <w:bCs/>
          <w:color w:val="1B4F72"/>
          <w:sz w:val="28"/>
          <w:szCs w:val="28"/>
        </w:rPr>
        <w:t xml:space="preserve">PROPUESTA DE ARQUITECTURA</w:t>
      </w:r>
    </w:p>
    <w:p>
      <w:pPr>
        <w:spacing w:after="300" w:line="360" w:lineRule="auto"/>
        <w:jc w:val="center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color w:val="2874A6"/>
          <w:sz w:val="28"/>
          <w:szCs w:val="28"/>
        </w:rPr>
        <w:t xml:space="preserve">Despliegue de Software SaaS – Fase Inicial</w:t>
      </w:r>
    </w:p>
    <w:p>
      <w:pPr>
        <w:pStyle w:val="Heading1"/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1. Objetivo</w:t>
      </w:r>
    </w:p>
    <w:p>
      <w:pPr>
        <w:spacing w:after="12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Definir la arquitectura técnica y la estimación de costos para el despliegue de un software SaaS simple pero completo, con las siguientes características: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Acceso público mediante dominio propio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Comunicación segura mediante HTTPS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Ambiente de Producción y ambiente de Desarrollo/Pruebas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Una sola instancia de servidor con base de datos y dos contenedores (main y dev)</w:t>
      </w:r>
    </w:p>
    <w:p>
      <w:pPr>
        <w:pStyle w:val="ListParagraph"/>
        <w:numPr>
          <w:ilvl w:val="0"/>
          <w:numId w:val="2"/>
        </w:numPr>
        <w:spacing w:after="16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Bajo costo de operación y posibilidad de escalar en el futuro</w:t>
      </w:r>
    </w:p>
    <w:p>
      <w:pPr>
        <w:pStyle w:val="Heading1"/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2. Arquitectura propuesta (Fase 1)</w:t>
      </w:r>
    </w:p>
    <w:p>
      <w:pPr>
        <w:spacing w:after="12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Se utilizará una única máquina virtual que alojará todos los componentes necesarios: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7280"/>
      </w:tblGrid>
      <w:tr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b/>
                <w:bCs/>
                <w:color w:val="FFFFFF"/>
                <w:sz w:val="28"/>
                <w:szCs w:val="28"/>
              </w:rPr>
              <w:t xml:space="preserve">Componente</w:t>
            </w:r>
          </w:p>
        </w:tc>
        <w:tc>
          <w:tcPr>
            <w:tcW w:w="72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b/>
                <w:bCs/>
                <w:color w:val="FFFFFF"/>
                <w:sz w:val="28"/>
                <w:szCs w:val="28"/>
              </w:rPr>
              <w:t xml:space="preserve">Descripción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b/>
                <w:bCs/>
                <w:sz w:val="28"/>
                <w:szCs w:val="28"/>
              </w:rPr>
              <w:t xml:space="preserve">Máquina Virtual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1 instancia (1-2 vCPU / 2-4 GB RAM). Sistema operativo Ubuntu 22.04 o 24.04 LTS.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b/>
                <w:bCs/>
                <w:sz w:val="28"/>
                <w:szCs w:val="28"/>
              </w:rPr>
              <w:t xml:space="preserve">Base de datos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PostgreSQL o MySQL instalada directamente en la máquina (compartida por ambos contenedores en esta fase).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b/>
                <w:bCs/>
                <w:sz w:val="28"/>
                <w:szCs w:val="28"/>
              </w:rPr>
              <w:t xml:space="preserve">Contenedor main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Ambiente de producción. Contiene la aplicación en su versión estable.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b/>
                <w:bCs/>
                <w:sz w:val="28"/>
                <w:szCs w:val="28"/>
              </w:rPr>
              <w:t xml:space="preserve">Contenedor dev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Ambiente de desarrollo y pruebas. Permite probar cambios sin afectar producción.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b/>
                <w:bCs/>
                <w:sz w:val="28"/>
                <w:szCs w:val="28"/>
              </w:rPr>
              <w:t xml:space="preserve">Nginx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Reverse proxy. Gestiona el acceso a ambos contenedores y el certificado HTTPS.</w:t>
            </w:r>
          </w:p>
        </w:tc>
      </w:tr>
    </w:tbl>
    <w:p>
      <w:pPr>
        <w:spacing w:before="160" w:after="8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Notas: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La máquina tendrá una dirección IP pública y permanecerá encendida de forma continua.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Los contenedores se gestionarán preferentemente con Docker.</w:t>
      </w:r>
    </w:p>
    <w:p>
      <w:pPr>
        <w:pStyle w:val="ListParagraph"/>
        <w:numPr>
          <w:ilvl w:val="0"/>
          <w:numId w:val="2"/>
        </w:numPr>
        <w:spacing w:after="16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En una fase posterior se podrá separar la base de datos a un servicio administrado y/o agregar más instancias si el crecimiento del proyecto lo requiere.</w:t>
      </w:r>
    </w:p>
    <w:p>
      <w:pPr>
        <w:pStyle w:val="Heading1"/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3. Proveedor de nube</w:t>
      </w:r>
    </w:p>
    <w:p>
      <w:pPr>
        <w:spacing w:after="12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Microsoft Azure</w:t>
      </w:r>
      <w:r>
        <w:rPr>
          <w:rFonts w:ascii="Ubuntu" w:hAnsi="Ubuntu" w:cs="Ubuntu"/>
          <w:sz w:val="28"/>
          <w:szCs w:val="28"/>
        </w:rPr>
        <w:t xml:space="preserve"> (utilizando el crédito de Azure for Students).</w:t>
      </w:r>
    </w:p>
    <w:p>
      <w:pPr>
        <w:spacing w:after="8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Razones de la elección: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Disponibilidad de crédito de estudiante ($100 USD por año).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Facilidad y estabilidad para la creación de máquinas virtuales.</w:t>
      </w:r>
    </w:p>
    <w:p>
      <w:pPr>
        <w:pStyle w:val="ListParagraph"/>
        <w:numPr>
          <w:ilvl w:val="0"/>
          <w:numId w:val="2"/>
        </w:numPr>
        <w:spacing w:after="12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Suficiente capacidad para iniciar el proyecto sin costo inmediato.</w:t>
      </w:r>
    </w:p>
    <w:p>
      <w:pPr>
        <w:spacing w:after="16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Alternativa futura: </w:t>
      </w:r>
      <w:r>
        <w:rPr>
          <w:rFonts w:ascii="Ubuntu" w:hAnsi="Ubuntu" w:cs="Ubuntu"/>
          <w:sz w:val="28"/>
          <w:szCs w:val="28"/>
        </w:rPr>
        <w:t xml:space="preserve">Oracle Cloud Infrastructure (Pay As You Go), en caso de que se busque optimizar costos a largo plazo.</w:t>
      </w:r>
    </w:p>
    <w:p>
      <w:pPr>
        <w:pStyle w:val="Heading1"/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4. Estimación de costos (Azure)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2800"/>
        <w:gridCol w:w="2780"/>
      </w:tblGrid>
      <w:tr>
        <w:tc>
          <w:tcPr>
            <w:tcW w:w="4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b/>
                <w:bCs/>
                <w:color w:val="FFFFFF"/>
                <w:sz w:val="28"/>
                <w:szCs w:val="28"/>
              </w:rPr>
              <w:t xml:space="preserve">Concepto</w:t>
            </w:r>
          </w:p>
        </w:tc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b/>
                <w:bCs/>
                <w:color w:val="FFFFFF"/>
                <w:sz w:val="28"/>
                <w:szCs w:val="28"/>
              </w:rPr>
              <w:t xml:space="preserve">Costo mensual estimado</w:t>
            </w:r>
          </w:p>
        </w:tc>
        <w:tc>
          <w:tcPr>
            <w:tcW w:w="27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b/>
                <w:bCs/>
                <w:color w:val="FFFFFF"/>
                <w:sz w:val="28"/>
                <w:szCs w:val="28"/>
              </w:rPr>
              <w:t xml:space="preserve">Observaciones</w:t>
            </w:r>
          </w:p>
        </w:tc>
      </w:tr>
      <w:t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VM única (B1s / B2ats_v2 o similar)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$10 – $20 USD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1-2 vCPU / 2-4 GB</w:t>
            </w:r>
          </w:p>
        </w:tc>
      </w:tr>
      <w:t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Disco (50-80 GB)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$3 – $6 USD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</w:p>
        </w:tc>
      </w:tr>
      <w:t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IP pública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$2 – $4 USD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</w:p>
        </w:tc>
      </w:tr>
      <w:t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Tráfico de red (bajo volumen)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$0 – $4 USD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</w:p>
        </w:tc>
      </w:tr>
      <w:t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b/>
                <w:bCs/>
                <w:sz w:val="28"/>
                <w:szCs w:val="28"/>
              </w:rPr>
              <w:t xml:space="preserve">Total estimado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b/>
                <w:bCs/>
                <w:sz w:val="28"/>
                <w:szCs w:val="28"/>
              </w:rPr>
              <w:t xml:space="preserve">$15 – $35 USD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line="360" w:lineRule="auto"/>
              <w:rPr>
                <w:rFonts w:ascii="Ubuntu" w:hAnsi="Ubuntu" w:cs="Ubuntu"/>
                <w:sz w:val="28"/>
                <w:szCs w:val="28"/>
              </w:rPr>
            </w:pPr>
            <w:r>
              <w:rPr>
                <w:rFonts w:ascii="Ubuntu" w:hAnsi="Ubuntu" w:cs="Ubuntu"/>
                <w:sz w:val="28"/>
                <w:szCs w:val="28"/>
              </w:rPr>
              <w:t xml:space="preserve">Por mes</w:t>
            </w:r>
          </w:p>
        </w:tc>
      </w:tr>
    </w:tbl>
    <w:p>
      <w:pPr>
        <w:spacing w:before="160" w:after="16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Con el crédito de Azure for Students ($100 USD), el proyecto puede operarse sin costo real durante aproximadamente 3 a 6 meses, dependiendo del tamaño final de la máquina virtual y del volumen de tráfico.</w:t>
      </w:r>
    </w:p>
    <w:p>
      <w:pPr>
        <w:pStyle w:val="Heading1"/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5. Componentes técnicos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Sistema Operativo: </w:t>
      </w:r>
      <w:r>
        <w:rPr>
          <w:rFonts w:ascii="Ubuntu" w:hAnsi="Ubuntu" w:cs="Ubuntu"/>
          <w:sz w:val="28"/>
          <w:szCs w:val="28"/>
        </w:rPr>
        <w:t xml:space="preserve">Ubuntu 22.04 o 24.04 LTS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Contenedores: </w:t>
      </w:r>
      <w:r>
        <w:rPr>
          <w:rFonts w:ascii="Ubuntu" w:hAnsi="Ubuntu" w:cs="Ubuntu"/>
          <w:sz w:val="28"/>
          <w:szCs w:val="28"/>
        </w:rPr>
        <w:t xml:space="preserve">Docker (contenedor main + contenedor dev)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Servidor Web / Proxy: </w:t>
      </w:r>
      <w:r>
        <w:rPr>
          <w:rFonts w:ascii="Ubuntu" w:hAnsi="Ubuntu" w:cs="Ubuntu"/>
          <w:sz w:val="28"/>
          <w:szCs w:val="28"/>
        </w:rPr>
        <w:t xml:space="preserve">Nginx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Aplicación: </w:t>
      </w:r>
      <w:r>
        <w:rPr>
          <w:rFonts w:ascii="Ubuntu" w:hAnsi="Ubuntu" w:cs="Ubuntu"/>
          <w:sz w:val="28"/>
          <w:szCs w:val="28"/>
        </w:rPr>
        <w:t xml:space="preserve">Según el stack definido para el proyecto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Base de datos: </w:t>
      </w:r>
      <w:r>
        <w:rPr>
          <w:rFonts w:ascii="Ubuntu" w:hAnsi="Ubuntu" w:cs="Ubuntu"/>
          <w:sz w:val="28"/>
          <w:szCs w:val="28"/>
        </w:rPr>
        <w:t xml:space="preserve">PostgreSQL o MySQL instalada en la máquina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HTTPS: </w:t>
      </w:r>
      <w:r>
        <w:rPr>
          <w:rFonts w:ascii="Ubuntu" w:hAnsi="Ubuntu" w:cs="Ubuntu"/>
          <w:sz w:val="28"/>
          <w:szCs w:val="28"/>
        </w:rPr>
        <w:t xml:space="preserve">Let’s Encrypt + Certbot (gratuito)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Dominio: </w:t>
      </w:r>
      <w:r>
        <w:rPr>
          <w:rFonts w:ascii="Ubuntu" w:hAnsi="Ubuntu" w:cs="Ubuntu"/>
          <w:sz w:val="28"/>
          <w:szCs w:val="28"/>
        </w:rPr>
        <w:t xml:space="preserve">Registro tipo A apuntando a la IP pública de la máquina</w:t>
      </w:r>
    </w:p>
    <w:p>
      <w:pPr>
        <w:pStyle w:val="ListParagraph"/>
        <w:numPr>
          <w:ilvl w:val="0"/>
          <w:numId w:val="2"/>
        </w:numPr>
        <w:spacing w:after="16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b/>
          <w:bCs/>
          <w:sz w:val="28"/>
          <w:szCs w:val="28"/>
        </w:rPr>
        <w:t xml:space="preserve">Control de versiones: </w:t>
      </w:r>
      <w:r>
        <w:rPr>
          <w:rFonts w:ascii="Ubuntu" w:hAnsi="Ubuntu" w:cs="Ubuntu"/>
          <w:sz w:val="28"/>
          <w:szCs w:val="28"/>
        </w:rPr>
        <w:t xml:space="preserve">Git</w:t>
      </w:r>
    </w:p>
    <w:p>
      <w:pPr>
        <w:pStyle w:val="Heading1"/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6. Flujo de trabajo propuesto</w:t>
      </w:r>
    </w:p>
    <w:p>
      <w:pPr>
        <w:pStyle w:val="ListParagraph"/>
        <w:numPr>
          <w:ilvl w:val="0"/>
          <w:numId w:val="3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Creación y configuración de la máquina virtual.</w:t>
      </w:r>
    </w:p>
    <w:p>
      <w:pPr>
        <w:pStyle w:val="ListParagraph"/>
        <w:numPr>
          <w:ilvl w:val="0"/>
          <w:numId w:val="3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Instalación de Docker, Nginx y la base de datos.</w:t>
      </w:r>
    </w:p>
    <w:p>
      <w:pPr>
        <w:pStyle w:val="ListParagraph"/>
        <w:numPr>
          <w:ilvl w:val="0"/>
          <w:numId w:val="3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Creación de los contenedores main y dev.</w:t>
      </w:r>
    </w:p>
    <w:p>
      <w:pPr>
        <w:pStyle w:val="ListParagraph"/>
        <w:numPr>
          <w:ilvl w:val="0"/>
          <w:numId w:val="3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Configuración de Nginx como reverse proxy para ambos contenedores.</w:t>
      </w:r>
    </w:p>
    <w:p>
      <w:pPr>
        <w:pStyle w:val="ListParagraph"/>
        <w:numPr>
          <w:ilvl w:val="0"/>
          <w:numId w:val="3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Configuración del dominio y activación de HTTPS con Certbot.</w:t>
      </w:r>
    </w:p>
    <w:p>
      <w:pPr>
        <w:pStyle w:val="ListParagraph"/>
        <w:numPr>
          <w:ilvl w:val="0"/>
          <w:numId w:val="3"/>
        </w:numPr>
        <w:spacing w:after="16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Despliegue de la aplicación en el contenedor main (producción) y uso del contenedor dev para pruebas.</w:t>
      </w:r>
    </w:p>
    <w:p>
      <w:pPr>
        <w:pStyle w:val="Heading1"/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7. Escalabilidad futura (Fase 2)</w:t>
      </w:r>
    </w:p>
    <w:p>
      <w:pPr>
        <w:spacing w:after="10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Cuando el proyecto lo requiera, se podrán realizar las siguientes mejoras: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Separar la base de datos hacia un servicio administrado (Azure Database for PostgreSQL / MySQL).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Incrementar los recursos de la máquina virtual.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Separar los ambientes en instancias distintas si es necesario.</w:t>
      </w:r>
    </w:p>
    <w:p>
      <w:pPr>
        <w:pStyle w:val="ListParagraph"/>
        <w:numPr>
          <w:ilvl w:val="0"/>
          <w:numId w:val="2"/>
        </w:numPr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Incorporar un balanceador de carga.</w:t>
      </w:r>
    </w:p>
    <w:p>
      <w:pPr>
        <w:pStyle w:val="ListParagraph"/>
        <w:numPr>
          <w:ilvl w:val="0"/>
          <w:numId w:val="2"/>
        </w:numPr>
        <w:spacing w:after="16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Evaluar la migración a Oracle Cloud Infrastructure para optimización de costos a largo plazo.</w:t>
      </w:r>
    </w:p>
    <w:p>
      <w:pPr>
        <w:pStyle w:val="Heading1"/>
        <w:spacing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8. Resumen</w:t>
      </w:r>
    </w:p>
    <w:p>
      <w:pPr>
        <w:spacing w:after="120" w:line="360" w:lineRule="auto"/>
        <w:rPr>
          <w:rFonts w:ascii="Ubuntu" w:hAnsi="Ubuntu" w:cs="Ubuntu"/>
          <w:sz w:val="28"/>
          <w:szCs w:val="28"/>
        </w:rPr>
      </w:pPr>
      <w:r>
        <w:rPr>
          <w:rFonts w:ascii="Ubuntu" w:hAnsi="Ubuntu" w:cs="Ubuntu"/>
          <w:sz w:val="28"/>
          <w:szCs w:val="28"/>
        </w:rPr>
        <w:t xml:space="preserve">La propuesta contempla un despliegue inicial sencillo y de bajo costo, utilizando una única máquina virtual en Azure. Dentro de ella se ejecutará la base de datos junto con dos contenedores (main para producción y dev para desarrollo/pruebas). El crédito de Azure for Students permite iniciar el proyecto sin generar costos inmediatos, mientras se valida el funcionamiento del software y se define el crecimiento futuro.</w:t>
      </w:r>
    </w:p>
    <w:sectPr>
      <w:headerReference w:type="default" r:id="rId1"/>
      <w:footerReference w:type="default" r:id="rId2"/>
      <w:type w:val="nextPage"/>
      <w:pgSz w:w="12240" w:h="15840"/>
      <w:pgMar w:top="1008" w:right="1008" w:bottom="1008" w:left="1008" w:header="708" w:footer="708" w:gutter="0"/>
      <w:pgNumType w:fmt="decimal"/>
      <w:cols w:space="720" w:num="1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 |  Documento de arquitectura técnica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Bdr>
        <w:bottom w:val="single" w:sz="6" w:space="4" w:color="1B4F72"/>
      </w:pBdr>
    </w:pPr>
    <w:r>
      <w:rPr>
        <w:b/>
        <w:bCs/>
        <w:color w:val="1B4F72"/>
        <w:sz w:val="18"/>
        <w:szCs w:val="18"/>
      </w:rPr>
      <w:t xml:space="preserve">Propuesta de Arquitectura – Despliegue SaaS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1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rial" w:hAnsi="Arial" w:eastAsia="Arial" w:cs="Arial"/>
        <w:sz w:val="22"/>
        <w:szCs w:val="22"/>
      </w:rPr>
    </w:rPrDefault>
    <w:pPrDefault>
      <w:pPr/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621</Words>
  <Paragraphs>79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WordCraft User</cp:lastModifiedBy>
  <cp:revision>2</cp:revision>
  <dcterms:created xsi:type="dcterms:W3CDTF">2026-10-28T01:26:41.098Z</dcterms:created>
  <dcterms:modified xsi:type="dcterms:W3CDTF">2026-10-28T01:28:12Z</dcterms:modified>
</cp:coreProperties>
</file>