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8548B" w14:textId="77777777" w:rsidR="002874D1" w:rsidRPr="002874D1" w:rsidRDefault="002874D1" w:rsidP="002874D1">
      <w:pPr>
        <w:pStyle w:val="Default"/>
        <w:rPr>
          <w:sz w:val="21"/>
          <w:szCs w:val="21"/>
        </w:rPr>
      </w:pPr>
      <w:r>
        <w:rPr>
          <w:rFonts w:hint="eastAsia"/>
        </w:rPr>
        <w:t>テーマ2</w:t>
      </w:r>
      <w:r>
        <w:t xml:space="preserve"> A</w:t>
      </w:r>
      <w:r>
        <w:rPr>
          <w:rFonts w:hint="eastAsia"/>
        </w:rPr>
        <w:t>案「</w:t>
      </w:r>
      <w:r>
        <w:t xml:space="preserve"> </w:t>
      </w:r>
      <w:r>
        <w:rPr>
          <w:rFonts w:hint="eastAsia"/>
          <w:sz w:val="21"/>
          <w:szCs w:val="21"/>
        </w:rPr>
        <w:t>監査法人のローテーション制度（交代制）を導入することに賛成」</w:t>
      </w:r>
      <w:r>
        <w:tab/>
      </w:r>
    </w:p>
    <w:tbl>
      <w:tblPr>
        <w:tblStyle w:val="a7"/>
        <w:tblW w:w="0" w:type="auto"/>
        <w:tblLook w:val="04A0" w:firstRow="1" w:lastRow="0" w:firstColumn="1" w:lastColumn="0" w:noHBand="0" w:noVBand="1"/>
      </w:tblPr>
      <w:tblGrid>
        <w:gridCol w:w="8494"/>
      </w:tblGrid>
      <w:tr w:rsidR="002874D1" w14:paraId="09ACD528" w14:textId="77777777" w:rsidTr="002874D1">
        <w:tc>
          <w:tcPr>
            <w:tcW w:w="8702" w:type="dxa"/>
          </w:tcPr>
          <w:p w14:paraId="30994662" w14:textId="77777777" w:rsidR="002874D1" w:rsidRDefault="002874D1" w:rsidP="002874D1">
            <w:pPr>
              <w:pStyle w:val="Default"/>
              <w:rPr>
                <w:rFonts w:hAnsi="Century"/>
                <w:sz w:val="21"/>
                <w:szCs w:val="21"/>
              </w:rPr>
            </w:pPr>
            <w:r>
              <w:t xml:space="preserve"> </w:t>
            </w:r>
            <w:r>
              <w:rPr>
                <w:rFonts w:hint="eastAsia"/>
                <w:sz w:val="21"/>
                <w:szCs w:val="21"/>
              </w:rPr>
              <w:t>欧州連合（</w:t>
            </w:r>
            <w:r>
              <w:rPr>
                <w:rFonts w:ascii="Century" w:hAnsi="Century" w:cs="Century"/>
                <w:sz w:val="21"/>
                <w:szCs w:val="21"/>
              </w:rPr>
              <w:t>EU</w:t>
            </w:r>
            <w:r>
              <w:rPr>
                <w:rFonts w:hAnsi="Century" w:hint="eastAsia"/>
                <w:sz w:val="21"/>
                <w:szCs w:val="21"/>
              </w:rPr>
              <w:t>）では</w:t>
            </w:r>
            <w:r>
              <w:rPr>
                <w:rFonts w:ascii="Century" w:hAnsi="Century" w:cs="Century"/>
                <w:sz w:val="21"/>
                <w:szCs w:val="21"/>
              </w:rPr>
              <w:t>2016</w:t>
            </w:r>
            <w:r>
              <w:rPr>
                <w:rFonts w:hAnsi="Century" w:hint="eastAsia"/>
                <w:sz w:val="21"/>
                <w:szCs w:val="21"/>
              </w:rPr>
              <w:t>年６月から監査法人のローテーション制度（交代制）が導入されており、同一の監査法人による継続監査期間の上限を原則</w:t>
            </w:r>
            <w:r>
              <w:rPr>
                <w:rFonts w:ascii="Century" w:hAnsi="Century" w:cs="Century"/>
                <w:sz w:val="21"/>
                <w:szCs w:val="21"/>
              </w:rPr>
              <w:t xml:space="preserve">10 </w:t>
            </w:r>
            <w:r>
              <w:rPr>
                <w:rFonts w:hAnsi="Century" w:hint="eastAsia"/>
                <w:sz w:val="21"/>
                <w:szCs w:val="21"/>
              </w:rPr>
              <w:t>年としています。</w:t>
            </w:r>
          </w:p>
          <w:p w14:paraId="032DE4DD" w14:textId="77777777" w:rsidR="002874D1" w:rsidRDefault="002874D1" w:rsidP="002874D1">
            <w:pPr>
              <w:pStyle w:val="Default"/>
              <w:rPr>
                <w:rFonts w:hAnsi="Century"/>
                <w:sz w:val="21"/>
                <w:szCs w:val="21"/>
              </w:rPr>
            </w:pPr>
            <w:r>
              <w:rPr>
                <w:rFonts w:hAnsi="Century" w:hint="eastAsia"/>
                <w:sz w:val="21"/>
                <w:szCs w:val="21"/>
              </w:rPr>
              <w:t>一方で、アメリカではローテーション制度（交代制）は導入されていません。</w:t>
            </w:r>
          </w:p>
          <w:p w14:paraId="12B19BCC" w14:textId="77777777" w:rsidR="002874D1" w:rsidRDefault="002874D1" w:rsidP="002874D1">
            <w:pPr>
              <w:pStyle w:val="Default"/>
              <w:rPr>
                <w:rFonts w:hAnsi="Century"/>
                <w:sz w:val="21"/>
                <w:szCs w:val="21"/>
              </w:rPr>
            </w:pPr>
            <w:r>
              <w:rPr>
                <w:rFonts w:hAnsi="Century" w:hint="eastAsia"/>
                <w:sz w:val="21"/>
                <w:szCs w:val="21"/>
              </w:rPr>
              <w:t>国内では</w:t>
            </w:r>
            <w:r>
              <w:rPr>
                <w:rFonts w:ascii="Century" w:hAnsi="Century" w:cs="Century"/>
                <w:sz w:val="21"/>
                <w:szCs w:val="21"/>
              </w:rPr>
              <w:t>2020</w:t>
            </w:r>
            <w:r>
              <w:rPr>
                <w:rFonts w:hAnsi="Century" w:hint="eastAsia"/>
                <w:sz w:val="21"/>
                <w:szCs w:val="21"/>
              </w:rPr>
              <w:t>年１月</w:t>
            </w:r>
            <w:r>
              <w:rPr>
                <w:rFonts w:ascii="Century" w:hAnsi="Century" w:cs="Century"/>
                <w:sz w:val="21"/>
                <w:szCs w:val="21"/>
              </w:rPr>
              <w:t>14</w:t>
            </w:r>
            <w:r>
              <w:rPr>
                <w:rFonts w:hAnsi="Century" w:hint="eastAsia"/>
                <w:sz w:val="21"/>
                <w:szCs w:val="21"/>
              </w:rPr>
              <w:t>日付で、金融庁は企業の会計不祥事を防ぐ監査改革の検討課題としてきた監査法人の「ローテーション制度（交代制）」の導入を見送るという記事が発表されました。</w:t>
            </w:r>
          </w:p>
          <w:p w14:paraId="6FA0DF8B" w14:textId="42B2ACB7" w:rsidR="002874D1" w:rsidRDefault="002874D1" w:rsidP="002874D1">
            <w:r>
              <w:rPr>
                <w:rFonts w:hAnsi="Century" w:hint="eastAsia"/>
                <w:szCs w:val="21"/>
              </w:rPr>
              <w:t>ローテーション制度（交代制）のメリットやデメリットを考慮しながら、以下のいずれかの立場から議論してください。</w:t>
            </w:r>
          </w:p>
        </w:tc>
        <w:bookmarkStart w:id="0" w:name="_GoBack"/>
        <w:bookmarkEnd w:id="0"/>
      </w:tr>
    </w:tbl>
    <w:p w14:paraId="5E48C8D6" w14:textId="0BCF3042" w:rsidR="00920598" w:rsidRDefault="00920598"/>
    <w:p w14:paraId="750ED15A" w14:textId="19A5FD84" w:rsidR="001A3602" w:rsidRDefault="001A3602">
      <w:r>
        <w:rPr>
          <w:rFonts w:hint="eastAsia"/>
        </w:rPr>
        <w:t>1</w:t>
      </w:r>
      <w:r>
        <w:t>.</w:t>
      </w:r>
      <w:r>
        <w:rPr>
          <w:rFonts w:hint="eastAsia"/>
        </w:rPr>
        <w:t>継続監査により発生が懸念される問題</w:t>
      </w:r>
    </w:p>
    <w:p w14:paraId="0FFB622F" w14:textId="6962E7DE" w:rsidR="001A3602" w:rsidRDefault="001A3602">
      <w:r>
        <w:rPr>
          <w:rFonts w:hint="eastAsia"/>
        </w:rPr>
        <w:t xml:space="preserve">　</w:t>
      </w:r>
      <w:r w:rsidR="00363A6A">
        <w:rPr>
          <w:rFonts w:hint="eastAsia"/>
        </w:rPr>
        <w:t>継続監査により発生が懸念される問題としては</w:t>
      </w:r>
      <w:r w:rsidR="00AA7FC5">
        <w:rPr>
          <w:rFonts w:hint="eastAsia"/>
        </w:rPr>
        <w:t>企業(経営者)と監査人の癒着による粉飾などの不正会計がある。また、粉飾が行われていないとしても同一の監査人が特定の企業に対し長期間関与するすることは当該監査人の外観的独立性に対する疑念が生じ、監査証明の客観性が損なわれる要因となり得る。</w:t>
      </w:r>
    </w:p>
    <w:p w14:paraId="12661B2C" w14:textId="77777777" w:rsidR="00AA7FC5" w:rsidRDefault="00AA7FC5">
      <w:pPr>
        <w:rPr>
          <w:rFonts w:hint="eastAsia"/>
        </w:rPr>
      </w:pPr>
    </w:p>
    <w:p w14:paraId="267B0A3A" w14:textId="1CC2B7B8" w:rsidR="002874D1" w:rsidRDefault="001A3602">
      <w:r>
        <w:t>2</w:t>
      </w:r>
      <w:r w:rsidR="002874D1">
        <w:t>.</w:t>
      </w:r>
      <w:r w:rsidR="002874D1">
        <w:rPr>
          <w:rFonts w:hint="eastAsia"/>
        </w:rPr>
        <w:t>継続監査に関する現在の制限</w:t>
      </w:r>
    </w:p>
    <w:p w14:paraId="285E1B62" w14:textId="22D9B16C" w:rsidR="00CF4034" w:rsidRDefault="00CF4034" w:rsidP="00CF4034">
      <w:pPr>
        <w:ind w:firstLineChars="100" w:firstLine="210"/>
      </w:pPr>
      <w:r>
        <w:rPr>
          <w:rFonts w:hint="eastAsia"/>
        </w:rPr>
        <w:t>現在は筆頭業務執行社員等に対して大会社等に対する監査関連業務の関与期間に制限が設けられている。</w:t>
      </w:r>
      <w:r w:rsidR="00A558FD">
        <w:rPr>
          <w:rFonts w:hint="eastAsia"/>
        </w:rPr>
        <w:t>(パートナーローテーション)</w:t>
      </w:r>
      <w:r>
        <w:rPr>
          <w:rFonts w:hint="eastAsia"/>
        </w:rPr>
        <w:t>これらは監査人が公認会計士である場合、監査法人の場合、大規模監査法人の場合の</w:t>
      </w:r>
      <w:r>
        <w:t>3</w:t>
      </w:r>
      <w:r>
        <w:rPr>
          <w:rFonts w:hint="eastAsia"/>
        </w:rPr>
        <w:t>つそれぞれで制限が異なっている。</w:t>
      </w:r>
      <w:r w:rsidR="001A3602" w:rsidRPr="001A3602">
        <w:rPr>
          <w:rFonts w:hint="eastAsia"/>
          <w:vertAlign w:val="superscript"/>
        </w:rPr>
        <w:t>*</w:t>
      </w:r>
      <w:r w:rsidR="001A3602">
        <w:rPr>
          <w:rStyle w:val="aa"/>
        </w:rPr>
        <w:footnoteReference w:id="1"/>
      </w:r>
      <w:r>
        <w:rPr>
          <w:rFonts w:hint="eastAsia"/>
        </w:rPr>
        <w:t>この制限は</w:t>
      </w:r>
      <w:r w:rsidR="001A3602">
        <w:rPr>
          <w:rFonts w:hint="eastAsia"/>
        </w:rPr>
        <w:t>1997年の公認会計士協会の自主規制として始まり、2</w:t>
      </w:r>
      <w:r w:rsidR="001A3602">
        <w:t>00</w:t>
      </w:r>
      <w:r w:rsidR="001A3602">
        <w:rPr>
          <w:rFonts w:hint="eastAsia"/>
        </w:rPr>
        <w:t>5年に発生したカネボウの不正会計事件を発端として2</w:t>
      </w:r>
      <w:r w:rsidR="001A3602">
        <w:t>007</w:t>
      </w:r>
      <w:r w:rsidR="001A3602">
        <w:rPr>
          <w:rFonts w:hint="eastAsia"/>
        </w:rPr>
        <w:t>に制限が強化された上で法定化されたという背景がある。</w:t>
      </w:r>
    </w:p>
    <w:p w14:paraId="5D34DCE9" w14:textId="7DBD76EF" w:rsidR="001A3602" w:rsidRDefault="001A3602" w:rsidP="001A3602"/>
    <w:p w14:paraId="68889E64" w14:textId="678B933F" w:rsidR="001A3602" w:rsidRDefault="00AA7FC5" w:rsidP="001A3602">
      <w:r>
        <w:rPr>
          <w:rFonts w:hint="eastAsia"/>
        </w:rPr>
        <w:t>3</w:t>
      </w:r>
      <w:r>
        <w:t>.</w:t>
      </w:r>
      <w:r w:rsidR="00A558FD">
        <w:rPr>
          <w:rFonts w:hint="eastAsia"/>
        </w:rPr>
        <w:t>現在の制限の実効性</w:t>
      </w:r>
    </w:p>
    <w:p w14:paraId="26873EC2" w14:textId="5EB8FF0F" w:rsidR="00A558FD" w:rsidRDefault="00A558FD" w:rsidP="00A558FD">
      <w:pPr>
        <w:rPr>
          <w:rFonts w:hint="eastAsia"/>
        </w:rPr>
      </w:pPr>
      <w:r>
        <w:rPr>
          <w:rFonts w:hint="eastAsia"/>
        </w:rPr>
        <w:t>・</w:t>
      </w:r>
      <w:r w:rsidRPr="00A558FD">
        <w:rPr>
          <w:rFonts w:hint="eastAsia"/>
        </w:rPr>
        <w:t>パートナー以外の立場（監査補助者）で長期間従事していた者が引き続きパートナーに就任した事例など、全体として見れば相当な長期間にわたり、同一企業の監査に関与していたと見られる事例が一部に存在</w:t>
      </w:r>
      <w:r>
        <w:rPr>
          <w:rFonts w:hint="eastAsia"/>
        </w:rPr>
        <w:t>している。</w:t>
      </w:r>
    </w:p>
    <w:p w14:paraId="5DC0BE52" w14:textId="78177F1B" w:rsidR="001A3602" w:rsidRDefault="00A558FD" w:rsidP="00A558FD">
      <w:r>
        <w:rPr>
          <w:rFonts w:hint="eastAsia"/>
        </w:rPr>
        <w:t>・</w:t>
      </w:r>
      <w:r w:rsidRPr="00A558FD">
        <w:rPr>
          <w:rFonts w:hint="eastAsia"/>
        </w:rPr>
        <w:t>過去の不正会計事案において、パートナーローテーションは抑止効果を発揮でき</w:t>
      </w:r>
      <w:r>
        <w:rPr>
          <w:rFonts w:hint="eastAsia"/>
        </w:rPr>
        <w:t>ていない。</w:t>
      </w:r>
    </w:p>
    <w:p w14:paraId="38743528" w14:textId="5D280D3B" w:rsidR="00A558FD" w:rsidRDefault="00A558FD" w:rsidP="00A558FD"/>
    <w:p w14:paraId="64907822" w14:textId="07946920" w:rsidR="00A558FD" w:rsidRPr="00A558FD" w:rsidRDefault="00A558FD" w:rsidP="00A558FD">
      <w:pPr>
        <w:rPr>
          <w:rFonts w:hint="eastAsia"/>
        </w:rPr>
      </w:pPr>
      <w:r>
        <w:t>4.</w:t>
      </w:r>
      <w:r>
        <w:rPr>
          <w:rFonts w:hint="eastAsia"/>
        </w:rPr>
        <w:t>監査法人のローテーション制度の導入によるメリット</w:t>
      </w:r>
      <w:r>
        <w:br/>
      </w:r>
    </w:p>
    <w:sectPr w:rsidR="00A558FD" w:rsidRPr="00A558FD" w:rsidSect="002874D1">
      <w:headerReference w:type="default" r:id="rId7"/>
      <w:pgSz w:w="11906" w:h="16838" w:code="9"/>
      <w:pgMar w:top="1985" w:right="1701" w:bottom="1701" w:left="1701" w:header="851" w:footer="284" w:gutter="0"/>
      <w:paperSrc w:first="7"/>
      <w:cols w:space="425"/>
      <w:docGrid w:type="linesAndChar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F75E2" w14:textId="77777777" w:rsidR="004C7E82" w:rsidRDefault="004C7E82" w:rsidP="002874D1">
      <w:r>
        <w:separator/>
      </w:r>
    </w:p>
  </w:endnote>
  <w:endnote w:type="continuationSeparator" w:id="0">
    <w:p w14:paraId="77F65F04" w14:textId="77777777" w:rsidR="004C7E82" w:rsidRDefault="004C7E82" w:rsidP="00287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Century">
    <w:altName w:val="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ＭＳ 明朝">
    <w:altName w:val="MS"/>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5E0A8" w14:textId="77777777" w:rsidR="004C7E82" w:rsidRDefault="004C7E82" w:rsidP="002874D1">
      <w:r>
        <w:separator/>
      </w:r>
    </w:p>
  </w:footnote>
  <w:footnote w:type="continuationSeparator" w:id="0">
    <w:p w14:paraId="11C2F38E" w14:textId="77777777" w:rsidR="004C7E82" w:rsidRDefault="004C7E82" w:rsidP="002874D1">
      <w:r>
        <w:continuationSeparator/>
      </w:r>
    </w:p>
  </w:footnote>
  <w:footnote w:id="1">
    <w:p w14:paraId="49455D94" w14:textId="394256DD" w:rsidR="001A3602" w:rsidRDefault="001A3602">
      <w:pPr>
        <w:pStyle w:val="a8"/>
        <w:rPr>
          <w:rFonts w:hint="eastAsia"/>
        </w:rPr>
      </w:pPr>
      <w:r>
        <w:rPr>
          <w:rStyle w:val="aa"/>
        </w:rPr>
        <w:footnoteRef/>
      </w:r>
      <w:r>
        <w:t xml:space="preserve"> </w:t>
      </w:r>
      <w:r>
        <w:rPr>
          <w:rFonts w:hint="eastAsia"/>
        </w:rPr>
        <w:t>公認会計士法 第2</w:t>
      </w:r>
      <w:r>
        <w:t>4</w:t>
      </w:r>
      <w:r>
        <w:rPr>
          <w:rFonts w:hint="eastAsia"/>
        </w:rPr>
        <w:t>条の34条の1</w:t>
      </w:r>
      <w:r>
        <w:t>1</w:t>
      </w:r>
      <w:r>
        <w:rPr>
          <w:rFonts w:hint="eastAsia"/>
        </w:rPr>
        <w:t>の3参照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9790" w14:textId="6AC65BF0" w:rsidR="002874D1" w:rsidRDefault="002874D1" w:rsidP="002874D1">
    <w:pPr>
      <w:pStyle w:val="a3"/>
      <w:ind w:right="105"/>
      <w:jc w:val="center"/>
      <w:rPr>
        <w:rFonts w:hint="eastAsia"/>
      </w:rPr>
    </w:pPr>
    <w:r>
      <w:rPr>
        <w:rFonts w:hint="eastAsia"/>
      </w:rPr>
      <w:t>第2回　ディスカッション　テーマ2</w:t>
    </w:r>
    <w:r>
      <w:t xml:space="preserve"> </w:t>
    </w:r>
    <w:r>
      <w:rPr>
        <w:rFonts w:hint="eastAsia"/>
      </w:rPr>
      <w:t>A案　レジュメ</w:t>
    </w:r>
  </w:p>
  <w:p w14:paraId="3C580F96" w14:textId="5543BF52" w:rsidR="002874D1" w:rsidRDefault="002874D1" w:rsidP="002874D1">
    <w:pPr>
      <w:pStyle w:val="a3"/>
      <w:jc w:val="right"/>
    </w:pPr>
    <w:r>
      <w:rPr>
        <w:rFonts w:hint="eastAsia"/>
      </w:rPr>
      <w:t>201824817　大中　敢平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16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D1"/>
    <w:rsid w:val="000F6DDF"/>
    <w:rsid w:val="001A3602"/>
    <w:rsid w:val="002874D1"/>
    <w:rsid w:val="00363A6A"/>
    <w:rsid w:val="004C7E82"/>
    <w:rsid w:val="00703F2D"/>
    <w:rsid w:val="00920598"/>
    <w:rsid w:val="009B2F6B"/>
    <w:rsid w:val="00A558FD"/>
    <w:rsid w:val="00AA7FC5"/>
    <w:rsid w:val="00BF6F84"/>
    <w:rsid w:val="00CF4034"/>
    <w:rsid w:val="00FA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DAD67C"/>
  <w15:chartTrackingRefBased/>
  <w15:docId w15:val="{7DBC2802-626C-4E62-99E3-440CB107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4D1"/>
    <w:pPr>
      <w:tabs>
        <w:tab w:val="center" w:pos="4252"/>
        <w:tab w:val="right" w:pos="8504"/>
      </w:tabs>
      <w:snapToGrid w:val="0"/>
    </w:pPr>
  </w:style>
  <w:style w:type="character" w:customStyle="1" w:styleId="a4">
    <w:name w:val="ヘッダー (文字)"/>
    <w:basedOn w:val="a0"/>
    <w:link w:val="a3"/>
    <w:uiPriority w:val="99"/>
    <w:rsid w:val="002874D1"/>
  </w:style>
  <w:style w:type="paragraph" w:styleId="a5">
    <w:name w:val="footer"/>
    <w:basedOn w:val="a"/>
    <w:link w:val="a6"/>
    <w:uiPriority w:val="99"/>
    <w:unhideWhenUsed/>
    <w:rsid w:val="002874D1"/>
    <w:pPr>
      <w:tabs>
        <w:tab w:val="center" w:pos="4252"/>
        <w:tab w:val="right" w:pos="8504"/>
      </w:tabs>
      <w:snapToGrid w:val="0"/>
    </w:pPr>
  </w:style>
  <w:style w:type="character" w:customStyle="1" w:styleId="a6">
    <w:name w:val="フッター (文字)"/>
    <w:basedOn w:val="a0"/>
    <w:link w:val="a5"/>
    <w:uiPriority w:val="99"/>
    <w:rsid w:val="002874D1"/>
  </w:style>
  <w:style w:type="paragraph" w:customStyle="1" w:styleId="Default">
    <w:name w:val="Default"/>
    <w:rsid w:val="002874D1"/>
    <w:pPr>
      <w:widowControl w:val="0"/>
      <w:autoSpaceDE w:val="0"/>
      <w:autoSpaceDN w:val="0"/>
      <w:adjustRightInd w:val="0"/>
    </w:pPr>
    <w:rPr>
      <w:rFonts w:ascii="ＭＳ 明朝" w:eastAsia="ＭＳ 明朝" w:cs="ＭＳ 明朝"/>
      <w:color w:val="000000"/>
      <w:kern w:val="0"/>
      <w:sz w:val="24"/>
      <w:szCs w:val="24"/>
    </w:rPr>
  </w:style>
  <w:style w:type="table" w:styleId="a7">
    <w:name w:val="Table Grid"/>
    <w:basedOn w:val="a1"/>
    <w:uiPriority w:val="59"/>
    <w:rsid w:val="00287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semiHidden/>
    <w:unhideWhenUsed/>
    <w:rsid w:val="00CF4034"/>
    <w:pPr>
      <w:snapToGrid w:val="0"/>
      <w:jc w:val="left"/>
    </w:pPr>
  </w:style>
  <w:style w:type="character" w:customStyle="1" w:styleId="a9">
    <w:name w:val="脚注文字列 (文字)"/>
    <w:basedOn w:val="a0"/>
    <w:link w:val="a8"/>
    <w:uiPriority w:val="99"/>
    <w:semiHidden/>
    <w:rsid w:val="00CF4034"/>
  </w:style>
  <w:style w:type="character" w:styleId="aa">
    <w:name w:val="footnote reference"/>
    <w:basedOn w:val="a0"/>
    <w:uiPriority w:val="99"/>
    <w:semiHidden/>
    <w:unhideWhenUsed/>
    <w:rsid w:val="00CF4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EDE66-4206-4CE4-B29E-7764F2786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130</Words>
  <Characters>745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2</cp:revision>
  <cp:lastPrinted>2020-02-05T22:50:00Z</cp:lastPrinted>
  <dcterms:created xsi:type="dcterms:W3CDTF">2020-02-05T12:43:00Z</dcterms:created>
  <dcterms:modified xsi:type="dcterms:W3CDTF">2020-02-05T22:51:00Z</dcterms:modified>
</cp:coreProperties>
</file>