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drawings/drawing1.xml" ContentType="application/vnd.openxmlformats-officedocument.drawingml.chartshap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16" w:rsidRDefault="002D3916">
      <w:pPr>
        <w:rPr>
          <w:rFonts w:hAnsi="游ゴシック"/>
        </w:rPr>
      </w:pPr>
      <w:r>
        <w:rPr>
          <w:rFonts w:hAnsi="游ゴシック" w:hint="eastAsia"/>
        </w:rPr>
        <w:t>曙ブレーキ工業</w:t>
      </w:r>
    </w:p>
    <w:p w:rsidR="002D3916" w:rsidRDefault="002D3916">
      <w:pPr>
        <w:rPr>
          <w:rFonts w:hAnsi="游ゴシック"/>
        </w:rPr>
      </w:pPr>
    </w:p>
    <w:p w:rsidR="00011635" w:rsidRDefault="003670B8">
      <w:pPr>
        <w:rPr>
          <w:rFonts w:hAnsi="游ゴシック"/>
        </w:rPr>
      </w:pPr>
      <w:r w:rsidRPr="003670B8">
        <w:rPr>
          <w:rFonts w:hAnsi="游ゴシック" w:hint="eastAsia"/>
        </w:rPr>
        <w:t>曙ブレーキ工業</w:t>
      </w:r>
      <w:r>
        <w:rPr>
          <w:rFonts w:hAnsi="游ゴシック" w:hint="eastAsia"/>
        </w:rPr>
        <w:t>は2</w:t>
      </w:r>
      <w:r>
        <w:rPr>
          <w:rFonts w:hAnsi="游ゴシック"/>
        </w:rPr>
        <w:t>019</w:t>
      </w:r>
      <w:r>
        <w:rPr>
          <w:rFonts w:hAnsi="游ゴシック" w:hint="eastAsia"/>
        </w:rPr>
        <w:t>年1月</w:t>
      </w:r>
      <w:r>
        <w:rPr>
          <w:rFonts w:hAnsi="游ゴシック"/>
        </w:rPr>
        <w:t>29</w:t>
      </w:r>
      <w:r>
        <w:rPr>
          <w:rFonts w:hAnsi="游ゴシック" w:hint="eastAsia"/>
        </w:rPr>
        <w:t>日に</w:t>
      </w:r>
      <w:r w:rsidRPr="003670B8">
        <w:rPr>
          <w:rFonts w:hAnsi="游ゴシック" w:hint="eastAsia"/>
        </w:rPr>
        <w:t>、私的整理の一種である</w:t>
      </w:r>
      <w:r w:rsidR="008143EF" w:rsidRPr="008143EF">
        <w:rPr>
          <w:rFonts w:hAnsi="游ゴシック" w:hint="eastAsia"/>
        </w:rPr>
        <w:t>事業再生ADR（裁判以外の紛争解決）を利用して再建を目指すと発表した</w:t>
      </w:r>
      <w:r w:rsidR="008143EF">
        <w:rPr>
          <w:rFonts w:hint="eastAsia"/>
        </w:rPr>
        <w:t>。</w:t>
      </w:r>
      <w:r w:rsidR="008143EF">
        <w:rPr>
          <w:rFonts w:hAnsi="游ゴシック" w:hint="eastAsia"/>
        </w:rPr>
        <w:t>曙ブレーキ工業はその名の通り、自動車・自動二輪車用のブレーキを始め、鉄道車両用や産業機械に使われるブレーキを生産するブレーキ専業メーカーである。特に自動車向けディスクパッドにおいて日本におけるシェアが4</w:t>
      </w:r>
      <w:r w:rsidR="008143EF">
        <w:rPr>
          <w:rFonts w:hAnsi="游ゴシック"/>
        </w:rPr>
        <w:t>0%</w:t>
      </w:r>
      <w:r w:rsidR="008143EF">
        <w:rPr>
          <w:rFonts w:hAnsi="游ゴシック" w:hint="eastAsia"/>
        </w:rPr>
        <w:t>を獲得しており、自動車レース「Fomula</w:t>
      </w:r>
      <w:r w:rsidR="008143EF">
        <w:rPr>
          <w:rFonts w:hAnsi="游ゴシック"/>
        </w:rPr>
        <w:t>1」</w:t>
      </w:r>
      <w:r w:rsidR="008143EF">
        <w:rPr>
          <w:rFonts w:hAnsi="游ゴシック" w:hint="eastAsia"/>
        </w:rPr>
        <w:t>のマクラーレン</w:t>
      </w:r>
      <w:r w:rsidR="007870F7">
        <w:rPr>
          <w:rFonts w:hAnsi="游ゴシック" w:hint="eastAsia"/>
        </w:rPr>
        <w:t>チームのオフィシャルサプライヤーとして部品を供給している。</w:t>
      </w:r>
    </w:p>
    <w:p w:rsidR="00011635" w:rsidRDefault="00011635">
      <w:pPr>
        <w:rPr>
          <w:rFonts w:hAnsi="游ゴシック"/>
        </w:rPr>
      </w:pPr>
    </w:p>
    <w:p w:rsidR="007870F7" w:rsidRPr="00BB6BBC" w:rsidRDefault="007870F7">
      <w:pPr>
        <w:rPr>
          <w:rFonts w:hAnsi="游ゴシック"/>
        </w:rPr>
      </w:pPr>
      <w:r>
        <w:rPr>
          <w:rFonts w:hAnsi="游ゴシック" w:hint="eastAsia"/>
        </w:rPr>
        <w:t>本研究は、そのようなブレーキの世界的メーカーである曙ブレーキ工業がなぜ事業再生ADRを選択するに至ったのか、また2</w:t>
      </w:r>
      <w:r>
        <w:rPr>
          <w:rFonts w:hAnsi="游ゴシック"/>
        </w:rPr>
        <w:t>007</w:t>
      </w:r>
      <w:r>
        <w:rPr>
          <w:rFonts w:hAnsi="游ゴシック" w:hint="eastAsia"/>
        </w:rPr>
        <w:t>年の産業活力再生法の改正により制度化された事業再生ADRとはどのような制度であり、既存の事業再生手続きとの</w:t>
      </w:r>
      <w:r w:rsidR="00BB6BBC">
        <w:rPr>
          <w:rFonts w:hAnsi="游ゴシック" w:hint="eastAsia"/>
        </w:rPr>
        <w:t>相違点</w:t>
      </w:r>
      <w:r>
        <w:rPr>
          <w:rFonts w:hAnsi="游ゴシック" w:hint="eastAsia"/>
        </w:rPr>
        <w:t>などを検討していくものである。</w:t>
      </w:r>
    </w:p>
    <w:p w:rsidR="00BB6BBC" w:rsidRDefault="00E30BA2">
      <w:pPr>
        <w:rPr>
          <w:rFonts w:hAnsi="游ゴシック"/>
        </w:rPr>
      </w:pPr>
      <w:r>
        <w:rPr>
          <w:rFonts w:hAnsi="游ゴシック"/>
        </w:rPr>
        <w:t>-1</w:t>
      </w:r>
      <w:r w:rsidR="00BB6BBC">
        <w:rPr>
          <w:rFonts w:hAnsi="游ゴシック"/>
        </w:rPr>
        <w:t>.</w:t>
      </w:r>
      <w:r w:rsidR="00BB6BBC">
        <w:rPr>
          <w:rFonts w:hAnsi="游ゴシック" w:hint="eastAsia"/>
        </w:rPr>
        <w:t>曙ブレーキ</w:t>
      </w:r>
      <w:r w:rsidR="00011635">
        <w:rPr>
          <w:rFonts w:hAnsi="游ゴシック" w:hint="eastAsia"/>
        </w:rPr>
        <w:t>工業が事業再生ADR申請に踏み切った主因</w:t>
      </w:r>
    </w:p>
    <w:p w:rsidR="00F920E3" w:rsidRDefault="00011635">
      <w:pPr>
        <w:rPr>
          <w:rFonts w:hAnsi="游ゴシック"/>
        </w:rPr>
      </w:pPr>
      <w:r>
        <w:rPr>
          <w:rFonts w:hAnsi="游ゴシック" w:hint="eastAsia"/>
        </w:rPr>
        <w:t>曙ブレーキ工業が事業再生ADRに踏み切った理由とし</w:t>
      </w:r>
      <w:r w:rsidR="00F920E3">
        <w:rPr>
          <w:rFonts w:hAnsi="游ゴシック" w:hint="eastAsia"/>
        </w:rPr>
        <w:t>てニュースリリースには</w:t>
      </w:r>
      <w:r w:rsidR="00E30BA2">
        <w:rPr>
          <w:rFonts w:hAnsi="游ゴシック" w:hint="eastAsia"/>
        </w:rPr>
        <w:t>「</w:t>
      </w:r>
      <w:r w:rsidR="00E30BA2" w:rsidRPr="00E30BA2">
        <w:rPr>
          <w:rFonts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  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sidR="00E30BA2">
        <w:rPr>
          <w:rFonts w:hAnsi="游ゴシック" w:hint="eastAsia"/>
        </w:rPr>
        <w:t>」とある。</w:t>
      </w:r>
      <w:r w:rsidR="00E30BA2">
        <w:rPr>
          <w:rFonts w:hAnsi="游ゴシック"/>
        </w:rPr>
        <w:t>(</w:t>
      </w:r>
      <w:r w:rsidR="00E30BA2">
        <w:rPr>
          <w:rFonts w:hAnsi="游ゴシック" w:hint="eastAsia"/>
        </w:rPr>
        <w:t>曙ブレーキ工業ニュースリリースより引用)</w:t>
      </w:r>
    </w:p>
    <w:p w:rsidR="00E30BA2" w:rsidRDefault="00E30BA2">
      <w:pPr>
        <w:rPr>
          <w:rFonts w:hAnsi="游ゴシック"/>
        </w:rPr>
      </w:pPr>
      <w:r>
        <w:rPr>
          <w:rFonts w:hAnsi="游ゴシック" w:hint="eastAsia"/>
        </w:rPr>
        <w:t>整理すると以下のような流れとなる。</w:t>
      </w:r>
    </w:p>
    <w:p w:rsidR="00E30BA2" w:rsidRDefault="00E30BA2">
      <w:pPr>
        <w:rPr>
          <w:rFonts w:hAnsi="游ゴシック"/>
        </w:rPr>
      </w:pPr>
      <w:r>
        <w:rPr>
          <w:noProof/>
        </w:rPr>
        <w:drawing>
          <wp:inline distT="0" distB="0" distL="0" distR="0" wp14:anchorId="1B6A3788" wp14:editId="5D5872AA">
            <wp:extent cx="5334000" cy="2028825"/>
            <wp:effectExtent l="0" t="0" r="19050" b="9525"/>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336F7" w:rsidRDefault="004617FD">
      <w:pPr>
        <w:rPr>
          <w:rFonts w:hAnsi="游ゴシック"/>
        </w:rPr>
      </w:pPr>
      <w:r>
        <w:rPr>
          <w:rFonts w:hAnsi="游ゴシック" w:hint="eastAsia"/>
        </w:rPr>
        <w:t>図1</w:t>
      </w:r>
      <w:r w:rsidR="007336F7">
        <w:rPr>
          <w:rFonts w:hAnsi="游ゴシック" w:hint="eastAsia"/>
        </w:rPr>
        <w:t>.事業再生ADR申請までの概略</w:t>
      </w:r>
    </w:p>
    <w:p w:rsidR="00566B25" w:rsidRDefault="00E30BA2">
      <w:pPr>
        <w:rPr>
          <w:rFonts w:hAnsi="游ゴシック"/>
        </w:rPr>
      </w:pPr>
      <w:r>
        <w:rPr>
          <w:rFonts w:hAnsi="游ゴシック" w:hint="eastAsia"/>
        </w:rPr>
        <w:t>以上を踏まえ財務諸表の追跡と</w:t>
      </w:r>
      <w:r w:rsidR="00566B25">
        <w:rPr>
          <w:rFonts w:hAnsi="游ゴシック" w:hint="eastAsia"/>
        </w:rPr>
        <w:t>、</w:t>
      </w:r>
      <w:r>
        <w:rPr>
          <w:rFonts w:hAnsi="游ゴシック" w:hint="eastAsia"/>
        </w:rPr>
        <w:t>曙ブレーキ工業の属する</w:t>
      </w:r>
      <w:r w:rsidR="00566B25">
        <w:rPr>
          <w:rFonts w:hAnsi="游ゴシック" w:hint="eastAsia"/>
        </w:rPr>
        <w:t>自動車部品市場の分析</w:t>
      </w:r>
      <w:r>
        <w:rPr>
          <w:rFonts w:hAnsi="游ゴシック" w:hint="eastAsia"/>
        </w:rPr>
        <w:t>を行っていく。</w:t>
      </w:r>
    </w:p>
    <w:p w:rsidR="00566B25" w:rsidRDefault="00566B25">
      <w:pPr>
        <w:rPr>
          <w:rFonts w:hAnsi="游ゴシック"/>
        </w:rPr>
      </w:pPr>
      <w:r>
        <w:rPr>
          <w:rFonts w:hAnsi="游ゴシック" w:hint="eastAsia"/>
        </w:rPr>
        <w:t>-</w:t>
      </w:r>
      <w:r>
        <w:rPr>
          <w:rFonts w:hAnsi="游ゴシック"/>
        </w:rPr>
        <w:t>2.</w:t>
      </w:r>
      <w:r>
        <w:rPr>
          <w:rFonts w:hAnsi="游ゴシック" w:hint="eastAsia"/>
        </w:rPr>
        <w:t>財務分析</w:t>
      </w:r>
    </w:p>
    <w:p w:rsidR="00566B25" w:rsidRDefault="00566B25">
      <w:pPr>
        <w:rPr>
          <w:rFonts w:hAnsi="游ゴシック"/>
        </w:rPr>
      </w:pPr>
      <w:r>
        <w:rPr>
          <w:rFonts w:hAnsi="游ゴシック" w:hint="eastAsia"/>
        </w:rPr>
        <w:lastRenderedPageBreak/>
        <w:t>曙ブレーキ工業が事業再生ADRに至った主因は財務体質の悪化であったため、まずは財務指標の中でも安全性を測る指標である自己資本比率について見ていく。</w:t>
      </w:r>
    </w:p>
    <w:p w:rsidR="004617FD" w:rsidRDefault="00566B25">
      <w:pPr>
        <w:rPr>
          <w:rFonts w:hAnsi="游ゴシック"/>
        </w:rPr>
      </w:pPr>
      <w:r>
        <w:rPr>
          <w:rFonts w:hAnsi="游ゴシック" w:hint="eastAsia"/>
        </w:rPr>
        <w:t>自己資本比率は総資産の中に占める返済不要の資本である自己資本の割合を示すものであり、自己資本÷</w:t>
      </w:r>
      <w:r w:rsidR="004617FD">
        <w:rPr>
          <w:rFonts w:hAnsi="游ゴシック" w:hint="eastAsia"/>
        </w:rPr>
        <w:t>総</w:t>
      </w:r>
      <w:r>
        <w:rPr>
          <w:rFonts w:hAnsi="游ゴシック" w:hint="eastAsia"/>
        </w:rPr>
        <w:t>資産(自己資本+他人資本)の式で算出される</w:t>
      </w:r>
      <w:r w:rsidR="004617FD">
        <w:rPr>
          <w:rFonts w:hAnsi="游ゴシック" w:hint="eastAsia"/>
        </w:rPr>
        <w:t>ものである。</w:t>
      </w:r>
      <w:r w:rsidR="001811C9">
        <w:rPr>
          <w:noProof/>
        </w:rPr>
        <w:drawing>
          <wp:inline distT="0" distB="0" distL="0" distR="0" wp14:anchorId="7AF4F54F" wp14:editId="2273D116">
            <wp:extent cx="5473700" cy="2743200"/>
            <wp:effectExtent l="0" t="0" r="12700" b="0"/>
            <wp:docPr id="3" name="グラフ 3">
              <a:extLst xmlns:a="http://schemas.openxmlformats.org/drawingml/2006/main">
                <a:ext uri="{FF2B5EF4-FFF2-40B4-BE49-F238E27FC236}">
                  <a16:creationId xmlns:a16="http://schemas.microsoft.com/office/drawing/2014/main" id="{36B7013A-0306-4E0E-ADD9-FA91494D9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617FD" w:rsidRDefault="004617FD" w:rsidP="001811C9">
      <w:pPr>
        <w:jc w:val="center"/>
        <w:rPr>
          <w:rFonts w:hAnsi="游ゴシック"/>
        </w:rPr>
      </w:pPr>
      <w:r>
        <w:rPr>
          <w:rFonts w:hAnsi="游ゴシック" w:hint="eastAsia"/>
        </w:rPr>
        <w:t>図</w:t>
      </w:r>
      <w:r>
        <w:rPr>
          <w:rFonts w:hAnsi="游ゴシック"/>
        </w:rPr>
        <w:t>2.</w:t>
      </w:r>
      <w:r>
        <w:rPr>
          <w:rFonts w:hAnsi="游ゴシック" w:hint="eastAsia"/>
        </w:rPr>
        <w:t>曙ブレーキ工業自己資本比率推移</w:t>
      </w:r>
    </w:p>
    <w:p w:rsidR="004617FD" w:rsidRDefault="004617FD">
      <w:pPr>
        <w:rPr>
          <w:rFonts w:hAnsi="游ゴシック"/>
        </w:rPr>
      </w:pPr>
      <w:r>
        <w:rPr>
          <w:rFonts w:hAnsi="游ゴシック" w:hint="eastAsia"/>
        </w:rPr>
        <w:t>図2によると曙ブレーキ工業の自己資本比率は直近1</w:t>
      </w:r>
      <w:r>
        <w:rPr>
          <w:rFonts w:hAnsi="游ゴシック"/>
        </w:rPr>
        <w:t>0</w:t>
      </w:r>
      <w:r>
        <w:rPr>
          <w:rFonts w:hAnsi="游ゴシック" w:hint="eastAsia"/>
        </w:rPr>
        <w:t>年間の平均で1</w:t>
      </w:r>
      <w:r>
        <w:rPr>
          <w:rFonts w:hAnsi="游ゴシック"/>
        </w:rPr>
        <w:t>8.9%</w:t>
      </w:r>
      <w:r>
        <w:rPr>
          <w:rFonts w:hAnsi="游ゴシック" w:hint="eastAsia"/>
        </w:rPr>
        <w:t>、中央値が2</w:t>
      </w:r>
      <w:r>
        <w:rPr>
          <w:rFonts w:hAnsi="游ゴシック"/>
        </w:rPr>
        <w:t>3.9%</w:t>
      </w:r>
      <w:r>
        <w:rPr>
          <w:rFonts w:hAnsi="游ゴシック" w:hint="eastAsia"/>
        </w:rPr>
        <w:t>となった</w:t>
      </w:r>
      <w:r w:rsidR="009D00A5">
        <w:rPr>
          <w:rFonts w:hAnsi="游ゴシック" w:hint="eastAsia"/>
        </w:rPr>
        <w:t>。</w:t>
      </w:r>
      <w:r w:rsidR="008B5F8F">
        <w:rPr>
          <w:rFonts w:hAnsi="游ゴシック" w:hint="eastAsia"/>
        </w:rPr>
        <w:t>財務省の法人企業統計調査によれば、曙ブレーキ工業の属する「自動車・同附属製造業」の業種で資本金1</w:t>
      </w:r>
      <w:r w:rsidR="008B5F8F">
        <w:rPr>
          <w:rFonts w:hAnsi="游ゴシック"/>
        </w:rPr>
        <w:t>0</w:t>
      </w:r>
      <w:r w:rsidR="008B5F8F">
        <w:rPr>
          <w:rFonts w:hAnsi="游ゴシック" w:hint="eastAsia"/>
        </w:rPr>
        <w:t>億円以上の企業約1</w:t>
      </w:r>
      <w:r w:rsidR="008B5F8F">
        <w:rPr>
          <w:rFonts w:hAnsi="游ゴシック"/>
        </w:rPr>
        <w:t>70</w:t>
      </w:r>
      <w:r w:rsidR="008B5F8F">
        <w:rPr>
          <w:rFonts w:hAnsi="游ゴシック" w:hint="eastAsia"/>
        </w:rPr>
        <w:t>社での平均自己資本比率は5</w:t>
      </w:r>
      <w:r w:rsidR="008B5F8F">
        <w:rPr>
          <w:rFonts w:hAnsi="游ゴシック"/>
        </w:rPr>
        <w:t>3.98%</w:t>
      </w:r>
      <w:r w:rsidR="008B5F8F">
        <w:rPr>
          <w:rFonts w:hAnsi="游ゴシック" w:hint="eastAsia"/>
        </w:rPr>
        <w:t>であった。</w:t>
      </w:r>
      <w:r w:rsidR="001811C9">
        <w:rPr>
          <w:rFonts w:hAnsi="游ゴシック" w:hint="eastAsia"/>
        </w:rPr>
        <w:t>このことから曙ブレーキ工業は負債依存度が業界平均よりも高く、比較的不安定な財務状況の中で経営を行っていたことが分かる</w:t>
      </w:r>
      <w:r w:rsidR="00BC2C6D">
        <w:rPr>
          <w:rFonts w:hAnsi="游ゴシック" w:hint="eastAsia"/>
        </w:rPr>
        <w:t>。</w:t>
      </w:r>
      <w:r w:rsidR="001811C9">
        <w:rPr>
          <w:rFonts w:hAnsi="游ゴシック" w:hint="eastAsia"/>
        </w:rPr>
        <w:t>特に2</w:t>
      </w:r>
      <w:r w:rsidR="001811C9">
        <w:rPr>
          <w:rFonts w:hAnsi="游ゴシック"/>
        </w:rPr>
        <w:t>015</w:t>
      </w:r>
      <w:r w:rsidR="001811C9">
        <w:rPr>
          <w:rFonts w:hAnsi="游ゴシック" w:hint="eastAsia"/>
        </w:rPr>
        <w:t>年</w:t>
      </w:r>
      <w:r w:rsidR="00BC2C6D">
        <w:rPr>
          <w:rFonts w:hAnsi="游ゴシック" w:hint="eastAsia"/>
        </w:rPr>
        <w:t>3月期</w:t>
      </w:r>
      <w:r w:rsidR="001811C9">
        <w:rPr>
          <w:rFonts w:hAnsi="游ゴシック" w:hint="eastAsia"/>
        </w:rPr>
        <w:t>以降は自己資本比率の急激な低下が目立つ。</w:t>
      </w:r>
      <w:r w:rsidR="00BC2C6D">
        <w:rPr>
          <w:rFonts w:hAnsi="游ゴシック" w:hint="eastAsia"/>
        </w:rPr>
        <w:t>そこで、2</w:t>
      </w:r>
      <w:r w:rsidR="00BC2C6D">
        <w:rPr>
          <w:rFonts w:hAnsi="游ゴシック"/>
        </w:rPr>
        <w:t>015</w:t>
      </w:r>
      <w:r w:rsidR="00BC2C6D">
        <w:rPr>
          <w:rFonts w:hAnsi="游ゴシック" w:hint="eastAsia"/>
        </w:rPr>
        <w:t>年3月期以降の自己資本比率の低下の原因を探っていくことにした。</w:t>
      </w:r>
    </w:p>
    <w:p w:rsidR="00BC2C6D" w:rsidRDefault="00BC2C6D">
      <w:pPr>
        <w:rPr>
          <w:rFonts w:hAnsi="游ゴシック"/>
        </w:rPr>
      </w:pPr>
      <w:r>
        <w:rPr>
          <w:rFonts w:hAnsi="游ゴシック"/>
        </w:rPr>
        <w:t>-2.</w:t>
      </w:r>
      <w:r>
        <w:rPr>
          <w:rFonts w:hAnsi="游ゴシック" w:hint="eastAsia"/>
        </w:rPr>
        <w:t>自己資本比率の低下の原因</w:t>
      </w:r>
    </w:p>
    <w:p w:rsidR="00CD25D1" w:rsidRDefault="002B3D65">
      <w:pPr>
        <w:rPr>
          <w:rFonts w:hAnsi="游ゴシック"/>
        </w:rPr>
      </w:pPr>
      <w:r>
        <w:rPr>
          <w:rFonts w:hAnsi="游ゴシック" w:hint="eastAsia"/>
        </w:rPr>
        <w:t>自己資本比率の低下の要因には、1つ目に</w:t>
      </w:r>
      <w:r w:rsidR="004D1C9F">
        <w:rPr>
          <w:rFonts w:hAnsi="游ゴシック" w:hint="eastAsia"/>
        </w:rPr>
        <w:t>総資産の増加、</w:t>
      </w:r>
      <w:r w:rsidR="00CD25D1">
        <w:rPr>
          <w:rFonts w:hAnsi="游ゴシック" w:hint="eastAsia"/>
        </w:rPr>
        <w:t>2つ目に負債の増加、</w:t>
      </w:r>
      <w:r w:rsidR="00CD25D1">
        <w:rPr>
          <w:rFonts w:hAnsi="游ゴシック"/>
        </w:rPr>
        <w:t>3</w:t>
      </w:r>
      <w:r>
        <w:rPr>
          <w:rFonts w:hAnsi="游ゴシック" w:hint="eastAsia"/>
        </w:rPr>
        <w:t>つ目に</w:t>
      </w:r>
      <w:r w:rsidR="004D1C9F">
        <w:rPr>
          <w:rFonts w:hAnsi="游ゴシック" w:hint="eastAsia"/>
        </w:rPr>
        <w:t>自己資本</w:t>
      </w:r>
      <w:r w:rsidR="00CD25D1">
        <w:rPr>
          <w:rFonts w:hAnsi="游ゴシック" w:hint="eastAsia"/>
        </w:rPr>
        <w:t>額</w:t>
      </w:r>
      <w:r w:rsidR="004D1C9F">
        <w:rPr>
          <w:rFonts w:hAnsi="游ゴシック" w:hint="eastAsia"/>
        </w:rPr>
        <w:t>の減少</w:t>
      </w:r>
      <w:r>
        <w:rPr>
          <w:rFonts w:hAnsi="游ゴシック" w:hint="eastAsia"/>
        </w:rPr>
        <w:t>がある。</w:t>
      </w:r>
      <w:r w:rsidR="004D1C9F">
        <w:rPr>
          <w:rFonts w:hAnsi="游ゴシック" w:hint="eastAsia"/>
        </w:rPr>
        <w:t>ここからは自己資本比率低下の要因を特定していく。</w:t>
      </w:r>
    </w:p>
    <w:p w:rsidR="00CC51FD" w:rsidRDefault="00CD25D1">
      <w:pPr>
        <w:rPr>
          <w:rFonts w:hAnsi="游ゴシック"/>
        </w:rPr>
      </w:pPr>
      <w:r>
        <w:rPr>
          <w:rFonts w:hAnsi="游ゴシック" w:hint="eastAsia"/>
        </w:rPr>
        <w:t>図3～</w:t>
      </w:r>
      <w:r w:rsidR="00CC51FD">
        <w:rPr>
          <w:rFonts w:hAnsi="游ゴシック" w:hint="eastAsia"/>
        </w:rPr>
        <w:t>5は</w:t>
      </w:r>
      <w:r>
        <w:rPr>
          <w:rFonts w:hAnsi="游ゴシック" w:hint="eastAsia"/>
        </w:rPr>
        <w:t>自己資本比率と総資産額、負債、</w:t>
      </w:r>
      <w:r w:rsidR="002546AE">
        <w:rPr>
          <w:rFonts w:hAnsi="游ゴシック" w:hint="eastAsia"/>
        </w:rPr>
        <w:t>自己資本</w:t>
      </w:r>
      <w:r>
        <w:rPr>
          <w:rFonts w:hAnsi="游ゴシック" w:hint="eastAsia"/>
        </w:rPr>
        <w:t>額のグラフ</w:t>
      </w:r>
      <w:r w:rsidR="00CC51FD">
        <w:rPr>
          <w:rFonts w:hAnsi="游ゴシック" w:hint="eastAsia"/>
        </w:rPr>
        <w:t>であり、図6はそれぞれの相関係数の表である。</w:t>
      </w:r>
    </w:p>
    <w:p w:rsidR="004D1C9F" w:rsidRDefault="0098305A">
      <w:pPr>
        <w:rPr>
          <w:rFonts w:hAnsi="游ゴシック"/>
        </w:rPr>
      </w:pPr>
      <w:r>
        <w:rPr>
          <w:noProof/>
        </w:rPr>
        <w:lastRenderedPageBreak/>
        <w:drawing>
          <wp:inline distT="0" distB="0" distL="0" distR="0" wp14:anchorId="4FC466E1" wp14:editId="3CABB5D5">
            <wp:extent cx="5302250" cy="2743200"/>
            <wp:effectExtent l="0" t="0" r="12700" b="0"/>
            <wp:docPr id="11" name="グラフ 11">
              <a:extLst xmlns:a="http://schemas.openxmlformats.org/drawingml/2006/main">
                <a:ext uri="{FF2B5EF4-FFF2-40B4-BE49-F238E27FC236}">
                  <a16:creationId xmlns:a16="http://schemas.microsoft.com/office/drawing/2014/main" id="{A36367A7-8903-4A0F-8941-280A6ED1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D1C9F" w:rsidRDefault="0098305A">
      <w:pPr>
        <w:rPr>
          <w:rFonts w:hAnsi="游ゴシック"/>
        </w:rPr>
      </w:pPr>
      <w:r>
        <w:rPr>
          <w:rFonts w:hAnsi="游ゴシック" w:hint="eastAsia"/>
        </w:rPr>
        <w:t>図3</w:t>
      </w:r>
      <w:r>
        <w:rPr>
          <w:rFonts w:hAnsi="游ゴシック"/>
        </w:rPr>
        <w:t>.</w:t>
      </w:r>
      <w:r>
        <w:rPr>
          <w:rFonts w:hAnsi="游ゴシック" w:hint="eastAsia"/>
        </w:rPr>
        <w:t>総資産額・自己資本比率</w:t>
      </w:r>
    </w:p>
    <w:p w:rsidR="00CD25D1" w:rsidRDefault="00CC51FD">
      <w:pPr>
        <w:rPr>
          <w:rFonts w:hAnsi="游ゴシック"/>
        </w:rPr>
      </w:pPr>
      <w:r>
        <w:rPr>
          <w:noProof/>
        </w:rPr>
        <w:drawing>
          <wp:inline distT="0" distB="0" distL="0" distR="0" wp14:anchorId="20D36108" wp14:editId="683E3477">
            <wp:extent cx="5302250" cy="2743200"/>
            <wp:effectExtent l="0" t="0" r="12700" b="0"/>
            <wp:docPr id="14" name="グラフ 14">
              <a:extLst xmlns:a="http://schemas.openxmlformats.org/drawingml/2006/main">
                <a:ext uri="{FF2B5EF4-FFF2-40B4-BE49-F238E27FC236}">
                  <a16:creationId xmlns:a16="http://schemas.microsoft.com/office/drawing/2014/main" id="{A0BA3F66-58E1-4A6A-A5AE-0D2DD3331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51FD" w:rsidRDefault="00CD25D1">
      <w:pPr>
        <w:rPr>
          <w:rFonts w:hAnsi="游ゴシック"/>
        </w:rPr>
      </w:pPr>
      <w:r>
        <w:rPr>
          <w:rFonts w:hAnsi="游ゴシック" w:hint="eastAsia"/>
        </w:rPr>
        <w:t>図4</w:t>
      </w:r>
      <w:r>
        <w:rPr>
          <w:rFonts w:hAnsi="游ゴシック"/>
        </w:rPr>
        <w:t>.</w:t>
      </w:r>
      <w:r>
        <w:rPr>
          <w:rFonts w:hAnsi="游ゴシック" w:hint="eastAsia"/>
        </w:rPr>
        <w:t>負債額・自己資本比率</w:t>
      </w:r>
    </w:p>
    <w:p w:rsidR="00CC51FD" w:rsidRDefault="00CC51FD">
      <w:pPr>
        <w:rPr>
          <w:rFonts w:hAnsi="游ゴシック"/>
        </w:rPr>
      </w:pPr>
      <w:r>
        <w:rPr>
          <w:noProof/>
        </w:rPr>
        <w:lastRenderedPageBreak/>
        <w:drawing>
          <wp:inline distT="0" distB="0" distL="0" distR="0" wp14:anchorId="05AB4B22" wp14:editId="176E11CC">
            <wp:extent cx="5400040" cy="2743200"/>
            <wp:effectExtent l="0" t="0" r="10160" b="0"/>
            <wp:docPr id="16" name="グラフ 16">
              <a:extLst xmlns:a="http://schemas.openxmlformats.org/drawingml/2006/main">
                <a:ext uri="{FF2B5EF4-FFF2-40B4-BE49-F238E27FC236}">
                  <a16:creationId xmlns:a16="http://schemas.microsoft.com/office/drawing/2014/main" id="{D6DED831-2262-423E-B779-EBB9A6099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51FD" w:rsidRDefault="00CC51FD">
      <w:pPr>
        <w:rPr>
          <w:rFonts w:hAnsi="游ゴシック"/>
        </w:rPr>
      </w:pPr>
      <w:r>
        <w:rPr>
          <w:rFonts w:hAnsi="游ゴシック" w:hint="eastAsia"/>
        </w:rPr>
        <w:t>図5</w:t>
      </w:r>
      <w:r>
        <w:rPr>
          <w:rFonts w:hAnsi="游ゴシック"/>
        </w:rPr>
        <w:t>.</w:t>
      </w:r>
      <w:r>
        <w:rPr>
          <w:rFonts w:hAnsi="游ゴシック" w:hint="eastAsia"/>
        </w:rPr>
        <w:t>自己資本・自己資本比率</w:t>
      </w:r>
    </w:p>
    <w:p w:rsidR="00CC51FD" w:rsidRDefault="00CC51FD">
      <w:pPr>
        <w:rPr>
          <w:rFonts w:hAnsi="游ゴシック"/>
        </w:rPr>
      </w:pPr>
    </w:p>
    <w:tbl>
      <w:tblPr>
        <w:tblStyle w:val="a4"/>
        <w:tblW w:w="0" w:type="auto"/>
        <w:tblLook w:val="04A0" w:firstRow="1" w:lastRow="0" w:firstColumn="1" w:lastColumn="0" w:noHBand="0" w:noVBand="1"/>
      </w:tblPr>
      <w:tblGrid>
        <w:gridCol w:w="2855"/>
        <w:gridCol w:w="1879"/>
        <w:gridCol w:w="1880"/>
        <w:gridCol w:w="1880"/>
      </w:tblGrid>
      <w:tr w:rsidR="00CC51FD" w:rsidTr="00CC51FD">
        <w:tc>
          <w:tcPr>
            <w:tcW w:w="2943" w:type="dxa"/>
          </w:tcPr>
          <w:p w:rsidR="00CC51FD" w:rsidRDefault="00CC51FD">
            <w:pPr>
              <w:rPr>
                <w:rFonts w:hAnsi="游ゴシック"/>
              </w:rPr>
            </w:pPr>
            <w:r>
              <w:rPr>
                <w:rFonts w:hAnsi="游ゴシック" w:hint="eastAsia"/>
              </w:rPr>
              <w:t>項目</w:t>
            </w:r>
          </w:p>
        </w:tc>
        <w:tc>
          <w:tcPr>
            <w:tcW w:w="1925" w:type="dxa"/>
          </w:tcPr>
          <w:p w:rsidR="00CC51FD" w:rsidRDefault="00CC51FD">
            <w:pPr>
              <w:rPr>
                <w:rFonts w:hAnsi="游ゴシック"/>
              </w:rPr>
            </w:pPr>
            <w:r>
              <w:rPr>
                <w:rFonts w:hAnsi="游ゴシック" w:hint="eastAsia"/>
              </w:rPr>
              <w:t>総資産額</w:t>
            </w:r>
          </w:p>
        </w:tc>
        <w:tc>
          <w:tcPr>
            <w:tcW w:w="1926" w:type="dxa"/>
          </w:tcPr>
          <w:p w:rsidR="00CC51FD" w:rsidRDefault="00CC51FD">
            <w:pPr>
              <w:rPr>
                <w:rFonts w:hAnsi="游ゴシック"/>
              </w:rPr>
            </w:pPr>
            <w:r>
              <w:rPr>
                <w:rFonts w:hAnsi="游ゴシック" w:hint="eastAsia"/>
              </w:rPr>
              <w:t>負債</w:t>
            </w:r>
          </w:p>
        </w:tc>
        <w:tc>
          <w:tcPr>
            <w:tcW w:w="1926" w:type="dxa"/>
          </w:tcPr>
          <w:p w:rsidR="00CC51FD" w:rsidRDefault="00CC51FD">
            <w:pPr>
              <w:rPr>
                <w:rFonts w:hAnsi="游ゴシック"/>
              </w:rPr>
            </w:pPr>
            <w:r>
              <w:rPr>
                <w:rFonts w:hAnsi="游ゴシック" w:hint="eastAsia"/>
              </w:rPr>
              <w:t>自己資本額</w:t>
            </w:r>
          </w:p>
        </w:tc>
      </w:tr>
      <w:tr w:rsidR="00CC51FD" w:rsidTr="00CC51FD">
        <w:tc>
          <w:tcPr>
            <w:tcW w:w="2943" w:type="dxa"/>
          </w:tcPr>
          <w:p w:rsidR="00CC51FD" w:rsidRDefault="00CC51FD">
            <w:pPr>
              <w:rPr>
                <w:rFonts w:hAnsi="游ゴシック"/>
              </w:rPr>
            </w:pPr>
            <w:r>
              <w:rPr>
                <w:rFonts w:hAnsi="游ゴシック" w:hint="eastAsia"/>
              </w:rPr>
              <w:t>自己資本比率との相関係数</w:t>
            </w:r>
          </w:p>
        </w:tc>
        <w:tc>
          <w:tcPr>
            <w:tcW w:w="1925" w:type="dxa"/>
          </w:tcPr>
          <w:p w:rsidR="00CC51FD" w:rsidRDefault="00CC51FD">
            <w:pPr>
              <w:rPr>
                <w:rFonts w:hAnsi="游ゴシック"/>
              </w:rPr>
            </w:pPr>
            <w:r w:rsidRPr="00CC51FD">
              <w:rPr>
                <w:rFonts w:hAnsi="游ゴシック"/>
              </w:rPr>
              <w:t>0.10</w:t>
            </w:r>
          </w:p>
        </w:tc>
        <w:tc>
          <w:tcPr>
            <w:tcW w:w="1926" w:type="dxa"/>
          </w:tcPr>
          <w:p w:rsidR="00CC51FD" w:rsidRDefault="00CC51FD">
            <w:pPr>
              <w:rPr>
                <w:rFonts w:hAnsi="游ゴシック"/>
              </w:rPr>
            </w:pPr>
            <w:r>
              <w:rPr>
                <w:rFonts w:hAnsi="游ゴシック" w:hint="eastAsia"/>
              </w:rPr>
              <w:t>-0</w:t>
            </w:r>
            <w:r>
              <w:rPr>
                <w:rFonts w:hAnsi="游ゴシック"/>
              </w:rPr>
              <w:t>.65</w:t>
            </w:r>
          </w:p>
        </w:tc>
        <w:tc>
          <w:tcPr>
            <w:tcW w:w="1926" w:type="dxa"/>
          </w:tcPr>
          <w:p w:rsidR="00CC51FD" w:rsidRDefault="00CC51FD">
            <w:pPr>
              <w:rPr>
                <w:rFonts w:hAnsi="游ゴシック"/>
              </w:rPr>
            </w:pPr>
            <w:r>
              <w:rPr>
                <w:rFonts w:hAnsi="游ゴシック" w:hint="eastAsia"/>
              </w:rPr>
              <w:t>0.96</w:t>
            </w:r>
          </w:p>
        </w:tc>
      </w:tr>
    </w:tbl>
    <w:p w:rsidR="00CC51FD" w:rsidRPr="00CC51FD" w:rsidRDefault="00B717F5">
      <w:pPr>
        <w:rPr>
          <w:rFonts w:hAnsi="游ゴシック"/>
        </w:rPr>
      </w:pPr>
      <w:r>
        <w:rPr>
          <w:rFonts w:hAnsi="游ゴシック" w:hint="eastAsia"/>
        </w:rPr>
        <w:t>図6</w:t>
      </w:r>
      <w:r>
        <w:rPr>
          <w:rFonts w:hAnsi="游ゴシック"/>
        </w:rPr>
        <w:t>.</w:t>
      </w:r>
      <w:r w:rsidRPr="00B717F5">
        <w:rPr>
          <w:rFonts w:hAnsi="游ゴシック" w:hint="eastAsia"/>
        </w:rPr>
        <w:t xml:space="preserve"> </w:t>
      </w:r>
      <w:r>
        <w:rPr>
          <w:rFonts w:hAnsi="游ゴシック" w:hint="eastAsia"/>
        </w:rPr>
        <w:t>自己資本比率との相関係数</w:t>
      </w:r>
    </w:p>
    <w:p w:rsidR="00CC51FD" w:rsidRDefault="00B717F5">
      <w:pPr>
        <w:rPr>
          <w:rFonts w:hAnsi="游ゴシック"/>
        </w:rPr>
      </w:pPr>
      <w:r>
        <w:rPr>
          <w:rFonts w:hAnsi="游ゴシック" w:hint="eastAsia"/>
        </w:rPr>
        <w:t>※総資産額、自己資本額について相関係数が1に近づくほど、負債については-</w:t>
      </w:r>
      <w:r>
        <w:rPr>
          <w:rFonts w:hAnsi="游ゴシック"/>
        </w:rPr>
        <w:t>1</w:t>
      </w:r>
      <w:r>
        <w:rPr>
          <w:rFonts w:hAnsi="游ゴシック" w:hint="eastAsia"/>
        </w:rPr>
        <w:t>に近づく程自己資本比率の値への影響がある。</w:t>
      </w:r>
    </w:p>
    <w:p w:rsidR="00B717F5" w:rsidRDefault="00B717F5">
      <w:pPr>
        <w:rPr>
          <w:rFonts w:hAnsi="游ゴシック"/>
        </w:rPr>
      </w:pPr>
    </w:p>
    <w:p w:rsidR="00CC51FD" w:rsidRDefault="00B717F5" w:rsidP="00CC51FD">
      <w:pPr>
        <w:rPr>
          <w:rFonts w:hAnsi="游ゴシック"/>
        </w:rPr>
      </w:pPr>
      <w:r>
        <w:rPr>
          <w:rFonts w:hAnsi="游ゴシック" w:hint="eastAsia"/>
        </w:rPr>
        <w:t>図</w:t>
      </w:r>
      <w:r>
        <w:rPr>
          <w:rFonts w:hAnsi="游ゴシック"/>
        </w:rPr>
        <w:t>6</w:t>
      </w:r>
      <w:r>
        <w:rPr>
          <w:rFonts w:hAnsi="游ゴシック" w:hint="eastAsia"/>
        </w:rPr>
        <w:t>から自己資本額の増減が最も曙ブレーキ工業の自己資本比率に影響していることが分かる。曙ブレーキ工業の自己資本比率は低下傾向にあるが、自己資本額を減少させる要因としては減資や</w:t>
      </w:r>
      <w:r w:rsidR="00592359">
        <w:rPr>
          <w:rFonts w:hAnsi="游ゴシック" w:hint="eastAsia"/>
        </w:rPr>
        <w:t>当期純損失</w:t>
      </w:r>
      <w:r>
        <w:rPr>
          <w:rFonts w:hAnsi="游ゴシック" w:hint="eastAsia"/>
        </w:rPr>
        <w:t>による利益剰余金の減少が考えられる。調べてみたところ、曙ブレーキ工業は近年減資を行っていないため</w:t>
      </w:r>
      <w:r w:rsidR="00592359">
        <w:rPr>
          <w:rFonts w:hAnsi="游ゴシック" w:hint="eastAsia"/>
        </w:rPr>
        <w:t>、私は当期純損失による利益剰余金の減少が自己資本比率低下の最大要因であると断定する。</w:t>
      </w:r>
    </w:p>
    <w:p w:rsidR="004D1C9F" w:rsidRDefault="004D1C9F">
      <w:pPr>
        <w:rPr>
          <w:rFonts w:hAnsi="游ゴシック"/>
        </w:rPr>
      </w:pPr>
    </w:p>
    <w:p w:rsidR="00592359" w:rsidRPr="00CC51FD" w:rsidRDefault="00592359">
      <w:pPr>
        <w:rPr>
          <w:rFonts w:hAnsi="游ゴシック"/>
        </w:rPr>
      </w:pPr>
      <w:r>
        <w:rPr>
          <w:rFonts w:hAnsi="游ゴシック" w:hint="eastAsia"/>
        </w:rPr>
        <w:t>-3.曙ブレーキの収益性・北米事業</w:t>
      </w:r>
    </w:p>
    <w:p w:rsidR="00EA3C90" w:rsidRDefault="00592359">
      <w:pPr>
        <w:rPr>
          <w:rFonts w:hAnsi="游ゴシック"/>
        </w:rPr>
      </w:pPr>
      <w:r>
        <w:rPr>
          <w:rFonts w:hAnsi="游ゴシック" w:hint="eastAsia"/>
        </w:rPr>
        <w:t>前章では、曙ブレーキ工業の事業再生ADR申請の最大の要因は当期純</w:t>
      </w:r>
      <w:r w:rsidR="00204DF5">
        <w:rPr>
          <w:rFonts w:hAnsi="游ゴシック" w:hint="eastAsia"/>
        </w:rPr>
        <w:t>損失発生による利益剰余金の減少であると断定した。</w:t>
      </w:r>
      <w:r w:rsidR="00546244">
        <w:rPr>
          <w:rFonts w:hAnsi="游ゴシック" w:hint="eastAsia"/>
        </w:rPr>
        <w:t>本章では、さらに詳細な検証を行うため事業の収益性の分析を行っていく。</w:t>
      </w:r>
      <w:r w:rsidR="005D2B7A">
        <w:rPr>
          <w:rFonts w:hAnsi="游ゴシック" w:hint="eastAsia"/>
        </w:rPr>
        <w:t>まず</w:t>
      </w:r>
      <w:r w:rsidR="00F24019">
        <w:rPr>
          <w:rFonts w:hAnsi="游ゴシック" w:hint="eastAsia"/>
        </w:rPr>
        <w:t>図</w:t>
      </w:r>
      <w:r w:rsidR="004F4B16">
        <w:rPr>
          <w:rFonts w:hAnsi="游ゴシック" w:hint="eastAsia"/>
        </w:rPr>
        <w:t>6</w:t>
      </w:r>
      <w:r w:rsidR="00F24019">
        <w:rPr>
          <w:rFonts w:hAnsi="游ゴシック" w:hint="eastAsia"/>
        </w:rPr>
        <w:t>の</w:t>
      </w:r>
      <w:r w:rsidR="005D2B7A">
        <w:rPr>
          <w:rFonts w:hAnsi="游ゴシック" w:hint="eastAsia"/>
        </w:rPr>
        <w:t>全体売上高及び地域別売上高(連結消去前)</w:t>
      </w:r>
      <w:r w:rsidR="00A433A0">
        <w:rPr>
          <w:rFonts w:hAnsi="游ゴシック" w:hint="eastAsia"/>
        </w:rPr>
        <w:t>を見ると</w:t>
      </w:r>
      <w:r w:rsidR="004F4B16">
        <w:rPr>
          <w:rFonts w:hAnsi="游ゴシック" w:hint="eastAsia"/>
        </w:rPr>
        <w:t>、</w:t>
      </w:r>
      <w:r w:rsidR="00A433A0">
        <w:rPr>
          <w:rFonts w:hAnsi="游ゴシック" w:hint="eastAsia"/>
        </w:rPr>
        <w:t>売上高自体は1</w:t>
      </w:r>
      <w:r w:rsidR="00A433A0">
        <w:rPr>
          <w:rFonts w:hAnsi="游ゴシック"/>
        </w:rPr>
        <w:t>0</w:t>
      </w:r>
      <w:r w:rsidR="00A433A0">
        <w:rPr>
          <w:rFonts w:hAnsi="游ゴシック" w:hint="eastAsia"/>
        </w:rPr>
        <w:t>年前から</w:t>
      </w:r>
      <w:r w:rsidR="004F4B16">
        <w:rPr>
          <w:rFonts w:hAnsi="游ゴシック" w:hint="eastAsia"/>
        </w:rPr>
        <w:t>増減を繰り返しながらも順調に</w:t>
      </w:r>
      <w:r w:rsidR="00A433A0">
        <w:rPr>
          <w:rFonts w:hAnsi="游ゴシック" w:hint="eastAsia"/>
        </w:rPr>
        <w:t>増加していたことが分かる。それに、問題の2</w:t>
      </w:r>
      <w:r w:rsidR="00A433A0">
        <w:rPr>
          <w:rFonts w:hAnsi="游ゴシック"/>
        </w:rPr>
        <w:t>015</w:t>
      </w:r>
      <w:r w:rsidR="00A433A0">
        <w:rPr>
          <w:rFonts w:hAnsi="游ゴシック" w:hint="eastAsia"/>
        </w:rPr>
        <w:t>年3月期以降の北米市場を見てみても直近は右肩下がりではあるものの2</w:t>
      </w:r>
      <w:r w:rsidR="00A433A0">
        <w:rPr>
          <w:rFonts w:hAnsi="游ゴシック"/>
        </w:rPr>
        <w:t>016</w:t>
      </w:r>
      <w:r w:rsidR="00A433A0">
        <w:rPr>
          <w:rFonts w:hAnsi="游ゴシック" w:hint="eastAsia"/>
        </w:rPr>
        <w:t>年には売上高のピークを迎えている。</w:t>
      </w:r>
      <w:r w:rsidR="00EA3C90">
        <w:rPr>
          <w:rFonts w:hAnsi="游ゴシック" w:hint="eastAsia"/>
        </w:rPr>
        <w:t>だが、問題は利益率にある。図</w:t>
      </w:r>
      <w:r w:rsidR="00EA3C90">
        <w:rPr>
          <w:rFonts w:hAnsi="游ゴシック"/>
        </w:rPr>
        <w:t>7</w:t>
      </w:r>
      <w:r w:rsidR="00EA3C90">
        <w:rPr>
          <w:rFonts w:hAnsi="游ゴシック" w:hint="eastAsia"/>
        </w:rPr>
        <w:t>を見ると、同年の北米市場の営業利益率はこの1</w:t>
      </w:r>
      <w:r w:rsidR="00EA3C90">
        <w:rPr>
          <w:rFonts w:hAnsi="游ゴシック"/>
        </w:rPr>
        <w:t>0</w:t>
      </w:r>
      <w:r w:rsidR="00EA3C90">
        <w:rPr>
          <w:rFonts w:hAnsi="游ゴシック" w:hint="eastAsia"/>
        </w:rPr>
        <w:t>年間で最悪の値となっており、売れば売るほど赤字が広がる状況だったとわかる。</w:t>
      </w:r>
    </w:p>
    <w:p w:rsidR="00EA3C90" w:rsidRPr="00EA3C90" w:rsidRDefault="00EA3C90">
      <w:pPr>
        <w:rPr>
          <w:rFonts w:hAnsi="游ゴシック"/>
        </w:rPr>
      </w:pPr>
    </w:p>
    <w:p w:rsidR="00103C29" w:rsidRDefault="00EA3C90">
      <w:pPr>
        <w:rPr>
          <w:rFonts w:hAnsi="游ゴシック"/>
        </w:rPr>
      </w:pPr>
      <w:r>
        <w:rPr>
          <w:rFonts w:hAnsi="游ゴシック" w:hint="eastAsia"/>
        </w:rPr>
        <w:lastRenderedPageBreak/>
        <w:t>会社全体を見ても</w:t>
      </w:r>
      <w:r w:rsidR="00DD1676">
        <w:rPr>
          <w:rFonts w:hAnsi="游ゴシック" w:hint="eastAsia"/>
        </w:rPr>
        <w:t>売上高総利益率は平均</w:t>
      </w:r>
      <w:r w:rsidR="007776C7">
        <w:rPr>
          <w:rFonts w:hAnsi="游ゴシック" w:hint="eastAsia"/>
        </w:rPr>
        <w:t>1</w:t>
      </w:r>
      <w:r w:rsidR="007776C7">
        <w:rPr>
          <w:rFonts w:hAnsi="游ゴシック"/>
        </w:rPr>
        <w:t>0.8%</w:t>
      </w:r>
      <w:r w:rsidR="007776C7">
        <w:rPr>
          <w:rFonts w:hAnsi="游ゴシック" w:hint="eastAsia"/>
        </w:rPr>
        <w:t>であり、同業であり売上規模も曙ブレーキ工業と類似している日信工業と比較して3</w:t>
      </w:r>
      <w:r w:rsidR="007776C7">
        <w:rPr>
          <w:rFonts w:hAnsi="游ゴシック"/>
        </w:rPr>
        <w:t>%</w:t>
      </w:r>
      <w:r w:rsidR="007776C7">
        <w:rPr>
          <w:rFonts w:hAnsi="游ゴシック" w:hint="eastAsia"/>
        </w:rPr>
        <w:t>程度低い。次に営業利益率は平均1</w:t>
      </w:r>
      <w:r w:rsidR="007776C7">
        <w:rPr>
          <w:rFonts w:hAnsi="游ゴシック"/>
        </w:rPr>
        <w:t>.6%</w:t>
      </w:r>
      <w:r w:rsidR="007776C7">
        <w:rPr>
          <w:rFonts w:hAnsi="游ゴシック" w:hint="eastAsia"/>
        </w:rPr>
        <w:t>であり、日信工業と比較して5</w:t>
      </w:r>
      <w:r w:rsidR="007776C7">
        <w:rPr>
          <w:rFonts w:hAnsi="游ゴシック"/>
        </w:rPr>
        <w:t>%</w:t>
      </w:r>
      <w:r w:rsidR="007776C7">
        <w:rPr>
          <w:rFonts w:hAnsi="游ゴシック" w:hint="eastAsia"/>
        </w:rPr>
        <w:t>の差をつけられている他自動車部品業界平均と比較しても</w:t>
      </w:r>
      <w:r w:rsidR="00546244">
        <w:rPr>
          <w:rFonts w:hAnsi="游ゴシック" w:hint="eastAsia"/>
        </w:rPr>
        <w:t>2</w:t>
      </w:r>
      <w:r w:rsidR="00546244">
        <w:rPr>
          <w:rFonts w:hAnsi="游ゴシック"/>
        </w:rPr>
        <w:t>%</w:t>
      </w:r>
      <w:r w:rsidR="00546244">
        <w:rPr>
          <w:rFonts w:hAnsi="游ゴシック" w:hint="eastAsia"/>
        </w:rPr>
        <w:t>低くなっている。よって、曙ブレーキ工業の低利益率の原因は本業のブレーキ事業の原価の高さや販管費及び一般管理費の高さによるものと推測できる。</w:t>
      </w:r>
    </w:p>
    <w:p w:rsidR="005D2B7A" w:rsidRDefault="005D2B7A">
      <w:pPr>
        <w:rPr>
          <w:rFonts w:hAnsi="游ゴシック"/>
        </w:rPr>
      </w:pPr>
      <w:r>
        <w:rPr>
          <w:noProof/>
        </w:rPr>
        <w:drawing>
          <wp:inline distT="0" distB="0" distL="0" distR="0" wp14:anchorId="7FFDF67C" wp14:editId="70951757">
            <wp:extent cx="5397500" cy="3130550"/>
            <wp:effectExtent l="0" t="0" r="12700" b="12700"/>
            <wp:docPr id="5" name="グラフ 5">
              <a:extLst xmlns:a="http://schemas.openxmlformats.org/drawingml/2006/main">
                <a:ext uri="{FF2B5EF4-FFF2-40B4-BE49-F238E27FC236}">
                  <a16:creationId xmlns:a16="http://schemas.microsoft.com/office/drawing/2014/main" id="{193DF072-11C8-4F9E-BEF3-D8310253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779B" w:rsidRDefault="00BF779B">
      <w:pPr>
        <w:rPr>
          <w:rFonts w:hAnsi="游ゴシック"/>
        </w:rPr>
      </w:pPr>
      <w:r>
        <w:rPr>
          <w:rFonts w:hAnsi="游ゴシック" w:hint="eastAsia"/>
        </w:rPr>
        <w:t>図</w:t>
      </w:r>
      <w:r w:rsidR="00F24019">
        <w:rPr>
          <w:rFonts w:hAnsi="游ゴシック" w:hint="eastAsia"/>
        </w:rPr>
        <w:t>6</w:t>
      </w:r>
      <w:r>
        <w:rPr>
          <w:rFonts w:hAnsi="游ゴシック"/>
        </w:rPr>
        <w:t>.</w:t>
      </w:r>
      <w:r>
        <w:rPr>
          <w:rFonts w:hAnsi="游ゴシック" w:hint="eastAsia"/>
        </w:rPr>
        <w:t>連結売上高及び地域別売上高の推移</w:t>
      </w:r>
    </w:p>
    <w:p w:rsidR="00546244" w:rsidRDefault="00DD1676">
      <w:pPr>
        <w:rPr>
          <w:rFonts w:hAnsi="游ゴシック"/>
        </w:rPr>
      </w:pPr>
      <w:r>
        <w:rPr>
          <w:noProof/>
        </w:rPr>
        <w:drawing>
          <wp:inline distT="0" distB="0" distL="0" distR="0" wp14:anchorId="7CBA3E9C" wp14:editId="7D8EE1D3">
            <wp:extent cx="5400040" cy="3458210"/>
            <wp:effectExtent l="0" t="0" r="10160" b="8890"/>
            <wp:docPr id="17" name="グラフ 17">
              <a:extLst xmlns:a="http://schemas.openxmlformats.org/drawingml/2006/main">
                <a:ext uri="{FF2B5EF4-FFF2-40B4-BE49-F238E27FC236}">
                  <a16:creationId xmlns:a16="http://schemas.microsoft.com/office/drawing/2014/main" id="{FE884F62-D6E3-449B-889D-39305767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a4"/>
        <w:tblW w:w="9209" w:type="dxa"/>
        <w:tblLook w:val="04A0" w:firstRow="1" w:lastRow="0" w:firstColumn="1" w:lastColumn="0" w:noHBand="0" w:noVBand="1"/>
      </w:tblPr>
      <w:tblGrid>
        <w:gridCol w:w="1696"/>
        <w:gridCol w:w="939"/>
        <w:gridCol w:w="939"/>
        <w:gridCol w:w="939"/>
        <w:gridCol w:w="939"/>
        <w:gridCol w:w="939"/>
        <w:gridCol w:w="939"/>
        <w:gridCol w:w="939"/>
        <w:gridCol w:w="940"/>
      </w:tblGrid>
      <w:tr w:rsidR="007776C7" w:rsidTr="00274523">
        <w:tc>
          <w:tcPr>
            <w:tcW w:w="1696" w:type="dxa"/>
          </w:tcPr>
          <w:p w:rsidR="007776C7" w:rsidRDefault="007776C7" w:rsidP="00274523">
            <w:pPr>
              <w:rPr>
                <w:rFonts w:hAnsi="游ゴシック"/>
              </w:rPr>
            </w:pPr>
          </w:p>
        </w:tc>
        <w:tc>
          <w:tcPr>
            <w:tcW w:w="1878" w:type="dxa"/>
            <w:gridSpan w:val="2"/>
          </w:tcPr>
          <w:p w:rsidR="007776C7" w:rsidRDefault="007776C7" w:rsidP="00274523">
            <w:pPr>
              <w:rPr>
                <w:rFonts w:hAnsi="游ゴシック"/>
              </w:rPr>
            </w:pPr>
            <w:r>
              <w:rPr>
                <w:rFonts w:hAnsi="游ゴシック" w:hint="eastAsia"/>
              </w:rPr>
              <w:t>売上高総利益率</w:t>
            </w:r>
          </w:p>
        </w:tc>
        <w:tc>
          <w:tcPr>
            <w:tcW w:w="1878" w:type="dxa"/>
            <w:gridSpan w:val="2"/>
          </w:tcPr>
          <w:p w:rsidR="007776C7" w:rsidRDefault="007776C7" w:rsidP="00274523">
            <w:pPr>
              <w:rPr>
                <w:rFonts w:hAnsi="游ゴシック"/>
              </w:rPr>
            </w:pPr>
            <w:r>
              <w:rPr>
                <w:rFonts w:hAnsi="游ゴシック" w:hint="eastAsia"/>
              </w:rPr>
              <w:t>営業利益率</w:t>
            </w:r>
          </w:p>
        </w:tc>
        <w:tc>
          <w:tcPr>
            <w:tcW w:w="1878" w:type="dxa"/>
            <w:gridSpan w:val="2"/>
          </w:tcPr>
          <w:p w:rsidR="007776C7" w:rsidRDefault="007776C7" w:rsidP="00274523">
            <w:pPr>
              <w:rPr>
                <w:rFonts w:hAnsi="游ゴシック"/>
              </w:rPr>
            </w:pPr>
            <w:r>
              <w:rPr>
                <w:rFonts w:hAnsi="游ゴシック" w:hint="eastAsia"/>
              </w:rPr>
              <w:t>経常利益率</w:t>
            </w:r>
          </w:p>
        </w:tc>
        <w:tc>
          <w:tcPr>
            <w:tcW w:w="1879" w:type="dxa"/>
            <w:gridSpan w:val="2"/>
          </w:tcPr>
          <w:p w:rsidR="007776C7" w:rsidRDefault="007776C7" w:rsidP="00274523">
            <w:pPr>
              <w:rPr>
                <w:rFonts w:hAnsi="游ゴシック"/>
              </w:rPr>
            </w:pPr>
            <w:r>
              <w:rPr>
                <w:rFonts w:hAnsi="游ゴシック" w:hint="eastAsia"/>
              </w:rPr>
              <w:t>当期純利益率</w:t>
            </w:r>
          </w:p>
        </w:tc>
      </w:tr>
      <w:tr w:rsidR="007776C7" w:rsidTr="00274523">
        <w:tc>
          <w:tcPr>
            <w:tcW w:w="1696"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40" w:type="dxa"/>
          </w:tcPr>
          <w:p w:rsidR="007776C7" w:rsidRDefault="007776C7" w:rsidP="00274523">
            <w:pPr>
              <w:rPr>
                <w:rFonts w:hAnsi="游ゴシック"/>
              </w:rPr>
            </w:pPr>
            <w:r>
              <w:rPr>
                <w:rFonts w:hAnsi="游ゴシック" w:hint="eastAsia"/>
              </w:rPr>
              <w:t>中央値</w:t>
            </w:r>
          </w:p>
        </w:tc>
      </w:tr>
      <w:tr w:rsidR="007776C7" w:rsidTr="00274523">
        <w:tc>
          <w:tcPr>
            <w:tcW w:w="1696" w:type="dxa"/>
          </w:tcPr>
          <w:p w:rsidR="007776C7" w:rsidRDefault="007776C7" w:rsidP="00274523">
            <w:pPr>
              <w:rPr>
                <w:rFonts w:hAnsi="游ゴシック"/>
              </w:rPr>
            </w:pPr>
            <w:r>
              <w:rPr>
                <w:rFonts w:hAnsi="游ゴシック" w:hint="eastAsia"/>
              </w:rPr>
              <w:t>曙ブレーキ工業</w:t>
            </w:r>
          </w:p>
        </w:tc>
        <w:tc>
          <w:tcPr>
            <w:tcW w:w="939" w:type="dxa"/>
          </w:tcPr>
          <w:p w:rsidR="007776C7" w:rsidRDefault="007776C7" w:rsidP="00274523">
            <w:pPr>
              <w:rPr>
                <w:rFonts w:hAnsi="游ゴシック"/>
              </w:rPr>
            </w:pPr>
            <w:r>
              <w:rPr>
                <w:rFonts w:hAnsi="游ゴシック" w:hint="eastAsia"/>
              </w:rPr>
              <w:t>10.8％</w:t>
            </w:r>
          </w:p>
        </w:tc>
        <w:tc>
          <w:tcPr>
            <w:tcW w:w="939" w:type="dxa"/>
          </w:tcPr>
          <w:p w:rsidR="007776C7" w:rsidRDefault="007776C7" w:rsidP="00274523">
            <w:pPr>
              <w:rPr>
                <w:rFonts w:hAnsi="游ゴシック"/>
              </w:rPr>
            </w:pPr>
            <w:r>
              <w:rPr>
                <w:rFonts w:hAnsi="游ゴシック" w:hint="eastAsia"/>
              </w:rPr>
              <w:t>11.2％</w:t>
            </w:r>
          </w:p>
        </w:tc>
        <w:tc>
          <w:tcPr>
            <w:tcW w:w="939" w:type="dxa"/>
          </w:tcPr>
          <w:p w:rsidR="007776C7" w:rsidRDefault="007776C7" w:rsidP="00274523">
            <w:pPr>
              <w:rPr>
                <w:rFonts w:hAnsi="游ゴシック"/>
              </w:rPr>
            </w:pPr>
            <w:r>
              <w:rPr>
                <w:rFonts w:hAnsi="游ゴシック" w:hint="eastAsia"/>
              </w:rPr>
              <w:t>1.6％</w:t>
            </w:r>
          </w:p>
        </w:tc>
        <w:tc>
          <w:tcPr>
            <w:tcW w:w="939" w:type="dxa"/>
          </w:tcPr>
          <w:p w:rsidR="007776C7" w:rsidRDefault="007776C7" w:rsidP="00274523">
            <w:pPr>
              <w:rPr>
                <w:rFonts w:hAnsi="游ゴシック"/>
              </w:rPr>
            </w:pPr>
            <w:r>
              <w:rPr>
                <w:rFonts w:hAnsi="游ゴシック" w:hint="eastAsia"/>
              </w:rPr>
              <w:t>1.8％</w:t>
            </w:r>
          </w:p>
        </w:tc>
        <w:tc>
          <w:tcPr>
            <w:tcW w:w="939" w:type="dxa"/>
          </w:tcPr>
          <w:p w:rsidR="007776C7" w:rsidRDefault="007776C7" w:rsidP="00274523">
            <w:pPr>
              <w:rPr>
                <w:rFonts w:hAnsi="游ゴシック"/>
              </w:rPr>
            </w:pPr>
            <w:r>
              <w:rPr>
                <w:rFonts w:hAnsi="游ゴシック" w:hint="eastAsia"/>
              </w:rPr>
              <w:t>0.7％</w:t>
            </w:r>
          </w:p>
        </w:tc>
        <w:tc>
          <w:tcPr>
            <w:tcW w:w="939" w:type="dxa"/>
          </w:tcPr>
          <w:p w:rsidR="007776C7" w:rsidRDefault="007776C7" w:rsidP="00274523">
            <w:pPr>
              <w:rPr>
                <w:rFonts w:hAnsi="游ゴシック"/>
              </w:rPr>
            </w:pPr>
            <w:r>
              <w:rPr>
                <w:rFonts w:hAnsi="游ゴシック" w:hint="eastAsia"/>
              </w:rPr>
              <w:t>1.1％</w:t>
            </w:r>
          </w:p>
        </w:tc>
        <w:tc>
          <w:tcPr>
            <w:tcW w:w="939" w:type="dxa"/>
          </w:tcPr>
          <w:p w:rsidR="007776C7" w:rsidRDefault="007776C7" w:rsidP="00274523">
            <w:pPr>
              <w:rPr>
                <w:rFonts w:hAnsi="游ゴシック"/>
              </w:rPr>
            </w:pPr>
            <w:r>
              <w:rPr>
                <w:rFonts w:hAnsi="游ゴシック" w:hint="eastAsia"/>
              </w:rPr>
              <w:t>-2.1％</w:t>
            </w:r>
          </w:p>
        </w:tc>
        <w:tc>
          <w:tcPr>
            <w:tcW w:w="940" w:type="dxa"/>
          </w:tcPr>
          <w:p w:rsidR="007776C7" w:rsidRDefault="007776C7" w:rsidP="00274523">
            <w:pPr>
              <w:rPr>
                <w:rFonts w:hAnsi="游ゴシック"/>
              </w:rPr>
            </w:pPr>
            <w:r>
              <w:rPr>
                <w:rFonts w:hAnsi="游ゴシック" w:hint="eastAsia"/>
              </w:rPr>
              <w:t>0.1％</w:t>
            </w:r>
          </w:p>
        </w:tc>
      </w:tr>
      <w:tr w:rsidR="007776C7" w:rsidTr="00274523">
        <w:tc>
          <w:tcPr>
            <w:tcW w:w="1696" w:type="dxa"/>
          </w:tcPr>
          <w:p w:rsidR="007776C7" w:rsidRDefault="007776C7" w:rsidP="00274523">
            <w:pPr>
              <w:rPr>
                <w:rFonts w:hAnsi="游ゴシック"/>
              </w:rPr>
            </w:pPr>
            <w:r>
              <w:rPr>
                <w:rFonts w:hAnsi="游ゴシック" w:hint="eastAsia"/>
              </w:rPr>
              <w:t>日信工業</w:t>
            </w:r>
          </w:p>
        </w:tc>
        <w:tc>
          <w:tcPr>
            <w:tcW w:w="939" w:type="dxa"/>
          </w:tcPr>
          <w:p w:rsidR="007776C7" w:rsidRDefault="007776C7" w:rsidP="00274523">
            <w:pPr>
              <w:rPr>
                <w:rFonts w:hAnsi="游ゴシック"/>
              </w:rPr>
            </w:pPr>
            <w:r>
              <w:rPr>
                <w:rFonts w:hAnsi="游ゴシック" w:hint="eastAsia"/>
              </w:rPr>
              <w:t>1</w:t>
            </w:r>
            <w:r>
              <w:rPr>
                <w:rFonts w:hAnsi="游ゴシック"/>
              </w:rPr>
              <w:t>3.4%</w:t>
            </w:r>
          </w:p>
        </w:tc>
        <w:tc>
          <w:tcPr>
            <w:tcW w:w="939" w:type="dxa"/>
          </w:tcPr>
          <w:p w:rsidR="007776C7" w:rsidRDefault="007776C7" w:rsidP="00274523">
            <w:pPr>
              <w:rPr>
                <w:rFonts w:hAnsi="游ゴシック"/>
              </w:rPr>
            </w:pPr>
            <w:r>
              <w:rPr>
                <w:rFonts w:hAnsi="游ゴシック" w:hint="eastAsia"/>
              </w:rPr>
              <w:t>1</w:t>
            </w:r>
            <w:r>
              <w:rPr>
                <w:rFonts w:hAnsi="游ゴシック"/>
              </w:rPr>
              <w:t>3.5%</w:t>
            </w:r>
          </w:p>
        </w:tc>
        <w:tc>
          <w:tcPr>
            <w:tcW w:w="939" w:type="dxa"/>
          </w:tcPr>
          <w:p w:rsidR="007776C7" w:rsidRDefault="007776C7" w:rsidP="00274523">
            <w:pPr>
              <w:rPr>
                <w:rFonts w:hAnsi="游ゴシック"/>
              </w:rPr>
            </w:pPr>
            <w:r>
              <w:rPr>
                <w:rFonts w:hAnsi="游ゴシック" w:hint="eastAsia"/>
              </w:rPr>
              <w:t>6.6％</w:t>
            </w:r>
          </w:p>
        </w:tc>
        <w:tc>
          <w:tcPr>
            <w:tcW w:w="939" w:type="dxa"/>
          </w:tcPr>
          <w:p w:rsidR="007776C7" w:rsidRDefault="007776C7" w:rsidP="00274523">
            <w:pPr>
              <w:rPr>
                <w:rFonts w:hAnsi="游ゴシック"/>
              </w:rPr>
            </w:pPr>
            <w:r>
              <w:rPr>
                <w:rFonts w:hAnsi="游ゴシック" w:hint="eastAsia"/>
              </w:rPr>
              <w:t>7</w:t>
            </w:r>
            <w:r>
              <w:rPr>
                <w:rFonts w:hAnsi="游ゴシック"/>
              </w:rPr>
              <w:t>.0%</w:t>
            </w:r>
          </w:p>
        </w:tc>
        <w:tc>
          <w:tcPr>
            <w:tcW w:w="939" w:type="dxa"/>
          </w:tcPr>
          <w:p w:rsidR="007776C7" w:rsidRDefault="007776C7" w:rsidP="00274523">
            <w:pPr>
              <w:rPr>
                <w:rFonts w:hAnsi="游ゴシック"/>
              </w:rPr>
            </w:pPr>
            <w:r>
              <w:rPr>
                <w:rFonts w:hAnsi="游ゴシック" w:hint="eastAsia"/>
              </w:rPr>
              <w:t>6</w:t>
            </w:r>
            <w:r>
              <w:rPr>
                <w:rFonts w:hAnsi="游ゴシック"/>
              </w:rPr>
              <w:t>.2%</w:t>
            </w:r>
          </w:p>
        </w:tc>
        <w:tc>
          <w:tcPr>
            <w:tcW w:w="939" w:type="dxa"/>
          </w:tcPr>
          <w:p w:rsidR="007776C7" w:rsidRDefault="007776C7" w:rsidP="00274523">
            <w:pPr>
              <w:rPr>
                <w:rFonts w:hAnsi="游ゴシック"/>
              </w:rPr>
            </w:pPr>
            <w:r>
              <w:rPr>
                <w:rFonts w:hAnsi="游ゴシック" w:hint="eastAsia"/>
              </w:rPr>
              <w:t>6</w:t>
            </w:r>
            <w:r>
              <w:rPr>
                <w:rFonts w:hAnsi="游ゴシック"/>
              </w:rPr>
              <w:t>.1%</w:t>
            </w:r>
          </w:p>
        </w:tc>
        <w:tc>
          <w:tcPr>
            <w:tcW w:w="939" w:type="dxa"/>
          </w:tcPr>
          <w:p w:rsidR="007776C7" w:rsidRDefault="007776C7" w:rsidP="00274523">
            <w:pPr>
              <w:rPr>
                <w:rFonts w:hAnsi="游ゴシック"/>
              </w:rPr>
            </w:pPr>
            <w:r>
              <w:rPr>
                <w:rFonts w:hAnsi="游ゴシック" w:hint="eastAsia"/>
              </w:rPr>
              <w:t>4</w:t>
            </w:r>
            <w:r>
              <w:rPr>
                <w:rFonts w:hAnsi="游ゴシック"/>
              </w:rPr>
              <w:t>.4%</w:t>
            </w:r>
          </w:p>
        </w:tc>
        <w:tc>
          <w:tcPr>
            <w:tcW w:w="940" w:type="dxa"/>
          </w:tcPr>
          <w:p w:rsidR="007776C7" w:rsidRDefault="007776C7" w:rsidP="00274523">
            <w:pPr>
              <w:rPr>
                <w:rFonts w:hAnsi="游ゴシック"/>
              </w:rPr>
            </w:pPr>
            <w:r>
              <w:rPr>
                <w:rFonts w:hAnsi="游ゴシック" w:hint="eastAsia"/>
              </w:rPr>
              <w:t>3</w:t>
            </w:r>
            <w:r>
              <w:rPr>
                <w:rFonts w:hAnsi="游ゴシック"/>
              </w:rPr>
              <w:t>.2%</w:t>
            </w:r>
          </w:p>
        </w:tc>
      </w:tr>
      <w:tr w:rsidR="007776C7" w:rsidTr="00274523">
        <w:tc>
          <w:tcPr>
            <w:tcW w:w="1696" w:type="dxa"/>
          </w:tcPr>
          <w:p w:rsidR="007776C7" w:rsidRDefault="007776C7" w:rsidP="00274523">
            <w:pPr>
              <w:rPr>
                <w:rFonts w:hAnsi="游ゴシック"/>
              </w:rPr>
            </w:pPr>
            <w:r>
              <w:rPr>
                <w:rFonts w:hAnsi="游ゴシック" w:hint="eastAsia"/>
              </w:rPr>
              <w:t>業界平均</w:t>
            </w:r>
          </w:p>
        </w:tc>
        <w:tc>
          <w:tcPr>
            <w:tcW w:w="939" w:type="dxa"/>
          </w:tcPr>
          <w:p w:rsidR="007776C7" w:rsidRDefault="007776C7" w:rsidP="00274523">
            <w:pPr>
              <w:rPr>
                <w:rFonts w:hAnsi="游ゴシック"/>
              </w:rPr>
            </w:pPr>
            <w:r>
              <w:rPr>
                <w:rFonts w:hAnsi="游ゴシック" w:hint="eastAsia"/>
              </w:rPr>
              <w:t>14.2％</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3.5％</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6.9％</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5.</w:t>
            </w:r>
            <w:r>
              <w:rPr>
                <w:rFonts w:hAnsi="游ゴシック"/>
              </w:rPr>
              <w:t>1</w:t>
            </w:r>
            <w:r>
              <w:rPr>
                <w:rFonts w:hAnsi="游ゴシック" w:hint="eastAsia"/>
              </w:rPr>
              <w:t>％</w:t>
            </w:r>
          </w:p>
        </w:tc>
        <w:tc>
          <w:tcPr>
            <w:tcW w:w="940" w:type="dxa"/>
          </w:tcPr>
          <w:p w:rsidR="007776C7" w:rsidRDefault="007776C7" w:rsidP="00274523">
            <w:pPr>
              <w:rPr>
                <w:rFonts w:hAnsi="游ゴシック"/>
              </w:rPr>
            </w:pPr>
          </w:p>
        </w:tc>
      </w:tr>
    </w:tbl>
    <w:p w:rsidR="00F920E3" w:rsidRDefault="00546244">
      <w:pPr>
        <w:rPr>
          <w:rFonts w:hAnsi="游ゴシック"/>
        </w:rPr>
      </w:pPr>
      <w:r>
        <w:rPr>
          <w:rFonts w:hAnsi="游ゴシック" w:hint="eastAsia"/>
        </w:rPr>
        <w:t>図7</w:t>
      </w:r>
      <w:r>
        <w:rPr>
          <w:rFonts w:hAnsi="游ゴシック"/>
        </w:rPr>
        <w:t>.</w:t>
      </w:r>
      <w:r>
        <w:rPr>
          <w:rFonts w:hAnsi="游ゴシック" w:hint="eastAsia"/>
        </w:rPr>
        <w:t>各利益率指標</w:t>
      </w:r>
    </w:p>
    <w:p w:rsidR="00F920E3" w:rsidRDefault="00F920E3">
      <w:pPr>
        <w:rPr>
          <w:rFonts w:hAnsi="游ゴシック"/>
        </w:rPr>
      </w:pPr>
    </w:p>
    <w:p w:rsidR="00D30F95" w:rsidRDefault="00103C29">
      <w:pPr>
        <w:rPr>
          <w:rFonts w:hAnsi="游ゴシック"/>
        </w:rPr>
      </w:pPr>
      <w:r>
        <w:rPr>
          <w:rFonts w:hAnsi="游ゴシック" w:hint="eastAsia"/>
        </w:rPr>
        <w:t>次に</w:t>
      </w:r>
      <w:r w:rsidR="003E5584">
        <w:rPr>
          <w:rFonts w:hAnsi="游ゴシック" w:hint="eastAsia"/>
        </w:rPr>
        <w:t>地域別営業利益と営業利益率を図</w:t>
      </w:r>
      <w:r>
        <w:rPr>
          <w:rFonts w:hAnsi="游ゴシック" w:hint="eastAsia"/>
        </w:rPr>
        <w:t>8</w:t>
      </w:r>
      <w:r w:rsidR="003E5584">
        <w:rPr>
          <w:rFonts w:hAnsi="游ゴシック" w:hint="eastAsia"/>
        </w:rPr>
        <w:t>・図</w:t>
      </w:r>
      <w:r>
        <w:rPr>
          <w:rFonts w:hAnsi="游ゴシック"/>
        </w:rPr>
        <w:t>9</w:t>
      </w:r>
      <w:r w:rsidR="003E5584">
        <w:rPr>
          <w:rFonts w:hAnsi="游ゴシック" w:hint="eastAsia"/>
        </w:rPr>
        <w:t>で示した。やはり2</w:t>
      </w:r>
      <w:r w:rsidR="003E5584">
        <w:rPr>
          <w:rFonts w:hAnsi="游ゴシック"/>
        </w:rPr>
        <w:t>01</w:t>
      </w:r>
      <w:r w:rsidR="00623241">
        <w:rPr>
          <w:rFonts w:hAnsi="游ゴシック"/>
        </w:rPr>
        <w:t>5</w:t>
      </w:r>
      <w:r w:rsidR="003E5584">
        <w:rPr>
          <w:rFonts w:hAnsi="游ゴシック" w:hint="eastAsia"/>
        </w:rPr>
        <w:t>年</w:t>
      </w:r>
      <w:r w:rsidR="00623241">
        <w:rPr>
          <w:rFonts w:hAnsi="游ゴシック" w:hint="eastAsia"/>
        </w:rPr>
        <w:t>3月期</w:t>
      </w:r>
      <w:r w:rsidR="00D30F95">
        <w:rPr>
          <w:rFonts w:hAnsi="游ゴシック" w:hint="eastAsia"/>
        </w:rPr>
        <w:t>から</w:t>
      </w:r>
      <w:r w:rsidR="003E5584">
        <w:rPr>
          <w:rFonts w:hAnsi="游ゴシック"/>
        </w:rPr>
        <w:t>20</w:t>
      </w:r>
      <w:r w:rsidR="003E5584">
        <w:rPr>
          <w:rFonts w:hAnsi="游ゴシック" w:hint="eastAsia"/>
        </w:rPr>
        <w:t>17年</w:t>
      </w:r>
      <w:r w:rsidR="00623241">
        <w:rPr>
          <w:rFonts w:hAnsi="游ゴシック" w:hint="eastAsia"/>
        </w:rPr>
        <w:t>3月期</w:t>
      </w:r>
      <w:r w:rsidR="003E5584">
        <w:rPr>
          <w:rFonts w:hAnsi="游ゴシック" w:hint="eastAsia"/>
        </w:rPr>
        <w:t>にかけて北米市場において多額の営業利益の赤字が発生して</w:t>
      </w:r>
      <w:r w:rsidR="00D30F95">
        <w:rPr>
          <w:rFonts w:hAnsi="游ゴシック" w:hint="eastAsia"/>
        </w:rPr>
        <w:t>おり、</w:t>
      </w:r>
      <w:r w:rsidR="003E5584">
        <w:rPr>
          <w:rFonts w:hAnsi="游ゴシック"/>
        </w:rPr>
        <w:t>2018</w:t>
      </w:r>
      <w:r w:rsidR="003E5584">
        <w:rPr>
          <w:rFonts w:hAnsi="游ゴシック" w:hint="eastAsia"/>
        </w:rPr>
        <w:t>年に一旦は黒字に持ち直したものの</w:t>
      </w:r>
      <w:r w:rsidR="00EA3C90">
        <w:rPr>
          <w:rFonts w:hAnsi="游ゴシック" w:hint="eastAsia"/>
        </w:rPr>
        <w:t>事業再生</w:t>
      </w:r>
      <w:r w:rsidR="003E5584">
        <w:rPr>
          <w:rFonts w:hAnsi="游ゴシック" w:hint="eastAsia"/>
        </w:rPr>
        <w:t>ADR申請を行った2</w:t>
      </w:r>
      <w:r w:rsidR="003E5584">
        <w:rPr>
          <w:rFonts w:hAnsi="游ゴシック"/>
        </w:rPr>
        <w:t>019</w:t>
      </w:r>
      <w:r w:rsidR="003E5584">
        <w:rPr>
          <w:rFonts w:hAnsi="游ゴシック" w:hint="eastAsia"/>
        </w:rPr>
        <w:t>年においては再び営業利益の赤字が発生している。</w:t>
      </w:r>
    </w:p>
    <w:p w:rsidR="00EA3C90" w:rsidRDefault="003E5584">
      <w:pPr>
        <w:rPr>
          <w:rFonts w:hAnsi="游ゴシック"/>
        </w:rPr>
      </w:pPr>
      <w:r>
        <w:rPr>
          <w:rFonts w:hAnsi="游ゴシック" w:hint="eastAsia"/>
        </w:rPr>
        <w:t>その他、欧州</w:t>
      </w:r>
      <w:r w:rsidR="000322E4">
        <w:rPr>
          <w:rFonts w:hAnsi="游ゴシック" w:hint="eastAsia"/>
        </w:rPr>
        <w:t>市場での慢性的な低利益率である。元の売上高が小さいため、全体の営業利益に与えるインパクトはそれほど大きくはないが、2</w:t>
      </w:r>
      <w:r w:rsidR="000322E4">
        <w:rPr>
          <w:rFonts w:hAnsi="游ゴシック"/>
        </w:rPr>
        <w:t>011</w:t>
      </w:r>
      <w:r w:rsidR="000322E4">
        <w:rPr>
          <w:rFonts w:hAnsi="游ゴシック" w:hint="eastAsia"/>
        </w:rPr>
        <w:t>年</w:t>
      </w:r>
      <w:r w:rsidR="00623241">
        <w:rPr>
          <w:rFonts w:hAnsi="游ゴシック" w:hint="eastAsia"/>
        </w:rPr>
        <w:t>3月期</w:t>
      </w:r>
      <w:r w:rsidR="000322E4">
        <w:rPr>
          <w:rFonts w:hAnsi="游ゴシック" w:hint="eastAsia"/>
        </w:rPr>
        <w:t>以降営業利益の赤字が続いており不採算事業</w:t>
      </w:r>
      <w:r w:rsidR="00D30F95">
        <w:rPr>
          <w:rFonts w:hAnsi="游ゴシック" w:hint="eastAsia"/>
        </w:rPr>
        <w:t>を放置して</w:t>
      </w:r>
      <w:r w:rsidR="00EA3C90">
        <w:rPr>
          <w:rFonts w:hAnsi="游ゴシック" w:hint="eastAsia"/>
        </w:rPr>
        <w:t>抜本的な改革を行わなかったかのように伺える。</w:t>
      </w:r>
    </w:p>
    <w:p w:rsidR="00BF779B" w:rsidRDefault="00BF779B">
      <w:pPr>
        <w:rPr>
          <w:rFonts w:hAnsi="游ゴシック"/>
        </w:rPr>
      </w:pPr>
      <w:r>
        <w:rPr>
          <w:noProof/>
        </w:rPr>
        <w:drawing>
          <wp:inline distT="0" distB="0" distL="0" distR="0" wp14:anchorId="741D43B1" wp14:editId="4AF59110">
            <wp:extent cx="5553075" cy="3326765"/>
            <wp:effectExtent l="0" t="0" r="9525" b="6985"/>
            <wp:docPr id="6" name="グラフ 6">
              <a:extLst xmlns:a="http://schemas.openxmlformats.org/drawingml/2006/main">
                <a:ext uri="{FF2B5EF4-FFF2-40B4-BE49-F238E27FC236}">
                  <a16:creationId xmlns:a16="http://schemas.microsoft.com/office/drawing/2014/main" id="{D361726F-17D3-4581-AB4D-F17C9352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40EA7" w:rsidRDefault="00BF779B">
      <w:pPr>
        <w:rPr>
          <w:rFonts w:hAnsi="游ゴシック"/>
        </w:rPr>
      </w:pPr>
      <w:r>
        <w:rPr>
          <w:rFonts w:hAnsi="游ゴシック" w:hint="eastAsia"/>
        </w:rPr>
        <w:t>図</w:t>
      </w:r>
      <w:r w:rsidR="00103C29">
        <w:rPr>
          <w:rFonts w:hAnsi="游ゴシック"/>
        </w:rPr>
        <w:t>8</w:t>
      </w:r>
      <w:r>
        <w:rPr>
          <w:rFonts w:hAnsi="游ゴシック"/>
        </w:rPr>
        <w:t>.</w:t>
      </w:r>
      <w:r>
        <w:rPr>
          <w:rFonts w:hAnsi="游ゴシック" w:hint="eastAsia"/>
        </w:rPr>
        <w:t>地域別営業利益推移</w:t>
      </w:r>
    </w:p>
    <w:p w:rsidR="00240EA7" w:rsidRPr="00240EA7" w:rsidRDefault="00240EA7">
      <w:pPr>
        <w:rPr>
          <w:rFonts w:hAnsi="游ゴシック"/>
        </w:rPr>
      </w:pPr>
      <w:r>
        <w:rPr>
          <w:noProof/>
        </w:rPr>
        <w:lastRenderedPageBreak/>
        <w:drawing>
          <wp:inline distT="0" distB="0" distL="0" distR="0" wp14:anchorId="11DED34B" wp14:editId="2C5C99BF">
            <wp:extent cx="5384800" cy="2997200"/>
            <wp:effectExtent l="0" t="0" r="6350" b="12700"/>
            <wp:docPr id="9" name="グラフ 9">
              <a:extLst xmlns:a="http://schemas.openxmlformats.org/drawingml/2006/main">
                <a:ext uri="{FF2B5EF4-FFF2-40B4-BE49-F238E27FC236}">
                  <a16:creationId xmlns:a16="http://schemas.microsoft.com/office/drawing/2014/main" id="{FC9DFBC3-D9B5-4278-BC9A-41381F3C1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433A0" w:rsidRDefault="00A433A0" w:rsidP="00A433A0">
      <w:pPr>
        <w:jc w:val="left"/>
        <w:rPr>
          <w:rFonts w:hAnsi="游ゴシック"/>
        </w:rPr>
      </w:pPr>
      <w:r>
        <w:rPr>
          <w:rFonts w:hAnsi="游ゴシック" w:hint="eastAsia"/>
        </w:rPr>
        <w:t>図</w:t>
      </w:r>
      <w:r w:rsidR="00103C29">
        <w:rPr>
          <w:rFonts w:hAnsi="游ゴシック"/>
        </w:rPr>
        <w:t>9</w:t>
      </w:r>
      <w:r>
        <w:rPr>
          <w:rFonts w:hAnsi="游ゴシック"/>
        </w:rPr>
        <w:t>.</w:t>
      </w:r>
      <w:r>
        <w:rPr>
          <w:rFonts w:hAnsi="游ゴシック" w:hint="eastAsia"/>
        </w:rPr>
        <w:t>地域別営業利益率推移</w:t>
      </w:r>
    </w:p>
    <w:p w:rsidR="00546244" w:rsidRDefault="00546244" w:rsidP="00A433A0">
      <w:pPr>
        <w:jc w:val="left"/>
        <w:rPr>
          <w:rFonts w:hAnsi="游ゴシック"/>
        </w:rPr>
      </w:pPr>
    </w:p>
    <w:p w:rsidR="00EA3C90" w:rsidRDefault="00EA3C90" w:rsidP="00A433A0">
      <w:pPr>
        <w:jc w:val="left"/>
        <w:rPr>
          <w:rFonts w:hAnsi="游ゴシック"/>
        </w:rPr>
      </w:pPr>
      <w:r>
        <w:rPr>
          <w:rFonts w:hAnsi="游ゴシック" w:hint="eastAsia"/>
        </w:rPr>
        <w:t>ここまでの要点を整理すると、</w:t>
      </w:r>
      <w:r w:rsidR="005E7077">
        <w:rPr>
          <w:rFonts w:hAnsi="游ゴシック" w:hint="eastAsia"/>
        </w:rPr>
        <w:t>以下の通りになる。</w:t>
      </w:r>
    </w:p>
    <w:p w:rsidR="00EA3C90" w:rsidRDefault="00EA3C90" w:rsidP="00A433A0">
      <w:pPr>
        <w:jc w:val="left"/>
        <w:rPr>
          <w:rFonts w:hAnsi="游ゴシック"/>
        </w:rPr>
      </w:pPr>
      <w:r>
        <w:rPr>
          <w:rFonts w:hAnsi="游ゴシック" w:hint="eastAsia"/>
        </w:rPr>
        <w:t>①曙ブレーキ工業の自己資本比率の低下</w:t>
      </w:r>
      <w:r w:rsidR="005E7077">
        <w:rPr>
          <w:rFonts w:hAnsi="游ゴシック" w:hint="eastAsia"/>
        </w:rPr>
        <w:t>の主因</w:t>
      </w:r>
      <w:r>
        <w:rPr>
          <w:rFonts w:hAnsi="游ゴシック" w:hint="eastAsia"/>
        </w:rPr>
        <w:t>は2015年</w:t>
      </w:r>
      <w:r w:rsidR="00623241">
        <w:rPr>
          <w:rFonts w:hAnsi="游ゴシック" w:hint="eastAsia"/>
        </w:rPr>
        <w:t>3月期</w:t>
      </w:r>
      <w:r>
        <w:rPr>
          <w:rFonts w:hAnsi="游ゴシック" w:hint="eastAsia"/>
        </w:rPr>
        <w:t>以降の北米市場での利益率の悪化にあ</w:t>
      </w:r>
      <w:r w:rsidR="005E7077">
        <w:rPr>
          <w:rFonts w:hAnsi="游ゴシック" w:hint="eastAsia"/>
        </w:rPr>
        <w:t>る。</w:t>
      </w:r>
    </w:p>
    <w:p w:rsidR="00EA3C90" w:rsidRPr="004C3612" w:rsidRDefault="00EA3C90" w:rsidP="00A433A0">
      <w:pPr>
        <w:jc w:val="left"/>
        <w:rPr>
          <w:rFonts w:hAnsi="游ゴシック" w:hint="eastAsia"/>
          <w:strike/>
        </w:rPr>
      </w:pPr>
      <w:r w:rsidRPr="004C3612">
        <w:rPr>
          <w:rFonts w:hAnsi="游ゴシック" w:hint="eastAsia"/>
          <w:strike/>
        </w:rPr>
        <w:t>②</w:t>
      </w:r>
      <w:r w:rsidR="005E7077" w:rsidRPr="004C3612">
        <w:rPr>
          <w:rFonts w:hAnsi="游ゴシック" w:hint="eastAsia"/>
          <w:strike/>
        </w:rPr>
        <w:t>北米の他欧州</w:t>
      </w:r>
      <w:r w:rsidRPr="004C3612">
        <w:rPr>
          <w:rFonts w:hAnsi="游ゴシック" w:hint="eastAsia"/>
          <w:strike/>
        </w:rPr>
        <w:t>においても低収益率</w:t>
      </w:r>
      <w:r w:rsidR="005E7077" w:rsidRPr="004C3612">
        <w:rPr>
          <w:rFonts w:hAnsi="游ゴシック" w:hint="eastAsia"/>
          <w:strike/>
        </w:rPr>
        <w:t>であり、それを放置して抜本的な改革がなされなかった可能性がある。</w:t>
      </w:r>
      <w:r w:rsidR="00681AB9">
        <w:rPr>
          <w:rFonts w:hAnsi="游ゴシック" w:hint="eastAsia"/>
          <w:strike/>
        </w:rPr>
        <w:t>(立証難しい)</w:t>
      </w:r>
      <w:bookmarkStart w:id="0" w:name="_GoBack"/>
      <w:bookmarkEnd w:id="0"/>
    </w:p>
    <w:p w:rsidR="005E7077" w:rsidRDefault="005E7077" w:rsidP="00A433A0">
      <w:pPr>
        <w:jc w:val="left"/>
        <w:rPr>
          <w:rFonts w:hAnsi="游ゴシック"/>
        </w:rPr>
      </w:pPr>
      <w:r>
        <w:rPr>
          <w:rFonts w:hAnsi="游ゴシック" w:hint="eastAsia"/>
        </w:rPr>
        <w:t>次章からはこれらについて各々分析を進めていく。</w:t>
      </w:r>
    </w:p>
    <w:p w:rsidR="001B633C" w:rsidRDefault="001B633C" w:rsidP="00A433A0">
      <w:pPr>
        <w:jc w:val="left"/>
        <w:rPr>
          <w:rFonts w:hAnsi="游ゴシック"/>
        </w:rPr>
      </w:pPr>
    </w:p>
    <w:p w:rsidR="001B633C" w:rsidRDefault="001B633C" w:rsidP="00A433A0">
      <w:pPr>
        <w:jc w:val="left"/>
        <w:rPr>
          <w:rFonts w:hAnsi="游ゴシック"/>
        </w:rPr>
      </w:pPr>
      <w:r>
        <w:rPr>
          <w:rFonts w:hAnsi="游ゴシック" w:hint="eastAsia"/>
        </w:rPr>
        <w:t>①2</w:t>
      </w:r>
      <w:r>
        <w:rPr>
          <w:rFonts w:hAnsi="游ゴシック"/>
        </w:rPr>
        <w:t>015</w:t>
      </w:r>
      <w:r>
        <w:rPr>
          <w:rFonts w:hAnsi="游ゴシック" w:hint="eastAsia"/>
        </w:rPr>
        <w:t>年</w:t>
      </w:r>
      <w:r w:rsidR="00623241">
        <w:rPr>
          <w:rFonts w:hAnsi="游ゴシック" w:hint="eastAsia"/>
        </w:rPr>
        <w:t>3月期</w:t>
      </w:r>
      <w:r>
        <w:rPr>
          <w:rFonts w:hAnsi="游ゴシック" w:hint="eastAsia"/>
        </w:rPr>
        <w:t>以降の北米市場において何が起きていたのか。</w:t>
      </w:r>
    </w:p>
    <w:p w:rsidR="00172C18" w:rsidRDefault="001B633C" w:rsidP="00A433A0">
      <w:pPr>
        <w:jc w:val="left"/>
        <w:rPr>
          <w:rFonts w:hAnsi="游ゴシック"/>
        </w:rPr>
      </w:pPr>
      <w:r>
        <w:rPr>
          <w:rFonts w:hAnsi="游ゴシック" w:hint="eastAsia"/>
        </w:rPr>
        <w:t>曙ブレーキ工業の主要事業であるブレーキは言わずもがな自動車や二輪車に使用される部品である。そのため、補修部品としての需要はあるものの基本的な売れ行きは各自動車・二輪車メーカーの</w:t>
      </w:r>
      <w:r w:rsidR="006F1F65">
        <w:rPr>
          <w:rFonts w:hAnsi="游ゴシック" w:hint="eastAsia"/>
        </w:rPr>
        <w:t>生産状況</w:t>
      </w:r>
      <w:r>
        <w:rPr>
          <w:rFonts w:hAnsi="游ゴシック" w:hint="eastAsia"/>
        </w:rPr>
        <w:t>に左右される。</w:t>
      </w:r>
      <w:r w:rsidR="00362DC5">
        <w:rPr>
          <w:rFonts w:hAnsi="游ゴシック" w:hint="eastAsia"/>
        </w:rPr>
        <w:t>図10</w:t>
      </w:r>
      <w:r w:rsidR="00172C18">
        <w:rPr>
          <w:rFonts w:hAnsi="游ゴシック" w:hint="eastAsia"/>
        </w:rPr>
        <w:t>、図1</w:t>
      </w:r>
      <w:r w:rsidR="00172C18">
        <w:rPr>
          <w:rFonts w:hAnsi="游ゴシック"/>
        </w:rPr>
        <w:t>1</w:t>
      </w:r>
      <w:r w:rsidR="00362DC5">
        <w:rPr>
          <w:rFonts w:hAnsi="游ゴシック" w:hint="eastAsia"/>
        </w:rPr>
        <w:t>にあるように曙ブレーキ工業の顧客別売上割合で米国の自動車メーカーであるGMが他のメーカーを大きく引き離して3</w:t>
      </w:r>
      <w:r w:rsidR="00362DC5">
        <w:rPr>
          <w:rFonts w:hAnsi="游ゴシック"/>
        </w:rPr>
        <w:t>0%</w:t>
      </w:r>
      <w:r w:rsidR="00362DC5">
        <w:rPr>
          <w:rFonts w:hAnsi="游ゴシック" w:hint="eastAsia"/>
        </w:rPr>
        <w:t>近くを占めている。その他のFord・Chryslerといった米国の自動車メーカーを含めると4</w:t>
      </w:r>
      <w:r w:rsidR="00362DC5">
        <w:rPr>
          <w:rFonts w:hAnsi="游ゴシック"/>
        </w:rPr>
        <w:t>0%</w:t>
      </w:r>
      <w:r w:rsidR="00362DC5">
        <w:rPr>
          <w:rFonts w:hAnsi="游ゴシック" w:hint="eastAsia"/>
        </w:rPr>
        <w:t>近くを米国の自動車メーカーが占めることとなり、</w:t>
      </w:r>
      <w:r w:rsidR="00172C18">
        <w:rPr>
          <w:rFonts w:hAnsi="游ゴシック" w:hint="eastAsia"/>
        </w:rPr>
        <w:t>日系メーカーの米国工場への供給も含めると北米市場は売上の5</w:t>
      </w:r>
      <w:r w:rsidR="00172C18">
        <w:rPr>
          <w:rFonts w:hAnsi="游ゴシック"/>
        </w:rPr>
        <w:t>0%</w:t>
      </w:r>
      <w:r w:rsidR="00172C18">
        <w:rPr>
          <w:rFonts w:hAnsi="游ゴシック" w:hint="eastAsia"/>
        </w:rPr>
        <w:t>超を占めていた。(図6参照)</w:t>
      </w:r>
    </w:p>
    <w:p w:rsidR="00362DC5" w:rsidRDefault="00E146D7" w:rsidP="00A433A0">
      <w:pPr>
        <w:jc w:val="left"/>
        <w:rPr>
          <w:rFonts w:hAnsi="游ゴシック"/>
        </w:rPr>
      </w:pPr>
      <w:r>
        <w:rPr>
          <w:rFonts w:hAnsi="游ゴシック" w:hint="eastAsia"/>
        </w:rPr>
        <w:t>曙ブレーキ工業の北米</w:t>
      </w:r>
      <w:r w:rsidR="00DE6210">
        <w:rPr>
          <w:rFonts w:hAnsi="游ゴシック" w:hint="eastAsia"/>
        </w:rPr>
        <w:t>市場での足跡は以下の通りである。</w:t>
      </w: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tbl>
      <w:tblPr>
        <w:tblStyle w:val="a4"/>
        <w:tblW w:w="8500" w:type="dxa"/>
        <w:tblLook w:val="04A0" w:firstRow="1" w:lastRow="0" w:firstColumn="1" w:lastColumn="0" w:noHBand="0" w:noVBand="1"/>
      </w:tblPr>
      <w:tblGrid>
        <w:gridCol w:w="2066"/>
        <w:gridCol w:w="3883"/>
        <w:gridCol w:w="2551"/>
      </w:tblGrid>
      <w:tr w:rsidR="007550D5" w:rsidTr="007550D5">
        <w:tc>
          <w:tcPr>
            <w:tcW w:w="2066" w:type="dxa"/>
          </w:tcPr>
          <w:p w:rsidR="007550D5" w:rsidRDefault="007550D5" w:rsidP="00E54D96">
            <w:pPr>
              <w:jc w:val="center"/>
              <w:rPr>
                <w:rFonts w:hAnsi="游ゴシック"/>
              </w:rPr>
            </w:pPr>
            <w:r>
              <w:rPr>
                <w:rFonts w:hAnsi="游ゴシック" w:hint="eastAsia"/>
              </w:rPr>
              <w:lastRenderedPageBreak/>
              <w:t>年</w:t>
            </w:r>
          </w:p>
        </w:tc>
        <w:tc>
          <w:tcPr>
            <w:tcW w:w="3883" w:type="dxa"/>
          </w:tcPr>
          <w:p w:rsidR="007550D5" w:rsidRDefault="007550D5" w:rsidP="00E54D96">
            <w:pPr>
              <w:jc w:val="center"/>
              <w:rPr>
                <w:rFonts w:hAnsi="游ゴシック"/>
              </w:rPr>
            </w:pPr>
            <w:r>
              <w:rPr>
                <w:rFonts w:hAnsi="游ゴシック" w:hint="eastAsia"/>
              </w:rPr>
              <w:t>曙ブレーキ工業での出来事</w:t>
            </w:r>
          </w:p>
        </w:tc>
        <w:tc>
          <w:tcPr>
            <w:tcW w:w="2551" w:type="dxa"/>
          </w:tcPr>
          <w:p w:rsidR="007550D5" w:rsidRPr="007550D5" w:rsidRDefault="007550D5" w:rsidP="00E54D96">
            <w:pPr>
              <w:jc w:val="center"/>
              <w:rPr>
                <w:rFonts w:hAnsi="游ゴシック"/>
              </w:rPr>
            </w:pPr>
            <w:r>
              <w:rPr>
                <w:rFonts w:hAnsi="游ゴシック" w:hint="eastAsia"/>
              </w:rPr>
              <w:t>米国市場での出来事</w:t>
            </w:r>
          </w:p>
        </w:tc>
      </w:tr>
      <w:tr w:rsidR="007550D5" w:rsidTr="007550D5">
        <w:tc>
          <w:tcPr>
            <w:tcW w:w="2066" w:type="dxa"/>
          </w:tcPr>
          <w:p w:rsidR="007550D5" w:rsidRDefault="007550D5" w:rsidP="00A433A0">
            <w:pPr>
              <w:jc w:val="left"/>
              <w:rPr>
                <w:rFonts w:hAnsi="游ゴシック"/>
              </w:rPr>
            </w:pPr>
            <w:r>
              <w:rPr>
                <w:rFonts w:hAnsi="游ゴシック" w:hint="eastAsia"/>
              </w:rPr>
              <w:t>2005年～2</w:t>
            </w:r>
            <w:r>
              <w:rPr>
                <w:rFonts w:hAnsi="游ゴシック"/>
              </w:rPr>
              <w:t>008</w:t>
            </w:r>
            <w:r>
              <w:rPr>
                <w:rFonts w:hAnsi="游ゴシック" w:hint="eastAsia"/>
              </w:rPr>
              <w:t>年</w:t>
            </w:r>
          </w:p>
          <w:p w:rsidR="007550D5" w:rsidRDefault="007550D5" w:rsidP="00A433A0">
            <w:pPr>
              <w:jc w:val="left"/>
              <w:rPr>
                <w:rFonts w:hAnsi="游ゴシック"/>
              </w:rPr>
            </w:pPr>
            <w:r>
              <w:rPr>
                <w:rFonts w:hAnsi="游ゴシック" w:hint="eastAsia"/>
              </w:rPr>
              <w:t>(2006年3月期</w:t>
            </w:r>
          </w:p>
          <w:p w:rsidR="007550D5" w:rsidRDefault="007550D5" w:rsidP="007550D5">
            <w:pPr>
              <w:jc w:val="left"/>
              <w:rPr>
                <w:rFonts w:hAnsi="游ゴシック"/>
              </w:rPr>
            </w:pPr>
            <w:r>
              <w:rPr>
                <w:rFonts w:hAnsi="游ゴシック" w:hint="eastAsia"/>
              </w:rPr>
              <w:t>～2</w:t>
            </w:r>
            <w:r>
              <w:rPr>
                <w:rFonts w:hAnsi="游ゴシック"/>
              </w:rPr>
              <w:t>009</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北米での生産拠点を3拠点から2拠点に集約</w:t>
            </w:r>
          </w:p>
        </w:tc>
        <w:tc>
          <w:tcPr>
            <w:tcW w:w="2551" w:type="dxa"/>
          </w:tcPr>
          <w:p w:rsidR="007550D5" w:rsidRDefault="007550D5" w:rsidP="00A433A0">
            <w:pPr>
              <w:jc w:val="left"/>
              <w:rPr>
                <w:rFonts w:hAnsi="游ゴシック"/>
              </w:rPr>
            </w:pPr>
            <w:r>
              <w:rPr>
                <w:rFonts w:hAnsi="游ゴシック" w:hint="eastAsia"/>
              </w:rPr>
              <w:t>リーマンショックによる自動車生産台数の大幅な減少</w:t>
            </w:r>
          </w:p>
        </w:tc>
      </w:tr>
      <w:tr w:rsidR="007550D5" w:rsidTr="007550D5">
        <w:tc>
          <w:tcPr>
            <w:tcW w:w="2066" w:type="dxa"/>
          </w:tcPr>
          <w:p w:rsidR="007550D5" w:rsidRDefault="007550D5" w:rsidP="00A433A0">
            <w:pPr>
              <w:jc w:val="left"/>
              <w:rPr>
                <w:rFonts w:hAnsi="游ゴシック"/>
              </w:rPr>
            </w:pPr>
            <w:r>
              <w:rPr>
                <w:rFonts w:hAnsi="游ゴシック" w:hint="eastAsia"/>
              </w:rPr>
              <w:t>2009年</w:t>
            </w:r>
          </w:p>
          <w:p w:rsidR="007550D5" w:rsidRDefault="007550D5" w:rsidP="00A433A0">
            <w:pPr>
              <w:jc w:val="left"/>
              <w:rPr>
                <w:rFonts w:hAnsi="游ゴシック"/>
              </w:rPr>
            </w:pPr>
            <w:r>
              <w:rPr>
                <w:rFonts w:hAnsi="游ゴシック" w:hint="eastAsia"/>
              </w:rPr>
              <w:t>(201</w:t>
            </w:r>
            <w:r w:rsidR="00717B0B">
              <w:rPr>
                <w:rFonts w:hAnsi="游ゴシック"/>
              </w:rPr>
              <w:t>0</w:t>
            </w:r>
            <w:r>
              <w:rPr>
                <w:rFonts w:hAnsi="游ゴシック" w:hint="eastAsia"/>
              </w:rPr>
              <w:t>年3月期)</w:t>
            </w:r>
          </w:p>
          <w:p w:rsidR="007550D5" w:rsidRDefault="007550D5" w:rsidP="00A433A0">
            <w:pPr>
              <w:jc w:val="left"/>
              <w:rPr>
                <w:rFonts w:hAnsi="游ゴシック"/>
              </w:rPr>
            </w:pPr>
          </w:p>
        </w:tc>
        <w:tc>
          <w:tcPr>
            <w:tcW w:w="3883" w:type="dxa"/>
          </w:tcPr>
          <w:p w:rsidR="007550D5" w:rsidRDefault="007550D5" w:rsidP="00A433A0">
            <w:pPr>
              <w:jc w:val="left"/>
              <w:rPr>
                <w:rFonts w:hAnsi="游ゴシック"/>
              </w:rPr>
            </w:pPr>
            <w:r>
              <w:rPr>
                <w:rFonts w:hAnsi="游ゴシック" w:hint="eastAsia"/>
              </w:rPr>
              <w:t>過剰生産能力最適化の為、独国自動車部品メーカーBoschから米国の事業の一部(生産2拠点、その他設備)を約17億円で取得。</w:t>
            </w:r>
          </w:p>
        </w:tc>
        <w:tc>
          <w:tcPr>
            <w:tcW w:w="2551" w:type="dxa"/>
          </w:tcPr>
          <w:p w:rsidR="007550D5" w:rsidRDefault="00550995" w:rsidP="00A433A0">
            <w:pPr>
              <w:jc w:val="left"/>
              <w:rPr>
                <w:rFonts w:hAnsi="游ゴシック"/>
              </w:rPr>
            </w:pPr>
            <w:r>
              <w:rPr>
                <w:rFonts w:hAnsi="游ゴシック" w:hint="eastAsia"/>
              </w:rPr>
              <w:t>0</w:t>
            </w:r>
            <w:r>
              <w:rPr>
                <w:rFonts w:hAnsi="游ゴシック"/>
              </w:rPr>
              <w:t>9</w:t>
            </w:r>
            <w:r>
              <w:rPr>
                <w:rFonts w:hAnsi="游ゴシック" w:hint="eastAsia"/>
              </w:rPr>
              <w:t>年の自動車生産台数がリーマンショック前の約半分に減少。(</w:t>
            </w:r>
            <w:r>
              <w:rPr>
                <w:rFonts w:hAnsi="游ゴシック"/>
              </w:rPr>
              <w:t>571</w:t>
            </w:r>
            <w:r>
              <w:rPr>
                <w:rFonts w:hAnsi="游ゴシック" w:hint="eastAsia"/>
              </w:rPr>
              <w:t>万台)</w:t>
            </w:r>
          </w:p>
        </w:tc>
      </w:tr>
      <w:tr w:rsidR="00E54D96" w:rsidTr="007550D5">
        <w:tc>
          <w:tcPr>
            <w:tcW w:w="2066" w:type="dxa"/>
          </w:tcPr>
          <w:p w:rsidR="00E54D96" w:rsidRDefault="00E54D96" w:rsidP="00A433A0">
            <w:pPr>
              <w:jc w:val="left"/>
              <w:rPr>
                <w:rFonts w:hAnsi="游ゴシック"/>
              </w:rPr>
            </w:pPr>
            <w:r>
              <w:rPr>
                <w:rFonts w:hAnsi="游ゴシック" w:hint="eastAsia"/>
              </w:rPr>
              <w:t>2</w:t>
            </w:r>
            <w:r>
              <w:rPr>
                <w:rFonts w:hAnsi="游ゴシック"/>
              </w:rPr>
              <w:t>010</w:t>
            </w:r>
            <w:r>
              <w:rPr>
                <w:rFonts w:hAnsi="游ゴシック" w:hint="eastAsia"/>
              </w:rPr>
              <w:t>年</w:t>
            </w:r>
          </w:p>
          <w:p w:rsidR="00E54D96" w:rsidRDefault="00E54D96" w:rsidP="00A433A0">
            <w:pPr>
              <w:jc w:val="left"/>
              <w:rPr>
                <w:rFonts w:hAnsi="游ゴシック"/>
              </w:rPr>
            </w:pPr>
            <w:r>
              <w:rPr>
                <w:rFonts w:hAnsi="游ゴシック" w:hint="eastAsia"/>
              </w:rPr>
              <w:t>(</w:t>
            </w:r>
            <w:r>
              <w:rPr>
                <w:rFonts w:hAnsi="游ゴシック"/>
              </w:rPr>
              <w:t>2011</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北米での売上高比率が5</w:t>
            </w:r>
            <w:r>
              <w:rPr>
                <w:rFonts w:hAnsi="游ゴシック"/>
              </w:rPr>
              <w:t>0%</w:t>
            </w:r>
            <w:r>
              <w:rPr>
                <w:rFonts w:hAnsi="游ゴシック" w:hint="eastAsia"/>
              </w:rPr>
              <w:t>に上昇。</w:t>
            </w:r>
          </w:p>
          <w:p w:rsidR="00E54D96" w:rsidRDefault="00E54D96" w:rsidP="00A433A0">
            <w:pPr>
              <w:jc w:val="left"/>
              <w:rPr>
                <w:rFonts w:hAnsi="游ゴシック"/>
              </w:rPr>
            </w:pPr>
            <w:r>
              <w:rPr>
                <w:rFonts w:hAnsi="游ゴシック" w:hint="eastAsia"/>
              </w:rPr>
              <w:t>顧客別売上割合のうちGMが7</w:t>
            </w:r>
            <w:r>
              <w:rPr>
                <w:rFonts w:hAnsi="游ゴシック"/>
              </w:rPr>
              <w:t>%</w:t>
            </w:r>
            <w:r>
              <w:rPr>
                <w:rFonts w:hAnsi="游ゴシック" w:hint="eastAsia"/>
              </w:rPr>
              <w:t>から2</w:t>
            </w:r>
            <w:r>
              <w:rPr>
                <w:rFonts w:hAnsi="游ゴシック"/>
              </w:rPr>
              <w:t>4%</w:t>
            </w:r>
            <w:r>
              <w:rPr>
                <w:rFonts w:hAnsi="游ゴシック" w:hint="eastAsia"/>
              </w:rPr>
              <w:t>、Fordが3</w:t>
            </w:r>
            <w:r>
              <w:rPr>
                <w:rFonts w:hAnsi="游ゴシック"/>
              </w:rPr>
              <w:t>%</w:t>
            </w:r>
            <w:r>
              <w:rPr>
                <w:rFonts w:hAnsi="游ゴシック" w:hint="eastAsia"/>
              </w:rPr>
              <w:t>から1</w:t>
            </w:r>
            <w:r>
              <w:rPr>
                <w:rFonts w:hAnsi="游ゴシック"/>
              </w:rPr>
              <w:t>0%</w:t>
            </w:r>
            <w:r>
              <w:rPr>
                <w:rFonts w:hAnsi="游ゴシック" w:hint="eastAsia"/>
              </w:rPr>
              <w:t>、Chryslerが2</w:t>
            </w:r>
            <w:r>
              <w:rPr>
                <w:rFonts w:hAnsi="游ゴシック"/>
              </w:rPr>
              <w:t>%</w:t>
            </w:r>
            <w:r>
              <w:rPr>
                <w:rFonts w:hAnsi="游ゴシック" w:hint="eastAsia"/>
              </w:rPr>
              <w:t>から4</w:t>
            </w:r>
            <w:r>
              <w:rPr>
                <w:rFonts w:hAnsi="游ゴシック"/>
              </w:rPr>
              <w:t>%</w:t>
            </w:r>
            <w:r>
              <w:rPr>
                <w:rFonts w:hAnsi="游ゴシック" w:hint="eastAsia"/>
              </w:rPr>
              <w:t>に上昇。</w:t>
            </w:r>
            <w:r w:rsidR="00744B81">
              <w:rPr>
                <w:rFonts w:hAnsi="游ゴシック" w:hint="eastAsia"/>
              </w:rPr>
              <w:t>(図1</w:t>
            </w:r>
            <w:r w:rsidR="00744B81">
              <w:rPr>
                <w:rFonts w:hAnsi="游ゴシック"/>
              </w:rPr>
              <w:t>1</w:t>
            </w:r>
            <w:r w:rsidR="00744B81">
              <w:rPr>
                <w:rFonts w:hAnsi="游ゴシック" w:hint="eastAsia"/>
              </w:rPr>
              <w:t>参照)</w:t>
            </w:r>
          </w:p>
        </w:tc>
        <w:tc>
          <w:tcPr>
            <w:tcW w:w="2551" w:type="dxa"/>
            <w:vMerge w:val="restart"/>
          </w:tcPr>
          <w:p w:rsidR="00E54D96" w:rsidRDefault="00E54D96" w:rsidP="00A433A0">
            <w:pPr>
              <w:jc w:val="left"/>
              <w:rPr>
                <w:rFonts w:hAnsi="游ゴシック"/>
              </w:rPr>
            </w:pPr>
            <w:r>
              <w:rPr>
                <w:rFonts w:hAnsi="游ゴシック" w:hint="eastAsia"/>
              </w:rPr>
              <w:t>連邦準備準備理事会(</w:t>
            </w:r>
            <w:r>
              <w:rPr>
                <w:rFonts w:hAnsi="游ゴシック"/>
              </w:rPr>
              <w:t>FRB</w:t>
            </w:r>
            <w:r>
              <w:rPr>
                <w:rFonts w:hAnsi="游ゴシック" w:hint="eastAsia"/>
              </w:rPr>
              <w:t>)による量的緩和政策により、経済が回復基調に。自動車ローン金利も低下。自動車の生産台数も徐々に回復する。</w:t>
            </w:r>
          </w:p>
        </w:tc>
      </w:tr>
      <w:tr w:rsidR="00E54D96" w:rsidTr="007550D5">
        <w:tc>
          <w:tcPr>
            <w:tcW w:w="2066" w:type="dxa"/>
          </w:tcPr>
          <w:p w:rsidR="00E54D96" w:rsidRDefault="00E54D96" w:rsidP="00A433A0">
            <w:pPr>
              <w:jc w:val="left"/>
              <w:rPr>
                <w:rFonts w:hAnsi="游ゴシック"/>
              </w:rPr>
            </w:pPr>
            <w:r>
              <w:rPr>
                <w:rFonts w:hAnsi="游ゴシック" w:hint="eastAsia"/>
              </w:rPr>
              <w:t>2011年</w:t>
            </w:r>
          </w:p>
          <w:p w:rsidR="00E54D96" w:rsidRPr="00C50CAB" w:rsidRDefault="00E54D96" w:rsidP="00A433A0">
            <w:pPr>
              <w:jc w:val="left"/>
              <w:rPr>
                <w:rFonts w:hAnsi="游ゴシック"/>
              </w:rPr>
            </w:pPr>
            <w:r>
              <w:rPr>
                <w:rFonts w:hAnsi="游ゴシック" w:hint="eastAsia"/>
              </w:rPr>
              <w:t>(</w:t>
            </w:r>
            <w:r>
              <w:rPr>
                <w:rFonts w:hAnsi="游ゴシック"/>
              </w:rPr>
              <w:t>2012</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Boschから譲り受けた事業のうち不採算ビジネスの受注量の増加や現在費料の高騰により5</w:t>
            </w:r>
            <w:r>
              <w:rPr>
                <w:rFonts w:hAnsi="游ゴシック"/>
              </w:rPr>
              <w:t>4</w:t>
            </w:r>
            <w:r>
              <w:rPr>
                <w:rFonts w:hAnsi="游ゴシック" w:hint="eastAsia"/>
              </w:rPr>
              <w:t>億円の営業損失が発生、減損損失1</w:t>
            </w:r>
            <w:r>
              <w:rPr>
                <w:rFonts w:hAnsi="游ゴシック"/>
              </w:rPr>
              <w:t>4</w:t>
            </w:r>
            <w:r>
              <w:rPr>
                <w:rFonts w:hAnsi="游ゴシック" w:hint="eastAsia"/>
              </w:rPr>
              <w:t>億円を計上。</w:t>
            </w:r>
          </w:p>
        </w:tc>
        <w:tc>
          <w:tcPr>
            <w:tcW w:w="2551" w:type="dxa"/>
            <w:vMerge/>
          </w:tcPr>
          <w:p w:rsidR="00E54D96" w:rsidRDefault="00E54D96" w:rsidP="00A433A0">
            <w:pPr>
              <w:jc w:val="left"/>
              <w:rPr>
                <w:rFonts w:hAnsi="游ゴシック"/>
              </w:rPr>
            </w:pPr>
          </w:p>
        </w:tc>
      </w:tr>
      <w:tr w:rsidR="007550D5" w:rsidTr="007550D5">
        <w:tc>
          <w:tcPr>
            <w:tcW w:w="2066" w:type="dxa"/>
          </w:tcPr>
          <w:p w:rsidR="007550D5" w:rsidRDefault="007550D5" w:rsidP="00A433A0">
            <w:pPr>
              <w:jc w:val="left"/>
              <w:rPr>
                <w:rFonts w:hAnsi="游ゴシック"/>
              </w:rPr>
            </w:pPr>
            <w:r>
              <w:rPr>
                <w:rFonts w:hAnsi="游ゴシック" w:hint="eastAsia"/>
              </w:rPr>
              <w:t>2012年</w:t>
            </w:r>
          </w:p>
          <w:p w:rsidR="007550D5" w:rsidRDefault="007550D5" w:rsidP="00A433A0">
            <w:pPr>
              <w:jc w:val="left"/>
              <w:rPr>
                <w:rFonts w:hAnsi="游ゴシック"/>
              </w:rPr>
            </w:pPr>
            <w:r>
              <w:rPr>
                <w:rFonts w:hAnsi="游ゴシック" w:hint="eastAsia"/>
              </w:rPr>
              <w:t>(</w:t>
            </w:r>
            <w:r>
              <w:rPr>
                <w:rFonts w:hAnsi="游ゴシック"/>
              </w:rPr>
              <w:t>2013</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不採算ビジネスの生産中止、販売価格・仕入れ価格の見直しにより営業黒字に改善。</w:t>
            </w:r>
          </w:p>
        </w:tc>
        <w:tc>
          <w:tcPr>
            <w:tcW w:w="2551" w:type="dxa"/>
          </w:tcPr>
          <w:p w:rsidR="007550D5" w:rsidRDefault="00550995" w:rsidP="00A433A0">
            <w:pPr>
              <w:jc w:val="left"/>
              <w:rPr>
                <w:rFonts w:hAnsi="游ゴシック"/>
              </w:rPr>
            </w:pPr>
            <w:r>
              <w:rPr>
                <w:rFonts w:hAnsi="游ゴシック" w:hint="eastAsia"/>
              </w:rPr>
              <w:t>12年の</w:t>
            </w:r>
            <w:r w:rsidR="00717B0B">
              <w:rPr>
                <w:rFonts w:hAnsi="游ゴシック" w:hint="eastAsia"/>
              </w:rPr>
              <w:t>自動車生産台数がリーマンショック発生以前の水準に回復</w:t>
            </w:r>
            <w:r>
              <w:rPr>
                <w:rFonts w:hAnsi="游ゴシック" w:hint="eastAsia"/>
              </w:rPr>
              <w:t>(</w:t>
            </w:r>
            <w:r>
              <w:rPr>
                <w:rFonts w:hAnsi="游ゴシック"/>
              </w:rPr>
              <w:t>1034</w:t>
            </w:r>
            <w:r>
              <w:rPr>
                <w:rFonts w:hAnsi="游ゴシック" w:hint="eastAsia"/>
              </w:rPr>
              <w:t>万台)</w:t>
            </w:r>
          </w:p>
        </w:tc>
      </w:tr>
      <w:tr w:rsidR="00550995" w:rsidTr="007550D5">
        <w:tc>
          <w:tcPr>
            <w:tcW w:w="2066" w:type="dxa"/>
          </w:tcPr>
          <w:p w:rsidR="00550995" w:rsidRDefault="00550995" w:rsidP="00A433A0">
            <w:pPr>
              <w:jc w:val="left"/>
              <w:rPr>
                <w:rFonts w:hAnsi="游ゴシック"/>
              </w:rPr>
            </w:pPr>
            <w:r>
              <w:rPr>
                <w:rFonts w:hAnsi="游ゴシック" w:hint="eastAsia"/>
              </w:rPr>
              <w:t>2013年</w:t>
            </w:r>
          </w:p>
          <w:p w:rsidR="00550995" w:rsidRDefault="00550995" w:rsidP="00A433A0">
            <w:pPr>
              <w:jc w:val="left"/>
              <w:rPr>
                <w:rFonts w:hAnsi="游ゴシック"/>
              </w:rPr>
            </w:pPr>
            <w:r>
              <w:rPr>
                <w:rFonts w:hAnsi="游ゴシック" w:hint="eastAsia"/>
              </w:rPr>
              <w:t>(</w:t>
            </w:r>
            <w:r>
              <w:rPr>
                <w:rFonts w:hAnsi="游ゴシック"/>
              </w:rPr>
              <w:t>2014</w:t>
            </w:r>
            <w:r>
              <w:rPr>
                <w:rFonts w:hAnsi="游ゴシック" w:hint="eastAsia"/>
              </w:rPr>
              <w:t>年3月期)</w:t>
            </w:r>
          </w:p>
        </w:tc>
        <w:tc>
          <w:tcPr>
            <w:tcW w:w="3883" w:type="dxa"/>
          </w:tcPr>
          <w:p w:rsidR="00550995" w:rsidRDefault="00550995" w:rsidP="00A433A0">
            <w:pPr>
              <w:jc w:val="left"/>
              <w:rPr>
                <w:rFonts w:hAnsi="游ゴシック"/>
              </w:rPr>
            </w:pPr>
            <w:r>
              <w:rPr>
                <w:rFonts w:hAnsi="游ゴシック" w:hint="eastAsia"/>
              </w:rPr>
              <w:t>北米自動車メーカーからの受注拡大。新製品の価格改定や合理化により年々に続き黒字。</w:t>
            </w:r>
          </w:p>
        </w:tc>
        <w:tc>
          <w:tcPr>
            <w:tcW w:w="2551" w:type="dxa"/>
          </w:tcPr>
          <w:p w:rsidR="00550995" w:rsidRDefault="00550995" w:rsidP="00A433A0">
            <w:pPr>
              <w:jc w:val="left"/>
              <w:rPr>
                <w:rFonts w:hAnsi="游ゴシック"/>
              </w:rPr>
            </w:pPr>
            <w:r>
              <w:rPr>
                <w:rFonts w:hAnsi="游ゴシック" w:hint="eastAsia"/>
              </w:rPr>
              <w:t>13年の自動車生産台数は1</w:t>
            </w:r>
            <w:r>
              <w:rPr>
                <w:rFonts w:hAnsi="游ゴシック"/>
              </w:rPr>
              <w:t>107</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w:t>
            </w:r>
            <w:r>
              <w:rPr>
                <w:rFonts w:hAnsi="游ゴシック"/>
              </w:rPr>
              <w:t>4</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2015</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受注が急増し売上は増収、しかし過度な生産負荷による想定外コスト36億円(人件費1</w:t>
            </w:r>
            <w:r>
              <w:rPr>
                <w:rFonts w:hAnsi="游ゴシック"/>
              </w:rPr>
              <w:t>8.5</w:t>
            </w:r>
            <w:r>
              <w:rPr>
                <w:rFonts w:hAnsi="游ゴシック" w:hint="eastAsia"/>
              </w:rPr>
              <w:t>億円、輸送費9</w:t>
            </w:r>
            <w:r>
              <w:rPr>
                <w:rFonts w:hAnsi="游ゴシック"/>
              </w:rPr>
              <w:t>.5</w:t>
            </w:r>
            <w:r>
              <w:rPr>
                <w:rFonts w:hAnsi="游ゴシック" w:hint="eastAsia"/>
              </w:rPr>
              <w:t>億円、修繕費3億円等)が発生し、3</w:t>
            </w:r>
            <w:r>
              <w:rPr>
                <w:rFonts w:hAnsi="游ゴシック"/>
              </w:rPr>
              <w:t>2</w:t>
            </w:r>
            <w:r>
              <w:rPr>
                <w:rFonts w:hAnsi="游ゴシック" w:hint="eastAsia"/>
              </w:rPr>
              <w:t>億円の営業赤字。</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4</w:t>
            </w:r>
            <w:r>
              <w:rPr>
                <w:rFonts w:hAnsi="游ゴシック" w:hint="eastAsia"/>
              </w:rPr>
              <w:t>年の自動車生産台数は1</w:t>
            </w:r>
            <w:r>
              <w:rPr>
                <w:rFonts w:hAnsi="游ゴシック"/>
              </w:rPr>
              <w:t>166</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015</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2016</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014</w:t>
            </w:r>
            <w:r>
              <w:rPr>
                <w:rFonts w:hAnsi="游ゴシック" w:hint="eastAsia"/>
              </w:rPr>
              <w:t>年に続き、生産混乱に伴う想定外コスト9</w:t>
            </w:r>
            <w:r>
              <w:rPr>
                <w:rFonts w:hAnsi="游ゴシック"/>
              </w:rPr>
              <w:t>3</w:t>
            </w:r>
            <w:r>
              <w:rPr>
                <w:rFonts w:hAnsi="游ゴシック" w:hint="eastAsia"/>
              </w:rPr>
              <w:t>億円(人件費36.5億円、輸送費36.5億円、修繕費1</w:t>
            </w:r>
            <w:r>
              <w:rPr>
                <w:rFonts w:hAnsi="游ゴシック"/>
              </w:rPr>
              <w:t>0</w:t>
            </w:r>
            <w:r>
              <w:rPr>
                <w:rFonts w:hAnsi="游ゴシック" w:hint="eastAsia"/>
              </w:rPr>
              <w:t>億円等)が発生し、1</w:t>
            </w:r>
            <w:r>
              <w:rPr>
                <w:rFonts w:hAnsi="游ゴシック"/>
              </w:rPr>
              <w:t>12</w:t>
            </w:r>
            <w:r>
              <w:rPr>
                <w:rFonts w:hAnsi="游ゴシック" w:hint="eastAsia"/>
              </w:rPr>
              <w:t>億円の営業赤字。その他114億円の減損損失を計上</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5</w:t>
            </w:r>
            <w:r>
              <w:rPr>
                <w:rFonts w:hAnsi="游ゴシック" w:hint="eastAsia"/>
              </w:rPr>
              <w:t>年の自動車生産台数は1210万台に増加</w:t>
            </w: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hint="eastAsia"/>
              </w:rPr>
            </w:pP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lastRenderedPageBreak/>
              <w:t>2</w:t>
            </w:r>
            <w:r>
              <w:rPr>
                <w:rFonts w:hAnsi="游ゴシック"/>
              </w:rPr>
              <w:t>016</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2017</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w:t>
            </w:r>
            <w:r>
              <w:rPr>
                <w:rFonts w:hAnsi="游ゴシック" w:hint="eastAsia"/>
              </w:rPr>
              <w:t>4年からの生産混乱は収束に向かい営業赤字は2</w:t>
            </w:r>
            <w:r>
              <w:rPr>
                <w:rFonts w:hAnsi="游ゴシック"/>
              </w:rPr>
              <w:t>9</w:t>
            </w:r>
            <w:r>
              <w:rPr>
                <w:rFonts w:hAnsi="游ゴシック" w:hint="eastAsia"/>
              </w:rPr>
              <w:t>億円に減少。</w:t>
            </w:r>
          </w:p>
          <w:p w:rsidR="00550995" w:rsidRDefault="00550995" w:rsidP="00550995">
            <w:pPr>
              <w:jc w:val="left"/>
              <w:rPr>
                <w:rFonts w:hAnsi="游ゴシック"/>
              </w:rPr>
            </w:pPr>
            <w:r>
              <w:rPr>
                <w:rFonts w:hAnsi="游ゴシック" w:hint="eastAsia"/>
              </w:rPr>
              <w:t>具体的には緊急輸送費は9.5億円(前年度比-2</w:t>
            </w:r>
            <w:r>
              <w:rPr>
                <w:rFonts w:hAnsi="游ゴシック"/>
              </w:rPr>
              <w:t>7</w:t>
            </w:r>
            <w:r>
              <w:rPr>
                <w:rFonts w:hAnsi="游ゴシック" w:hint="eastAsia"/>
              </w:rPr>
              <w:t>億円)に減少。しかしながら人件費は1</w:t>
            </w:r>
            <w:r>
              <w:rPr>
                <w:rFonts w:hAnsi="游ゴシック"/>
              </w:rPr>
              <w:t>2</w:t>
            </w:r>
            <w:r>
              <w:rPr>
                <w:rFonts w:hAnsi="游ゴシック" w:hint="eastAsia"/>
              </w:rPr>
              <w:t>億円増加しコンサルタント費用として2</w:t>
            </w:r>
            <w:r>
              <w:rPr>
                <w:rFonts w:hAnsi="游ゴシック"/>
              </w:rPr>
              <w:t>1</w:t>
            </w:r>
            <w:r>
              <w:rPr>
                <w:rFonts w:hAnsi="游ゴシック" w:hint="eastAsia"/>
              </w:rPr>
              <w:t>億円を計上。</w:t>
            </w:r>
          </w:p>
        </w:tc>
        <w:tc>
          <w:tcPr>
            <w:tcW w:w="2551" w:type="dxa"/>
          </w:tcPr>
          <w:p w:rsidR="00550995" w:rsidRDefault="00550995" w:rsidP="00550995">
            <w:pPr>
              <w:jc w:val="left"/>
              <w:rPr>
                <w:rFonts w:hAnsi="游ゴシック"/>
              </w:rPr>
            </w:pPr>
            <w:r>
              <w:rPr>
                <w:rFonts w:hAnsi="游ゴシック" w:hint="eastAsia"/>
              </w:rPr>
              <w:t>前年に続き自1</w:t>
            </w:r>
            <w:r>
              <w:rPr>
                <w:rFonts w:hAnsi="游ゴシック"/>
              </w:rPr>
              <w:t>6</w:t>
            </w:r>
            <w:r>
              <w:rPr>
                <w:rFonts w:hAnsi="游ゴシック" w:hint="eastAsia"/>
              </w:rPr>
              <w:t>年の動車生産台数は1219万台に増加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2017年</w:t>
            </w:r>
          </w:p>
          <w:p w:rsidR="00550995" w:rsidRDefault="00550995" w:rsidP="00550995">
            <w:pPr>
              <w:tabs>
                <w:tab w:val="left" w:pos="2790"/>
              </w:tabs>
              <w:jc w:val="left"/>
              <w:rPr>
                <w:rFonts w:hAnsi="游ゴシック"/>
              </w:rPr>
            </w:pPr>
            <w:r>
              <w:rPr>
                <w:rFonts w:hAnsi="游ゴシック" w:hint="eastAsia"/>
              </w:rPr>
              <w:t>(</w:t>
            </w:r>
            <w:r>
              <w:rPr>
                <w:rFonts w:hAnsi="游ゴシック"/>
              </w:rPr>
              <w:t>2018</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営業利益を1</w:t>
            </w:r>
            <w:r>
              <w:rPr>
                <w:rFonts w:hAnsi="游ゴシック"/>
              </w:rPr>
              <w:t>8</w:t>
            </w:r>
            <w:r>
              <w:rPr>
                <w:rFonts w:hAnsi="游ゴシック" w:hint="eastAsia"/>
              </w:rPr>
              <w:t>億円計上。3期ぶりに営業黒字となる。</w:t>
            </w:r>
          </w:p>
          <w:p w:rsidR="00550995" w:rsidRDefault="000951B7" w:rsidP="00550995">
            <w:pPr>
              <w:jc w:val="left"/>
              <w:rPr>
                <w:rFonts w:hAnsi="游ゴシック"/>
              </w:rPr>
            </w:pPr>
            <w:r>
              <w:rPr>
                <w:rFonts w:hAnsi="游ゴシック" w:hint="eastAsia"/>
              </w:rPr>
              <w:t>想定外</w:t>
            </w:r>
            <w:r w:rsidR="00550995">
              <w:rPr>
                <w:rFonts w:hAnsi="游ゴシック" w:hint="eastAsia"/>
              </w:rPr>
              <w:t>費用はなかったものの、一部の顧客より次期モデルの受注を逃し北米での売上高は前年度比-1</w:t>
            </w:r>
            <w:r w:rsidR="00550995">
              <w:rPr>
                <w:rFonts w:hAnsi="游ゴシック"/>
              </w:rPr>
              <w:t>0%</w:t>
            </w:r>
          </w:p>
        </w:tc>
        <w:tc>
          <w:tcPr>
            <w:tcW w:w="2551" w:type="dxa"/>
            <w:vMerge w:val="restart"/>
          </w:tcPr>
          <w:p w:rsidR="00550995" w:rsidRDefault="00550995" w:rsidP="00550995">
            <w:pPr>
              <w:jc w:val="left"/>
              <w:rPr>
                <w:rFonts w:hAnsi="游ゴシック"/>
              </w:rPr>
            </w:pPr>
            <w:r>
              <w:rPr>
                <w:rFonts w:hAnsi="游ゴシック" w:hint="eastAsia"/>
              </w:rPr>
              <w:t>18年3月トランプ政権が鉄鋼分野に追加関税を発動。自動車メーカーは大きなコスト増。</w:t>
            </w:r>
          </w:p>
          <w:p w:rsidR="00550995" w:rsidRDefault="00550995" w:rsidP="00550995">
            <w:pPr>
              <w:jc w:val="left"/>
              <w:rPr>
                <w:rFonts w:hAnsi="游ゴシック"/>
              </w:rPr>
            </w:pPr>
            <w:r>
              <w:rPr>
                <w:rFonts w:hAnsi="游ゴシック" w:hint="eastAsia"/>
              </w:rPr>
              <w:t>同年</w:t>
            </w:r>
            <w:r>
              <w:rPr>
                <w:rFonts w:hAnsi="游ゴシック"/>
              </w:rPr>
              <w:t>11</w:t>
            </w:r>
            <w:r>
              <w:rPr>
                <w:rFonts w:hAnsi="游ゴシック" w:hint="eastAsia"/>
              </w:rPr>
              <w:t>月GMが米国の5工場の閉鎖を発表。乗用車の生産から撤退し、SUV等に注力する方針へ。</w:t>
            </w:r>
          </w:p>
        </w:tc>
      </w:tr>
      <w:tr w:rsidR="00550995" w:rsidRPr="009C4DA9"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018</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2019</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最大の顧客であるGMの次期モデルの受注を逃す。北米での売上高は2</w:t>
            </w:r>
            <w:r>
              <w:rPr>
                <w:rFonts w:hAnsi="游ゴシック"/>
              </w:rPr>
              <w:t>04</w:t>
            </w:r>
            <w:r>
              <w:rPr>
                <w:rFonts w:hAnsi="游ゴシック" w:hint="eastAsia"/>
              </w:rPr>
              <w:t>億円減って前年度比-15％</w:t>
            </w:r>
          </w:p>
          <w:p w:rsidR="00550995" w:rsidRDefault="00550995" w:rsidP="00550995">
            <w:pPr>
              <w:jc w:val="left"/>
              <w:rPr>
                <w:rFonts w:hAnsi="游ゴシック"/>
              </w:rPr>
            </w:pPr>
            <w:r>
              <w:rPr>
                <w:rFonts w:hAnsi="游ゴシック" w:hint="eastAsia"/>
              </w:rPr>
              <w:t>減損損失136億円を計上。</w:t>
            </w:r>
          </w:p>
        </w:tc>
        <w:tc>
          <w:tcPr>
            <w:tcW w:w="2551" w:type="dxa"/>
            <w:vMerge/>
          </w:tcPr>
          <w:p w:rsidR="00550995" w:rsidRDefault="00550995" w:rsidP="00550995">
            <w:pPr>
              <w:jc w:val="left"/>
              <w:rPr>
                <w:rFonts w:hAnsi="游ゴシック"/>
              </w:rPr>
            </w:pPr>
          </w:p>
        </w:tc>
      </w:tr>
    </w:tbl>
    <w:p w:rsidR="00362DC5" w:rsidRDefault="00E54D96" w:rsidP="00A433A0">
      <w:pPr>
        <w:jc w:val="left"/>
        <w:rPr>
          <w:rFonts w:hAnsi="游ゴシック"/>
        </w:rPr>
      </w:pPr>
      <w:r>
        <w:rPr>
          <w:rFonts w:hAnsi="游ゴシック" w:hint="eastAsia"/>
        </w:rPr>
        <w:t>※これらはすべて邦貨換算後の額であるため、為替レートの変動により額が変わっている。特に前年度との増減においては整合</w:t>
      </w:r>
      <w:r w:rsidR="000650B6">
        <w:rPr>
          <w:rFonts w:hAnsi="游ゴシック" w:hint="eastAsia"/>
        </w:rPr>
        <w:t>していない</w:t>
      </w:r>
      <w:r>
        <w:rPr>
          <w:rFonts w:hAnsi="游ゴシック" w:hint="eastAsia"/>
        </w:rPr>
        <w:t>場合がある。</w:t>
      </w:r>
    </w:p>
    <w:p w:rsidR="000650B6" w:rsidRDefault="000650B6" w:rsidP="00A433A0">
      <w:pPr>
        <w:jc w:val="left"/>
        <w:rPr>
          <w:rFonts w:hAnsi="游ゴシック"/>
        </w:rPr>
      </w:pPr>
    </w:p>
    <w:p w:rsidR="008909FB" w:rsidRDefault="008B16D0" w:rsidP="00A433A0">
      <w:pPr>
        <w:jc w:val="left"/>
        <w:rPr>
          <w:rFonts w:hAnsi="游ゴシック"/>
        </w:rPr>
      </w:pPr>
      <w:r>
        <w:rPr>
          <w:rFonts w:hAnsi="游ゴシック" w:hint="eastAsia"/>
        </w:rPr>
        <w:t>2</w:t>
      </w:r>
      <w:r>
        <w:rPr>
          <w:rFonts w:hAnsi="游ゴシック"/>
        </w:rPr>
        <w:t>005</w:t>
      </w:r>
      <w:r>
        <w:rPr>
          <w:rFonts w:hAnsi="游ゴシック" w:hint="eastAsia"/>
        </w:rPr>
        <w:t>年から2</w:t>
      </w:r>
      <w:r>
        <w:rPr>
          <w:rFonts w:hAnsi="游ゴシック"/>
        </w:rPr>
        <w:t>008</w:t>
      </w:r>
      <w:r>
        <w:rPr>
          <w:rFonts w:hAnsi="游ゴシック" w:hint="eastAsia"/>
        </w:rPr>
        <w:t>年</w:t>
      </w:r>
      <w:r w:rsidR="00F53CA2">
        <w:rPr>
          <w:rFonts w:hAnsi="游ゴシック" w:hint="eastAsia"/>
        </w:rPr>
        <w:t>にかけて曙ブレーキ工業は北米での生産拠点の整理を進めており、生産拠点の集約が完了した2</w:t>
      </w:r>
      <w:r w:rsidR="00F53CA2">
        <w:rPr>
          <w:rFonts w:hAnsi="游ゴシック"/>
        </w:rPr>
        <w:t>00</w:t>
      </w:r>
      <w:r w:rsidR="00F53CA2">
        <w:rPr>
          <w:rFonts w:hAnsi="游ゴシック" w:hint="eastAsia"/>
        </w:rPr>
        <w:t>8年(</w:t>
      </w:r>
      <w:r w:rsidR="00F53CA2">
        <w:rPr>
          <w:rFonts w:hAnsi="游ゴシック"/>
        </w:rPr>
        <w:t>2009</w:t>
      </w:r>
      <w:r w:rsidR="00F53CA2">
        <w:rPr>
          <w:rFonts w:hAnsi="游ゴシック" w:hint="eastAsia"/>
        </w:rPr>
        <w:t>年3月期)には北米セグメントの従業員数は約1</w:t>
      </w:r>
      <w:r w:rsidR="00F53CA2">
        <w:rPr>
          <w:rFonts w:hAnsi="游ゴシック"/>
        </w:rPr>
        <w:t>400</w:t>
      </w:r>
      <w:r w:rsidR="00F53CA2">
        <w:rPr>
          <w:rFonts w:hAnsi="游ゴシック" w:hint="eastAsia"/>
        </w:rPr>
        <w:t>人にまで減少した。</w:t>
      </w:r>
      <w:r w:rsidR="00334280">
        <w:rPr>
          <w:rFonts w:hAnsi="游ゴシック" w:hint="eastAsia"/>
        </w:rPr>
        <w:t>(図10参照</w:t>
      </w:r>
      <w:r w:rsidR="00334280">
        <w:rPr>
          <w:rFonts w:hAnsi="游ゴシック"/>
        </w:rPr>
        <w:t>)</w:t>
      </w:r>
      <w:r w:rsidR="00F53CA2">
        <w:rPr>
          <w:rFonts w:hAnsi="游ゴシック" w:hint="eastAsia"/>
        </w:rPr>
        <w:t>しかし、翌年北米での事業整理を進めていたドイツの総合自動車部品メーカーBoschから北米事業を譲り受けた。社長インタビューによるとこれにより北米市場全体</w:t>
      </w:r>
      <w:r w:rsidR="00C55BB7">
        <w:rPr>
          <w:rFonts w:hAnsi="游ゴシック" w:hint="eastAsia"/>
        </w:rPr>
        <w:t>で過剰であった生産能力の適正化</w:t>
      </w:r>
      <w:r w:rsidR="00F53CA2">
        <w:rPr>
          <w:rFonts w:hAnsi="游ゴシック" w:hint="eastAsia"/>
        </w:rPr>
        <w:t>が可能となり、</w:t>
      </w:r>
      <w:r w:rsidR="00C55BB7">
        <w:rPr>
          <w:rFonts w:hAnsi="游ゴシック" w:hint="eastAsia"/>
        </w:rPr>
        <w:t>適正な価格・生産量でのグローバル化が進められるという見通しだった。</w:t>
      </w:r>
      <w:r w:rsidR="008909FB">
        <w:rPr>
          <w:rFonts w:hAnsi="游ゴシック" w:hint="eastAsia"/>
        </w:rPr>
        <w:t>実際に</w:t>
      </w:r>
      <w:r w:rsidR="00334280">
        <w:rPr>
          <w:rFonts w:hAnsi="游ゴシック" w:hint="eastAsia"/>
        </w:rPr>
        <w:t>北米の自動車メーカーに対する売上比率は大きく上昇した(図1</w:t>
      </w:r>
      <w:r w:rsidR="00334280">
        <w:rPr>
          <w:rFonts w:hAnsi="游ゴシック"/>
        </w:rPr>
        <w:t>1</w:t>
      </w:r>
      <w:r w:rsidR="00334280">
        <w:rPr>
          <w:rFonts w:hAnsi="游ゴシック" w:hint="eastAsia"/>
        </w:rPr>
        <w:t>、図1</w:t>
      </w:r>
      <w:r w:rsidR="00334280">
        <w:rPr>
          <w:rFonts w:hAnsi="游ゴシック"/>
        </w:rPr>
        <w:t>2</w:t>
      </w:r>
      <w:r w:rsidR="00334280">
        <w:rPr>
          <w:rFonts w:hAnsi="游ゴシック" w:hint="eastAsia"/>
        </w:rPr>
        <w:t>参照)他、</w:t>
      </w:r>
      <w:r w:rsidR="008909FB">
        <w:rPr>
          <w:rFonts w:hAnsi="游ゴシック"/>
        </w:rPr>
        <w:t>2010</w:t>
      </w:r>
      <w:r w:rsidR="008909FB">
        <w:rPr>
          <w:rFonts w:hAnsi="游ゴシック" w:hint="eastAsia"/>
        </w:rPr>
        <w:t>年度、2,012年度～2</w:t>
      </w:r>
      <w:r w:rsidR="008909FB">
        <w:rPr>
          <w:rFonts w:hAnsi="游ゴシック"/>
        </w:rPr>
        <w:t>013</w:t>
      </w:r>
      <w:r w:rsidR="008909FB">
        <w:rPr>
          <w:rFonts w:hAnsi="游ゴシック" w:hint="eastAsia"/>
        </w:rPr>
        <w:t>年度においては営業黒字となり事業の再構築は順調に行われていたと思われる。しかし、</w:t>
      </w:r>
      <w:r w:rsidR="008909FB">
        <w:rPr>
          <w:rFonts w:hAnsi="游ゴシック"/>
        </w:rPr>
        <w:t>2013</w:t>
      </w:r>
      <w:r w:rsidR="008909FB">
        <w:rPr>
          <w:rFonts w:hAnsi="游ゴシック" w:hint="eastAsia"/>
        </w:rPr>
        <w:t>年頃からの自動車販売台数の急増</w:t>
      </w:r>
      <w:r w:rsidR="00334280">
        <w:rPr>
          <w:rFonts w:hAnsi="游ゴシック" w:hint="eastAsia"/>
        </w:rPr>
        <w:t>により</w:t>
      </w:r>
      <w:r w:rsidR="008909FB">
        <w:rPr>
          <w:rFonts w:hAnsi="游ゴシック" w:hint="eastAsia"/>
        </w:rPr>
        <w:t>曙ブレーキ工業は生産能力以上の受注を獲得するに至り、工場は3直7日稼働(週</w:t>
      </w:r>
      <w:r w:rsidR="008909FB">
        <w:rPr>
          <w:rFonts w:hAnsi="游ゴシック"/>
        </w:rPr>
        <w:t>7</w:t>
      </w:r>
      <w:r w:rsidR="008909FB">
        <w:rPr>
          <w:rFonts w:hAnsi="游ゴシック" w:hint="eastAsia"/>
        </w:rPr>
        <w:t>日2</w:t>
      </w:r>
      <w:r w:rsidR="008909FB">
        <w:rPr>
          <w:rFonts w:hAnsi="游ゴシック"/>
        </w:rPr>
        <w:t>4</w:t>
      </w:r>
      <w:r w:rsidR="008909FB">
        <w:rPr>
          <w:rFonts w:hAnsi="游ゴシック" w:hint="eastAsia"/>
        </w:rPr>
        <w:t>時間勤務体制)を実施</w:t>
      </w:r>
      <w:r w:rsidR="00334280">
        <w:rPr>
          <w:rFonts w:hAnsi="游ゴシック" w:hint="eastAsia"/>
        </w:rPr>
        <w:t>せざるを得ず、</w:t>
      </w:r>
      <w:r w:rsidR="008909FB">
        <w:rPr>
          <w:rFonts w:hAnsi="游ゴシック" w:hint="eastAsia"/>
        </w:rPr>
        <w:t>臨時の従業員を大量に雇用</w:t>
      </w:r>
      <w:r w:rsidR="00334280">
        <w:rPr>
          <w:rFonts w:hAnsi="游ゴシック" w:hint="eastAsia"/>
        </w:rPr>
        <w:t>により</w:t>
      </w:r>
      <w:r w:rsidR="008909FB">
        <w:rPr>
          <w:rFonts w:hAnsi="游ゴシック" w:hint="eastAsia"/>
        </w:rPr>
        <w:t>多額の人件費が発生した。</w:t>
      </w:r>
      <w:r w:rsidR="008909FB">
        <w:rPr>
          <w:rFonts w:hAnsi="游ゴシック"/>
        </w:rPr>
        <w:t>(</w:t>
      </w:r>
      <w:r w:rsidR="008909FB">
        <w:rPr>
          <w:rFonts w:hAnsi="游ゴシック" w:hint="eastAsia"/>
        </w:rPr>
        <w:t>図1</w:t>
      </w:r>
      <w:r w:rsidR="00334280">
        <w:rPr>
          <w:rFonts w:hAnsi="游ゴシック"/>
        </w:rPr>
        <w:t>0</w:t>
      </w:r>
      <w:r w:rsidR="008909FB">
        <w:rPr>
          <w:rFonts w:hAnsi="游ゴシック" w:hint="eastAsia"/>
        </w:rPr>
        <w:t>参照)　過剰受注による影響</w:t>
      </w:r>
      <w:r w:rsidR="00861DA1">
        <w:rPr>
          <w:rFonts w:hAnsi="游ゴシック" w:hint="eastAsia"/>
        </w:rPr>
        <w:t>は他にもある。</w:t>
      </w:r>
      <w:r w:rsidR="008909FB">
        <w:rPr>
          <w:rFonts w:hAnsi="游ゴシック" w:hint="eastAsia"/>
        </w:rPr>
        <w:t>設備の連続稼働によって故障が続出し</w:t>
      </w:r>
      <w:r w:rsidR="00861DA1">
        <w:rPr>
          <w:rFonts w:hAnsi="游ゴシック" w:hint="eastAsia"/>
        </w:rPr>
        <w:t>更には</w:t>
      </w:r>
      <w:r w:rsidR="008909FB">
        <w:rPr>
          <w:rFonts w:hAnsi="游ゴシック" w:hint="eastAsia"/>
        </w:rPr>
        <w:t>修繕費の他、不良品の処分コストが発生</w:t>
      </w:r>
      <w:r w:rsidR="00861DA1">
        <w:rPr>
          <w:rFonts w:hAnsi="游ゴシック" w:hint="eastAsia"/>
        </w:rPr>
        <w:t>することとなった。その他にも製品の納期を厳守するために航空機による空輸を行ったため、緊急輸送費が発生した。</w:t>
      </w:r>
      <w:r w:rsidR="00B25C89">
        <w:rPr>
          <w:rFonts w:hAnsi="游ゴシック" w:hint="eastAsia"/>
        </w:rPr>
        <w:t>更には、</w:t>
      </w:r>
      <w:r w:rsidR="00861DA1">
        <w:rPr>
          <w:rFonts w:hAnsi="游ゴシック" w:hint="eastAsia"/>
        </w:rPr>
        <w:t>北米市場</w:t>
      </w:r>
      <w:r w:rsidR="00B25C89">
        <w:rPr>
          <w:rFonts w:hAnsi="游ゴシック" w:hint="eastAsia"/>
        </w:rPr>
        <w:t>の問題</w:t>
      </w:r>
      <w:r w:rsidR="00861DA1">
        <w:rPr>
          <w:rFonts w:hAnsi="游ゴシック" w:hint="eastAsia"/>
        </w:rPr>
        <w:t>ではないが欧州での少量生産前提のハイパフォーマンスブレーキについて想定以上の発注がなされ、生産体制の構築が間に合わず北米の工場で生産し欧州へ輸送するという手段がとられたため、全体として売上は増加したものの利益は減少する一方となってしまった。</w:t>
      </w:r>
    </w:p>
    <w:p w:rsidR="00681AB9" w:rsidRDefault="00681AB9" w:rsidP="00A433A0">
      <w:pPr>
        <w:jc w:val="left"/>
        <w:rPr>
          <w:rFonts w:hAnsi="游ゴシック" w:hint="eastAsia"/>
        </w:rPr>
      </w:pPr>
    </w:p>
    <w:p w:rsidR="00861DA1" w:rsidRDefault="00861DA1" w:rsidP="00A433A0">
      <w:pPr>
        <w:jc w:val="left"/>
        <w:rPr>
          <w:rFonts w:hAnsi="游ゴシック"/>
        </w:rPr>
      </w:pPr>
      <w:r>
        <w:rPr>
          <w:rFonts w:hAnsi="游ゴシック" w:hint="eastAsia"/>
        </w:rPr>
        <w:lastRenderedPageBreak/>
        <w:t xml:space="preserve">　そして、201</w:t>
      </w:r>
      <w:r>
        <w:rPr>
          <w:rFonts w:hAnsi="游ゴシック"/>
        </w:rPr>
        <w:t>7</w:t>
      </w:r>
      <w:r>
        <w:rPr>
          <w:rFonts w:hAnsi="游ゴシック" w:hint="eastAsia"/>
        </w:rPr>
        <w:t>年にようやく生産混乱の渦から脱したものの完成車メーカーからの信頼が低下した他、2</w:t>
      </w:r>
      <w:r>
        <w:rPr>
          <w:rFonts w:hAnsi="游ゴシック"/>
        </w:rPr>
        <w:t>018</w:t>
      </w:r>
      <w:r>
        <w:rPr>
          <w:rFonts w:hAnsi="游ゴシック" w:hint="eastAsia"/>
        </w:rPr>
        <w:t>年3月に米国政府が鉄鋼・アルミニウムについて追加関税を課したことから北米の自動車メーカーの生産拠点の閉鎖が加速した。これにより、曙ブレーキ工業は</w:t>
      </w:r>
      <w:r w:rsidR="00644362">
        <w:rPr>
          <w:rFonts w:hAnsi="游ゴシック" w:hint="eastAsia"/>
        </w:rPr>
        <w:t>北米での今後しばらくの売上高の減少が明白となり、2014年～</w:t>
      </w:r>
      <w:r w:rsidR="00644362">
        <w:rPr>
          <w:rFonts w:hAnsi="游ゴシック"/>
        </w:rPr>
        <w:t>201</w:t>
      </w:r>
      <w:r w:rsidR="00644362">
        <w:rPr>
          <w:rFonts w:hAnsi="游ゴシック" w:hint="eastAsia"/>
        </w:rPr>
        <w:t>6年の生産混乱に伴う多額の赤字の発生もあって金融機関は負債の返済計画に疑念を生じさせずにはいられなくなった。しかしながら、ブレーキ専業メーカーとしてブレーキに関する技術力や競争力はあるため廃業はせず事業再生ADRによる話し合いによって債務を整理することで事業を継続することとし</w:t>
      </w:r>
      <w:r w:rsidR="008A52E3">
        <w:rPr>
          <w:rFonts w:hAnsi="游ゴシック" w:hint="eastAsia"/>
        </w:rPr>
        <w:t>たとみられる。</w:t>
      </w:r>
    </w:p>
    <w:p w:rsidR="004C3612" w:rsidRDefault="004C3612" w:rsidP="00A433A0">
      <w:pPr>
        <w:jc w:val="left"/>
        <w:rPr>
          <w:rFonts w:hAnsi="游ゴシック"/>
        </w:rPr>
      </w:pPr>
    </w:p>
    <w:p w:rsidR="00334280" w:rsidRDefault="00334280" w:rsidP="00334280">
      <w:pPr>
        <w:jc w:val="left"/>
        <w:rPr>
          <w:rFonts w:hAnsi="游ゴシック"/>
        </w:rPr>
      </w:pPr>
      <w:r>
        <w:rPr>
          <w:noProof/>
        </w:rPr>
        <w:drawing>
          <wp:inline distT="0" distB="0" distL="0" distR="0" wp14:anchorId="5246A7E5" wp14:editId="7BA3ED68">
            <wp:extent cx="5403850" cy="2743200"/>
            <wp:effectExtent l="0" t="0" r="6350" b="0"/>
            <wp:docPr id="4" name="グラフ 4">
              <a:extLst xmlns:a="http://schemas.openxmlformats.org/drawingml/2006/main">
                <a:ext uri="{FF2B5EF4-FFF2-40B4-BE49-F238E27FC236}">
                  <a16:creationId xmlns:a16="http://schemas.microsoft.com/office/drawing/2014/main" id="{7C0DD256-EE8B-4483-B05F-B0D0F4C66E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4280" w:rsidRDefault="00334280" w:rsidP="00334280">
      <w:pPr>
        <w:jc w:val="left"/>
        <w:rPr>
          <w:rFonts w:hAnsi="游ゴシック"/>
        </w:rPr>
      </w:pPr>
      <w:r>
        <w:rPr>
          <w:rFonts w:hAnsi="游ゴシック" w:hint="eastAsia"/>
        </w:rPr>
        <w:t>図1</w:t>
      </w:r>
      <w:r>
        <w:rPr>
          <w:rFonts w:hAnsi="游ゴシック"/>
        </w:rPr>
        <w:t>0</w:t>
      </w:r>
    </w:p>
    <w:p w:rsidR="00334280" w:rsidRDefault="00334280" w:rsidP="00334280">
      <w:pPr>
        <w:jc w:val="left"/>
        <w:rPr>
          <w:rFonts w:hAnsi="游ゴシック"/>
        </w:rPr>
      </w:pPr>
      <w:r>
        <w:rPr>
          <w:noProof/>
        </w:rPr>
        <w:drawing>
          <wp:inline distT="0" distB="0" distL="0" distR="0" wp14:anchorId="5AD79A3A" wp14:editId="1C448F32">
            <wp:extent cx="5403850" cy="2743200"/>
            <wp:effectExtent l="0" t="0" r="6350" b="0"/>
            <wp:docPr id="8" name="グラフ 8">
              <a:extLst xmlns:a="http://schemas.openxmlformats.org/drawingml/2006/main">
                <a:ext uri="{FF2B5EF4-FFF2-40B4-BE49-F238E27FC236}">
                  <a16:creationId xmlns:a16="http://schemas.microsoft.com/office/drawing/2014/main" id="{8692F233-F746-4525-A18B-0D42E8905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4280" w:rsidRDefault="00334280" w:rsidP="00334280">
      <w:pPr>
        <w:jc w:val="left"/>
        <w:rPr>
          <w:rFonts w:hAnsi="游ゴシック"/>
        </w:rPr>
      </w:pPr>
      <w:r>
        <w:rPr>
          <w:rFonts w:hAnsi="游ゴシック" w:hint="eastAsia"/>
        </w:rPr>
        <w:t>図1</w:t>
      </w:r>
      <w:r>
        <w:rPr>
          <w:rFonts w:hAnsi="游ゴシック"/>
        </w:rPr>
        <w:t>1</w:t>
      </w:r>
    </w:p>
    <w:p w:rsidR="00334280" w:rsidRDefault="00334280" w:rsidP="00334280">
      <w:pPr>
        <w:jc w:val="left"/>
        <w:rPr>
          <w:rFonts w:hAnsi="游ゴシック"/>
        </w:rPr>
      </w:pPr>
      <w:r>
        <w:rPr>
          <w:noProof/>
        </w:rPr>
        <w:lastRenderedPageBreak/>
        <w:drawing>
          <wp:inline distT="0" distB="0" distL="0" distR="0" wp14:anchorId="0D3628C4" wp14:editId="71C69222">
            <wp:extent cx="5400040" cy="3147695"/>
            <wp:effectExtent l="0" t="0" r="10160" b="14605"/>
            <wp:docPr id="10" name="グラフ 10">
              <a:extLst xmlns:a="http://schemas.openxmlformats.org/drawingml/2006/main">
                <a:ext uri="{FF2B5EF4-FFF2-40B4-BE49-F238E27FC236}">
                  <a16:creationId xmlns:a16="http://schemas.microsoft.com/office/drawing/2014/main" id="{DE69BCF8-2587-4DF6-A5BA-DF670ED42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52E3" w:rsidRDefault="00334280" w:rsidP="00A433A0">
      <w:pPr>
        <w:jc w:val="left"/>
        <w:rPr>
          <w:rFonts w:hAnsi="游ゴシック"/>
        </w:rPr>
      </w:pPr>
      <w:r>
        <w:rPr>
          <w:rFonts w:hAnsi="游ゴシック" w:hint="eastAsia"/>
        </w:rPr>
        <w:t>図1</w:t>
      </w:r>
      <w:r>
        <w:rPr>
          <w:rFonts w:hAnsi="游ゴシック"/>
        </w:rPr>
        <w:t>2</w:t>
      </w:r>
    </w:p>
    <w:p w:rsidR="00854549" w:rsidRDefault="0085454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hint="eastAsia"/>
        </w:rPr>
      </w:pPr>
    </w:p>
    <w:p w:rsidR="00E54D96" w:rsidRDefault="00D13EB7" w:rsidP="00A433A0">
      <w:pPr>
        <w:jc w:val="left"/>
        <w:rPr>
          <w:rFonts w:hAnsi="游ゴシック"/>
        </w:rPr>
      </w:pPr>
      <w:r>
        <w:rPr>
          <w:rFonts w:hAnsi="游ゴシック" w:hint="eastAsia"/>
        </w:rPr>
        <w:lastRenderedPageBreak/>
        <w:t>以上のことを踏まえ、曙ブレーキ工業の北米市場での失敗の最大の要因は自動車産業の景気動向の見通しの誤りで</w:t>
      </w:r>
      <w:r w:rsidR="00C30476">
        <w:rPr>
          <w:rFonts w:hAnsi="游ゴシック" w:hint="eastAsia"/>
        </w:rPr>
        <w:t>あったと考える。北米での生産量の適正化</w:t>
      </w:r>
      <w:r w:rsidR="00B97175">
        <w:rPr>
          <w:rFonts w:hAnsi="游ゴシック" w:hint="eastAsia"/>
        </w:rPr>
        <w:t>の過程で生産拠点集約を図ったことや</w:t>
      </w:r>
      <w:r w:rsidR="00C30476">
        <w:rPr>
          <w:rFonts w:hAnsi="游ゴシック" w:hint="eastAsia"/>
        </w:rPr>
        <w:t>販売価格の適正化は一定の成果をあげていたように見えるが、その後の</w:t>
      </w:r>
      <w:r w:rsidR="00B97175">
        <w:rPr>
          <w:rFonts w:hAnsi="游ゴシック" w:hint="eastAsia"/>
        </w:rPr>
        <w:t>急な増産要求の際には裏目にでてし</w:t>
      </w:r>
      <w:r w:rsidR="008A52E3">
        <w:rPr>
          <w:rFonts w:hAnsi="游ゴシック" w:hint="eastAsia"/>
        </w:rPr>
        <w:t>まうこととなり、多額の人件費や緊急輸送費などの追加コストが発生することとなった。</w:t>
      </w:r>
      <w:r w:rsidR="00B97175">
        <w:rPr>
          <w:rFonts w:hAnsi="游ゴシック" w:hint="eastAsia"/>
        </w:rPr>
        <w:t>これは自動車メーカーとそのサプライヤーという産業のパワー関係により</w:t>
      </w:r>
      <w:r w:rsidR="00271CC8">
        <w:rPr>
          <w:rFonts w:hAnsi="游ゴシック" w:hint="eastAsia"/>
        </w:rPr>
        <w:t>、ある車種に部品が採用された以上曙ブレーキ工業は</w:t>
      </w:r>
      <w:r w:rsidR="00B97175">
        <w:rPr>
          <w:rFonts w:hAnsi="游ゴシック" w:hint="eastAsia"/>
        </w:rPr>
        <w:t>メーカー</w:t>
      </w:r>
      <w:r w:rsidR="00271CC8">
        <w:rPr>
          <w:rFonts w:hAnsi="游ゴシック" w:hint="eastAsia"/>
        </w:rPr>
        <w:t>の生産量(発注)</w:t>
      </w:r>
      <w:r w:rsidR="00B97175">
        <w:rPr>
          <w:rFonts w:hAnsi="游ゴシック" w:hint="eastAsia"/>
        </w:rPr>
        <w:t>に</w:t>
      </w:r>
      <w:r w:rsidR="00271CC8">
        <w:rPr>
          <w:rFonts w:hAnsi="游ゴシック" w:hint="eastAsia"/>
        </w:rPr>
        <w:t>応じて休日稼働や設備の保守が追いつかない状況に陥るとしても</w:t>
      </w:r>
      <w:r w:rsidR="00B97175">
        <w:rPr>
          <w:rFonts w:hAnsi="游ゴシック" w:hint="eastAsia"/>
        </w:rPr>
        <w:t>粛々と供給を行わなければなら</w:t>
      </w:r>
      <w:r w:rsidR="00271CC8">
        <w:rPr>
          <w:rFonts w:hAnsi="游ゴシック" w:hint="eastAsia"/>
        </w:rPr>
        <w:t>ないという自動車産業特有の事情も関係していたと</w:t>
      </w:r>
      <w:r w:rsidR="008A52E3">
        <w:rPr>
          <w:rFonts w:hAnsi="游ゴシック" w:hint="eastAsia"/>
        </w:rPr>
        <w:t>考える。</w:t>
      </w:r>
      <w:r w:rsidR="004C3612">
        <w:rPr>
          <w:rFonts w:hAnsi="游ゴシック" w:hint="eastAsia"/>
        </w:rPr>
        <w:t>最後に</w:t>
      </w:r>
      <w:r w:rsidR="00334280">
        <w:rPr>
          <w:rFonts w:hAnsi="游ゴシック" w:hint="eastAsia"/>
        </w:rPr>
        <w:t>これらを段階ごとに分けて整理したのが図1</w:t>
      </w:r>
      <w:r w:rsidR="00334280">
        <w:rPr>
          <w:rFonts w:hAnsi="游ゴシック"/>
        </w:rPr>
        <w:t>3</w:t>
      </w:r>
      <w:r w:rsidR="00334280">
        <w:rPr>
          <w:rFonts w:hAnsi="游ゴシック" w:hint="eastAsia"/>
        </w:rPr>
        <w:t>である。</w:t>
      </w:r>
      <w:r w:rsidR="00E54D96">
        <w:rPr>
          <w:rFonts w:hAnsi="游ゴシック"/>
          <w:noProof/>
        </w:rPr>
        <w:drawing>
          <wp:inline distT="0" distB="0" distL="0" distR="0">
            <wp:extent cx="5400040" cy="4076700"/>
            <wp:effectExtent l="0" t="19050" r="10160" b="1905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909FB" w:rsidRDefault="00334280" w:rsidP="00A433A0">
      <w:pPr>
        <w:jc w:val="left"/>
        <w:rPr>
          <w:rFonts w:hAnsi="游ゴシック"/>
        </w:rPr>
      </w:pPr>
      <w:r>
        <w:rPr>
          <w:rFonts w:hAnsi="游ゴシック" w:hint="eastAsia"/>
        </w:rPr>
        <w:t>図1</w:t>
      </w:r>
      <w:r>
        <w:rPr>
          <w:rFonts w:hAnsi="游ゴシック"/>
        </w:rPr>
        <w:t>3</w:t>
      </w:r>
      <w:r w:rsidR="00F920E3">
        <w:rPr>
          <w:rFonts w:hAnsi="游ゴシック" w:hint="eastAsia"/>
        </w:rPr>
        <w:t>.北米市場で失注までの経緯</w:t>
      </w:r>
    </w:p>
    <w:p w:rsidR="004C3612" w:rsidRPr="006F1F65" w:rsidRDefault="004C3612" w:rsidP="00A433A0">
      <w:pPr>
        <w:jc w:val="left"/>
        <w:rPr>
          <w:rFonts w:hAnsi="游ゴシック"/>
        </w:rPr>
      </w:pPr>
    </w:p>
    <w:sectPr w:rsidR="004C3612" w:rsidRPr="006F1F65" w:rsidSect="00681AB9">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6B3" w:rsidRDefault="00E006B3" w:rsidP="000951B7">
      <w:r>
        <w:separator/>
      </w:r>
    </w:p>
  </w:endnote>
  <w:endnote w:type="continuationSeparator" w:id="0">
    <w:p w:rsidR="00E006B3" w:rsidRDefault="00E006B3" w:rsidP="0009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6B3" w:rsidRDefault="00E006B3" w:rsidP="000951B7">
      <w:r>
        <w:separator/>
      </w:r>
    </w:p>
  </w:footnote>
  <w:footnote w:type="continuationSeparator" w:id="0">
    <w:p w:rsidR="00E006B3" w:rsidRDefault="00E006B3" w:rsidP="00095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6374"/>
    <w:multiLevelType w:val="hybridMultilevel"/>
    <w:tmpl w:val="68F4B9F4"/>
    <w:lvl w:ilvl="0" w:tplc="7D127F8C">
      <w:start w:val="1"/>
      <w:numFmt w:val="bullet"/>
      <w:lvlText w:val="•"/>
      <w:lvlJc w:val="left"/>
      <w:pPr>
        <w:tabs>
          <w:tab w:val="num" w:pos="720"/>
        </w:tabs>
        <w:ind w:left="720" w:hanging="360"/>
      </w:pPr>
      <w:rPr>
        <w:rFonts w:ascii="ＭＳ Ｐゴシック" w:hAnsi="ＭＳ Ｐゴシック" w:hint="default"/>
      </w:rPr>
    </w:lvl>
    <w:lvl w:ilvl="1" w:tplc="9D1E15BC" w:tentative="1">
      <w:start w:val="1"/>
      <w:numFmt w:val="bullet"/>
      <w:lvlText w:val="•"/>
      <w:lvlJc w:val="left"/>
      <w:pPr>
        <w:tabs>
          <w:tab w:val="num" w:pos="1440"/>
        </w:tabs>
        <w:ind w:left="1440" w:hanging="360"/>
      </w:pPr>
      <w:rPr>
        <w:rFonts w:ascii="ＭＳ Ｐゴシック" w:hAnsi="ＭＳ Ｐゴシック" w:hint="default"/>
      </w:rPr>
    </w:lvl>
    <w:lvl w:ilvl="2" w:tplc="36BAD2CC" w:tentative="1">
      <w:start w:val="1"/>
      <w:numFmt w:val="bullet"/>
      <w:lvlText w:val="•"/>
      <w:lvlJc w:val="left"/>
      <w:pPr>
        <w:tabs>
          <w:tab w:val="num" w:pos="2160"/>
        </w:tabs>
        <w:ind w:left="2160" w:hanging="360"/>
      </w:pPr>
      <w:rPr>
        <w:rFonts w:ascii="ＭＳ Ｐゴシック" w:hAnsi="ＭＳ Ｐゴシック" w:hint="default"/>
      </w:rPr>
    </w:lvl>
    <w:lvl w:ilvl="3" w:tplc="68644212" w:tentative="1">
      <w:start w:val="1"/>
      <w:numFmt w:val="bullet"/>
      <w:lvlText w:val="•"/>
      <w:lvlJc w:val="left"/>
      <w:pPr>
        <w:tabs>
          <w:tab w:val="num" w:pos="2880"/>
        </w:tabs>
        <w:ind w:left="2880" w:hanging="360"/>
      </w:pPr>
      <w:rPr>
        <w:rFonts w:ascii="ＭＳ Ｐゴシック" w:hAnsi="ＭＳ Ｐゴシック" w:hint="default"/>
      </w:rPr>
    </w:lvl>
    <w:lvl w:ilvl="4" w:tplc="F96AE1E0" w:tentative="1">
      <w:start w:val="1"/>
      <w:numFmt w:val="bullet"/>
      <w:lvlText w:val="•"/>
      <w:lvlJc w:val="left"/>
      <w:pPr>
        <w:tabs>
          <w:tab w:val="num" w:pos="3600"/>
        </w:tabs>
        <w:ind w:left="3600" w:hanging="360"/>
      </w:pPr>
      <w:rPr>
        <w:rFonts w:ascii="ＭＳ Ｐゴシック" w:hAnsi="ＭＳ Ｐゴシック" w:hint="default"/>
      </w:rPr>
    </w:lvl>
    <w:lvl w:ilvl="5" w:tplc="CCA6A7BA" w:tentative="1">
      <w:start w:val="1"/>
      <w:numFmt w:val="bullet"/>
      <w:lvlText w:val="•"/>
      <w:lvlJc w:val="left"/>
      <w:pPr>
        <w:tabs>
          <w:tab w:val="num" w:pos="4320"/>
        </w:tabs>
        <w:ind w:left="4320" w:hanging="360"/>
      </w:pPr>
      <w:rPr>
        <w:rFonts w:ascii="ＭＳ Ｐゴシック" w:hAnsi="ＭＳ Ｐゴシック" w:hint="default"/>
      </w:rPr>
    </w:lvl>
    <w:lvl w:ilvl="6" w:tplc="1EF87D6C" w:tentative="1">
      <w:start w:val="1"/>
      <w:numFmt w:val="bullet"/>
      <w:lvlText w:val="•"/>
      <w:lvlJc w:val="left"/>
      <w:pPr>
        <w:tabs>
          <w:tab w:val="num" w:pos="5040"/>
        </w:tabs>
        <w:ind w:left="5040" w:hanging="360"/>
      </w:pPr>
      <w:rPr>
        <w:rFonts w:ascii="ＭＳ Ｐゴシック" w:hAnsi="ＭＳ Ｐゴシック" w:hint="default"/>
      </w:rPr>
    </w:lvl>
    <w:lvl w:ilvl="7" w:tplc="067E6F32" w:tentative="1">
      <w:start w:val="1"/>
      <w:numFmt w:val="bullet"/>
      <w:lvlText w:val="•"/>
      <w:lvlJc w:val="left"/>
      <w:pPr>
        <w:tabs>
          <w:tab w:val="num" w:pos="5760"/>
        </w:tabs>
        <w:ind w:left="5760" w:hanging="360"/>
      </w:pPr>
      <w:rPr>
        <w:rFonts w:ascii="ＭＳ Ｐゴシック" w:hAnsi="ＭＳ Ｐゴシック" w:hint="default"/>
      </w:rPr>
    </w:lvl>
    <w:lvl w:ilvl="8" w:tplc="5BF41C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 w15:restartNumberingAfterBreak="0">
    <w:nsid w:val="766431FE"/>
    <w:multiLevelType w:val="hybridMultilevel"/>
    <w:tmpl w:val="251ADC36"/>
    <w:lvl w:ilvl="0" w:tplc="ABE2688C">
      <w:start w:val="1"/>
      <w:numFmt w:val="bullet"/>
      <w:lvlText w:val="•"/>
      <w:lvlJc w:val="left"/>
      <w:pPr>
        <w:tabs>
          <w:tab w:val="num" w:pos="720"/>
        </w:tabs>
        <w:ind w:left="720" w:hanging="360"/>
      </w:pPr>
      <w:rPr>
        <w:rFonts w:ascii="ＭＳ Ｐゴシック" w:hAnsi="ＭＳ Ｐゴシック" w:hint="default"/>
      </w:rPr>
    </w:lvl>
    <w:lvl w:ilvl="1" w:tplc="54860506" w:tentative="1">
      <w:start w:val="1"/>
      <w:numFmt w:val="bullet"/>
      <w:lvlText w:val="•"/>
      <w:lvlJc w:val="left"/>
      <w:pPr>
        <w:tabs>
          <w:tab w:val="num" w:pos="1440"/>
        </w:tabs>
        <w:ind w:left="1440" w:hanging="360"/>
      </w:pPr>
      <w:rPr>
        <w:rFonts w:ascii="ＭＳ Ｐゴシック" w:hAnsi="ＭＳ Ｐゴシック" w:hint="default"/>
      </w:rPr>
    </w:lvl>
    <w:lvl w:ilvl="2" w:tplc="1B807F5E" w:tentative="1">
      <w:start w:val="1"/>
      <w:numFmt w:val="bullet"/>
      <w:lvlText w:val="•"/>
      <w:lvlJc w:val="left"/>
      <w:pPr>
        <w:tabs>
          <w:tab w:val="num" w:pos="2160"/>
        </w:tabs>
        <w:ind w:left="2160" w:hanging="360"/>
      </w:pPr>
      <w:rPr>
        <w:rFonts w:ascii="ＭＳ Ｐゴシック" w:hAnsi="ＭＳ Ｐゴシック" w:hint="default"/>
      </w:rPr>
    </w:lvl>
    <w:lvl w:ilvl="3" w:tplc="9912BBBA" w:tentative="1">
      <w:start w:val="1"/>
      <w:numFmt w:val="bullet"/>
      <w:lvlText w:val="•"/>
      <w:lvlJc w:val="left"/>
      <w:pPr>
        <w:tabs>
          <w:tab w:val="num" w:pos="2880"/>
        </w:tabs>
        <w:ind w:left="2880" w:hanging="360"/>
      </w:pPr>
      <w:rPr>
        <w:rFonts w:ascii="ＭＳ Ｐゴシック" w:hAnsi="ＭＳ Ｐゴシック" w:hint="default"/>
      </w:rPr>
    </w:lvl>
    <w:lvl w:ilvl="4" w:tplc="4E907418" w:tentative="1">
      <w:start w:val="1"/>
      <w:numFmt w:val="bullet"/>
      <w:lvlText w:val="•"/>
      <w:lvlJc w:val="left"/>
      <w:pPr>
        <w:tabs>
          <w:tab w:val="num" w:pos="3600"/>
        </w:tabs>
        <w:ind w:left="3600" w:hanging="360"/>
      </w:pPr>
      <w:rPr>
        <w:rFonts w:ascii="ＭＳ Ｐゴシック" w:hAnsi="ＭＳ Ｐゴシック" w:hint="default"/>
      </w:rPr>
    </w:lvl>
    <w:lvl w:ilvl="5" w:tplc="40D0F5DA" w:tentative="1">
      <w:start w:val="1"/>
      <w:numFmt w:val="bullet"/>
      <w:lvlText w:val="•"/>
      <w:lvlJc w:val="left"/>
      <w:pPr>
        <w:tabs>
          <w:tab w:val="num" w:pos="4320"/>
        </w:tabs>
        <w:ind w:left="4320" w:hanging="360"/>
      </w:pPr>
      <w:rPr>
        <w:rFonts w:ascii="ＭＳ Ｐゴシック" w:hAnsi="ＭＳ Ｐゴシック" w:hint="default"/>
      </w:rPr>
    </w:lvl>
    <w:lvl w:ilvl="6" w:tplc="5DA276E2" w:tentative="1">
      <w:start w:val="1"/>
      <w:numFmt w:val="bullet"/>
      <w:lvlText w:val="•"/>
      <w:lvlJc w:val="left"/>
      <w:pPr>
        <w:tabs>
          <w:tab w:val="num" w:pos="5040"/>
        </w:tabs>
        <w:ind w:left="5040" w:hanging="360"/>
      </w:pPr>
      <w:rPr>
        <w:rFonts w:ascii="ＭＳ Ｐゴシック" w:hAnsi="ＭＳ Ｐゴシック" w:hint="default"/>
      </w:rPr>
    </w:lvl>
    <w:lvl w:ilvl="7" w:tplc="16982C14" w:tentative="1">
      <w:start w:val="1"/>
      <w:numFmt w:val="bullet"/>
      <w:lvlText w:val="•"/>
      <w:lvlJc w:val="left"/>
      <w:pPr>
        <w:tabs>
          <w:tab w:val="num" w:pos="5760"/>
        </w:tabs>
        <w:ind w:left="5760" w:hanging="360"/>
      </w:pPr>
      <w:rPr>
        <w:rFonts w:ascii="ＭＳ Ｐゴシック" w:hAnsi="ＭＳ Ｐゴシック" w:hint="default"/>
      </w:rPr>
    </w:lvl>
    <w:lvl w:ilvl="8" w:tplc="4114117A"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8"/>
    <w:rsid w:val="00011635"/>
    <w:rsid w:val="000322E4"/>
    <w:rsid w:val="000650B6"/>
    <w:rsid w:val="000951B7"/>
    <w:rsid w:val="000E4FC0"/>
    <w:rsid w:val="000F6DDF"/>
    <w:rsid w:val="00103C29"/>
    <w:rsid w:val="00122F15"/>
    <w:rsid w:val="00172C18"/>
    <w:rsid w:val="001811C9"/>
    <w:rsid w:val="001B633C"/>
    <w:rsid w:val="00204DF5"/>
    <w:rsid w:val="00240EA7"/>
    <w:rsid w:val="002546AE"/>
    <w:rsid w:val="00271CC8"/>
    <w:rsid w:val="00274523"/>
    <w:rsid w:val="002B0E08"/>
    <w:rsid w:val="002B3D65"/>
    <w:rsid w:val="002D3916"/>
    <w:rsid w:val="00334280"/>
    <w:rsid w:val="00362DC5"/>
    <w:rsid w:val="003670B8"/>
    <w:rsid w:val="00385E11"/>
    <w:rsid w:val="00391201"/>
    <w:rsid w:val="003D0B3C"/>
    <w:rsid w:val="003E5584"/>
    <w:rsid w:val="004617FD"/>
    <w:rsid w:val="004C3612"/>
    <w:rsid w:val="004D1C9F"/>
    <w:rsid w:val="004F4B16"/>
    <w:rsid w:val="00514CC8"/>
    <w:rsid w:val="00546244"/>
    <w:rsid w:val="00550995"/>
    <w:rsid w:val="00566B25"/>
    <w:rsid w:val="00592359"/>
    <w:rsid w:val="005D2B7A"/>
    <w:rsid w:val="005D3039"/>
    <w:rsid w:val="005E7077"/>
    <w:rsid w:val="00623241"/>
    <w:rsid w:val="00644362"/>
    <w:rsid w:val="00681AB9"/>
    <w:rsid w:val="006D4976"/>
    <w:rsid w:val="006F1F65"/>
    <w:rsid w:val="00703F2D"/>
    <w:rsid w:val="00717B0B"/>
    <w:rsid w:val="0072597B"/>
    <w:rsid w:val="007336F7"/>
    <w:rsid w:val="00744B81"/>
    <w:rsid w:val="007550D5"/>
    <w:rsid w:val="007776C7"/>
    <w:rsid w:val="007870F7"/>
    <w:rsid w:val="00790774"/>
    <w:rsid w:val="008143EF"/>
    <w:rsid w:val="00854549"/>
    <w:rsid w:val="00861DA1"/>
    <w:rsid w:val="008773D0"/>
    <w:rsid w:val="008909FB"/>
    <w:rsid w:val="008A52E3"/>
    <w:rsid w:val="008B16D0"/>
    <w:rsid w:val="008B5F8F"/>
    <w:rsid w:val="008F2507"/>
    <w:rsid w:val="00920598"/>
    <w:rsid w:val="00931D89"/>
    <w:rsid w:val="0098305A"/>
    <w:rsid w:val="009C4DA9"/>
    <w:rsid w:val="009D00A5"/>
    <w:rsid w:val="009F31C3"/>
    <w:rsid w:val="00A433A0"/>
    <w:rsid w:val="00AC39BA"/>
    <w:rsid w:val="00AE6DA1"/>
    <w:rsid w:val="00B25C89"/>
    <w:rsid w:val="00B717F5"/>
    <w:rsid w:val="00B97175"/>
    <w:rsid w:val="00BB6BBC"/>
    <w:rsid w:val="00BC2C6D"/>
    <w:rsid w:val="00BF779B"/>
    <w:rsid w:val="00C151E3"/>
    <w:rsid w:val="00C30476"/>
    <w:rsid w:val="00C44006"/>
    <w:rsid w:val="00C50CAB"/>
    <w:rsid w:val="00C55BB7"/>
    <w:rsid w:val="00CA0FC6"/>
    <w:rsid w:val="00CC51FD"/>
    <w:rsid w:val="00CD25D1"/>
    <w:rsid w:val="00D13EB7"/>
    <w:rsid w:val="00D30F95"/>
    <w:rsid w:val="00D67AD8"/>
    <w:rsid w:val="00D74F62"/>
    <w:rsid w:val="00DA1E54"/>
    <w:rsid w:val="00DD1676"/>
    <w:rsid w:val="00DE6210"/>
    <w:rsid w:val="00E006B3"/>
    <w:rsid w:val="00E146D7"/>
    <w:rsid w:val="00E30BA2"/>
    <w:rsid w:val="00E54D96"/>
    <w:rsid w:val="00E7114D"/>
    <w:rsid w:val="00EA3C90"/>
    <w:rsid w:val="00EB423C"/>
    <w:rsid w:val="00EF23D4"/>
    <w:rsid w:val="00F1490D"/>
    <w:rsid w:val="00F24019"/>
    <w:rsid w:val="00F53CA2"/>
    <w:rsid w:val="00F920E3"/>
    <w:rsid w:val="00FA4F20"/>
    <w:rsid w:val="00FA7034"/>
    <w:rsid w:val="00FE0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9F91629"/>
  <w15:chartTrackingRefBased/>
  <w15:docId w15:val="{99818662-B5AF-4FE0-BBD5-7196D364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44B81"/>
    <w:pPr>
      <w:widowControl w:val="0"/>
      <w:jc w:val="both"/>
    </w:pPr>
    <w:rPr>
      <w:rFonts w:ascii="游ゴシック" w:eastAsia="游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B8"/>
    <w:rPr>
      <w:color w:val="0000FF"/>
      <w:u w:val="single"/>
    </w:rPr>
  </w:style>
  <w:style w:type="table" w:styleId="a4">
    <w:name w:val="Table Grid"/>
    <w:basedOn w:val="a1"/>
    <w:uiPriority w:val="59"/>
    <w:rsid w:val="00CC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951B7"/>
    <w:pPr>
      <w:tabs>
        <w:tab w:val="center" w:pos="4252"/>
        <w:tab w:val="right" w:pos="8504"/>
      </w:tabs>
      <w:snapToGrid w:val="0"/>
    </w:pPr>
  </w:style>
  <w:style w:type="character" w:customStyle="1" w:styleId="a6">
    <w:name w:val="ヘッダー (文字)"/>
    <w:basedOn w:val="a0"/>
    <w:link w:val="a5"/>
    <w:uiPriority w:val="99"/>
    <w:rsid w:val="000951B7"/>
  </w:style>
  <w:style w:type="paragraph" w:styleId="a7">
    <w:name w:val="footer"/>
    <w:basedOn w:val="a"/>
    <w:link w:val="a8"/>
    <w:uiPriority w:val="99"/>
    <w:unhideWhenUsed/>
    <w:rsid w:val="000951B7"/>
    <w:pPr>
      <w:tabs>
        <w:tab w:val="center" w:pos="4252"/>
        <w:tab w:val="right" w:pos="8504"/>
      </w:tabs>
      <w:snapToGrid w:val="0"/>
    </w:pPr>
  </w:style>
  <w:style w:type="character" w:customStyle="1" w:styleId="a8">
    <w:name w:val="フッター (文字)"/>
    <w:basedOn w:val="a0"/>
    <w:link w:val="a7"/>
    <w:uiPriority w:val="99"/>
    <w:rsid w:val="000951B7"/>
  </w:style>
  <w:style w:type="paragraph" w:styleId="a9">
    <w:name w:val="Balloon Text"/>
    <w:basedOn w:val="a"/>
    <w:link w:val="aa"/>
    <w:uiPriority w:val="99"/>
    <w:semiHidden/>
    <w:unhideWhenUsed/>
    <w:rsid w:val="00681AB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81AB9"/>
    <w:rPr>
      <w:rFonts w:asciiTheme="majorHAnsi"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16047">
      <w:bodyDiv w:val="1"/>
      <w:marLeft w:val="0"/>
      <w:marRight w:val="0"/>
      <w:marTop w:val="0"/>
      <w:marBottom w:val="0"/>
      <w:divBdr>
        <w:top w:val="none" w:sz="0" w:space="0" w:color="auto"/>
        <w:left w:val="none" w:sz="0" w:space="0" w:color="auto"/>
        <w:bottom w:val="none" w:sz="0" w:space="0" w:color="auto"/>
        <w:right w:val="none" w:sz="0" w:space="0" w:color="auto"/>
      </w:divBdr>
      <w:divsChild>
        <w:div w:id="2090425878">
          <w:marLeft w:val="547"/>
          <w:marRight w:val="0"/>
          <w:marTop w:val="0"/>
          <w:marBottom w:val="0"/>
          <w:divBdr>
            <w:top w:val="none" w:sz="0" w:space="0" w:color="auto"/>
            <w:left w:val="none" w:sz="0" w:space="0" w:color="auto"/>
            <w:bottom w:val="none" w:sz="0" w:space="0" w:color="auto"/>
            <w:right w:val="none" w:sz="0" w:space="0" w:color="auto"/>
          </w:divBdr>
        </w:div>
      </w:divsChild>
    </w:div>
    <w:div w:id="1529441439">
      <w:bodyDiv w:val="1"/>
      <w:marLeft w:val="0"/>
      <w:marRight w:val="0"/>
      <w:marTop w:val="0"/>
      <w:marBottom w:val="0"/>
      <w:divBdr>
        <w:top w:val="none" w:sz="0" w:space="0" w:color="auto"/>
        <w:left w:val="none" w:sz="0" w:space="0" w:color="auto"/>
        <w:bottom w:val="none" w:sz="0" w:space="0" w:color="auto"/>
        <w:right w:val="none" w:sz="0" w:space="0" w:color="auto"/>
      </w:divBdr>
      <w:divsChild>
        <w:div w:id="1240863758">
          <w:marLeft w:val="547"/>
          <w:marRight w:val="0"/>
          <w:marTop w:val="0"/>
          <w:marBottom w:val="0"/>
          <w:divBdr>
            <w:top w:val="none" w:sz="0" w:space="0" w:color="auto"/>
            <w:left w:val="none" w:sz="0" w:space="0" w:color="auto"/>
            <w:bottom w:val="none" w:sz="0" w:space="0" w:color="auto"/>
            <w:right w:val="none" w:sz="0" w:space="0" w:color="auto"/>
          </w:divBdr>
        </w:div>
      </w:divsChild>
    </w:div>
    <w:div w:id="1621453014">
      <w:bodyDiv w:val="1"/>
      <w:marLeft w:val="0"/>
      <w:marRight w:val="0"/>
      <w:marTop w:val="0"/>
      <w:marBottom w:val="0"/>
      <w:divBdr>
        <w:top w:val="none" w:sz="0" w:space="0" w:color="auto"/>
        <w:left w:val="none" w:sz="0" w:space="0" w:color="auto"/>
        <w:bottom w:val="none" w:sz="0" w:space="0" w:color="auto"/>
        <w:right w:val="none" w:sz="0" w:space="0" w:color="auto"/>
      </w:divBdr>
      <w:divsChild>
        <w:div w:id="1246308166">
          <w:marLeft w:val="547"/>
          <w:marRight w:val="0"/>
          <w:marTop w:val="0"/>
          <w:marBottom w:val="0"/>
          <w:divBdr>
            <w:top w:val="none" w:sz="0" w:space="0" w:color="auto"/>
            <w:left w:val="none" w:sz="0" w:space="0" w:color="auto"/>
            <w:bottom w:val="none" w:sz="0" w:space="0" w:color="auto"/>
            <w:right w:val="none" w:sz="0" w:space="0" w:color="auto"/>
          </w:divBdr>
        </w:div>
        <w:div w:id="1288463443">
          <w:marLeft w:val="547"/>
          <w:marRight w:val="0"/>
          <w:marTop w:val="0"/>
          <w:marBottom w:val="0"/>
          <w:divBdr>
            <w:top w:val="none" w:sz="0" w:space="0" w:color="auto"/>
            <w:left w:val="none" w:sz="0" w:space="0" w:color="auto"/>
            <w:bottom w:val="none" w:sz="0" w:space="0" w:color="auto"/>
            <w:right w:val="none" w:sz="0" w:space="0" w:color="auto"/>
          </w:divBdr>
        </w:div>
      </w:divsChild>
    </w:div>
    <w:div w:id="1934433539">
      <w:bodyDiv w:val="1"/>
      <w:marLeft w:val="0"/>
      <w:marRight w:val="0"/>
      <w:marTop w:val="0"/>
      <w:marBottom w:val="0"/>
      <w:divBdr>
        <w:top w:val="none" w:sz="0" w:space="0" w:color="auto"/>
        <w:left w:val="none" w:sz="0" w:space="0" w:color="auto"/>
        <w:bottom w:val="none" w:sz="0" w:space="0" w:color="auto"/>
        <w:right w:val="none" w:sz="0" w:space="0" w:color="auto"/>
      </w:divBdr>
      <w:divsChild>
        <w:div w:id="39632120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5.xml"/><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microsoft.com/office/2007/relationships/diagramDrawing" Target="diagrams/drawing2.xml"/><Relationship Id="rId10" Type="http://schemas.openxmlformats.org/officeDocument/2006/relationships/diagramQuickStyle" Target="diagrams/quickStyle1.xml"/><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Colors" Target="diagrams/colors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latin typeface="游ゴシック" panose="020B0400000000000000" pitchFamily="50" charset="-128"/>
                <a:ea typeface="游ゴシック" panose="020B0400000000000000" pitchFamily="50" charset="-128"/>
              </a:rPr>
              <a:t>自己資本比率</a:t>
            </a:r>
          </a:p>
        </c:rich>
      </c:tx>
      <c:layout>
        <c:manualLayout>
          <c:xMode val="edge"/>
          <c:yMode val="edge"/>
          <c:x val="0.3833333333333333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761592300962374E-2"/>
          <c:y val="0.12037037037037036"/>
          <c:w val="0.8782384076990376"/>
          <c:h val="0.64723024205307667"/>
        </c:manualLayout>
      </c:layou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連結財務パフォーマンス!$B$7:$L$7</c:f>
              <c:numCache>
                <c:formatCode>#,##0.0_ </c:formatCode>
                <c:ptCount val="11"/>
                <c:pt idx="0">
                  <c:v>17.600000000000001</c:v>
                </c:pt>
                <c:pt idx="1">
                  <c:v>26.7</c:v>
                </c:pt>
                <c:pt idx="2">
                  <c:v>25.4</c:v>
                </c:pt>
                <c:pt idx="3">
                  <c:v>23.9</c:v>
                </c:pt>
                <c:pt idx="4">
                  <c:v>24.9</c:v>
                </c:pt>
                <c:pt idx="5">
                  <c:v>26.4</c:v>
                </c:pt>
                <c:pt idx="6">
                  <c:v>23.9</c:v>
                </c:pt>
                <c:pt idx="7">
                  <c:v>11.6</c:v>
                </c:pt>
                <c:pt idx="8">
                  <c:v>12.4</c:v>
                </c:pt>
                <c:pt idx="9">
                  <c:v>13.9</c:v>
                </c:pt>
                <c:pt idx="10">
                  <c:v>1.7</c:v>
                </c:pt>
              </c:numCache>
            </c:numRef>
          </c:val>
          <c:smooth val="0"/>
          <c:extLst>
            <c:ext xmlns:c16="http://schemas.microsoft.com/office/drawing/2014/chart" uri="{C3380CC4-5D6E-409C-BE32-E72D297353CC}">
              <c16:uniqueId val="{00000000-E4DD-47BA-93F5-1F1B9C72D945}"/>
            </c:ext>
          </c:extLst>
        </c:ser>
        <c:ser>
          <c:idx val="1"/>
          <c:order val="1"/>
          <c:tx>
            <c:v>業界平均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同業平均!$ED$3:$ED$12</c:f>
              <c:numCache>
                <c:formatCode>General</c:formatCode>
                <c:ptCount val="10"/>
                <c:pt idx="0">
                  <c:v>49.2</c:v>
                </c:pt>
                <c:pt idx="1">
                  <c:v>51.7</c:v>
                </c:pt>
                <c:pt idx="2">
                  <c:v>48.9</c:v>
                </c:pt>
                <c:pt idx="3">
                  <c:v>52</c:v>
                </c:pt>
                <c:pt idx="4">
                  <c:v>53.8</c:v>
                </c:pt>
                <c:pt idx="5">
                  <c:v>56.3</c:v>
                </c:pt>
                <c:pt idx="6">
                  <c:v>56.5</c:v>
                </c:pt>
                <c:pt idx="7">
                  <c:v>56.6</c:v>
                </c:pt>
                <c:pt idx="8">
                  <c:v>57.5</c:v>
                </c:pt>
                <c:pt idx="9">
                  <c:v>57.3</c:v>
                </c:pt>
              </c:numCache>
            </c:numRef>
          </c:val>
          <c:smooth val="0"/>
          <c:extLst>
            <c:ext xmlns:c16="http://schemas.microsoft.com/office/drawing/2014/chart" uri="{C3380CC4-5D6E-409C-BE32-E72D297353CC}">
              <c16:uniqueId val="{00000001-E4DD-47BA-93F5-1F1B9C72D945}"/>
            </c:ext>
          </c:extLst>
        </c:ser>
        <c:dLbls>
          <c:dLblPos val="t"/>
          <c:showLegendKey val="0"/>
          <c:showVal val="1"/>
          <c:showCatName val="0"/>
          <c:showSerName val="0"/>
          <c:showPercent val="0"/>
          <c:showBubbleSize val="0"/>
        </c:dLbls>
        <c:marker val="1"/>
        <c:smooth val="0"/>
        <c:axId val="565266888"/>
        <c:axId val="565264920"/>
      </c:lineChart>
      <c:dateAx>
        <c:axId val="56526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4920"/>
        <c:crosses val="autoZero"/>
        <c:auto val="0"/>
        <c:lblOffset val="100"/>
        <c:baseTimeUnit val="years"/>
      </c:dateAx>
      <c:valAx>
        <c:axId val="5652649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6888"/>
        <c:crosses val="autoZero"/>
        <c:crossBetween val="between"/>
      </c:valAx>
      <c:spPr>
        <a:noFill/>
        <a:ln>
          <a:noFill/>
        </a:ln>
        <a:effectLst/>
      </c:spPr>
    </c:plotArea>
    <c:legend>
      <c:legendPos val="r"/>
      <c:layout>
        <c:manualLayout>
          <c:xMode val="edge"/>
          <c:yMode val="edge"/>
          <c:x val="0.49039059502712973"/>
          <c:y val="0.92928186060075824"/>
          <c:w val="0.50960940497287022"/>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北米市場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9F8E-436F-AC9D-B4763EFE71EF}"/>
            </c:ext>
          </c:extLst>
        </c:ser>
        <c:ser>
          <c:idx val="1"/>
          <c:order val="1"/>
          <c:tx>
            <c:strRef>
              <c:f>地域別業績!$A$88</c:f>
              <c:strCache>
                <c:ptCount val="1"/>
                <c:pt idx="0">
                  <c:v>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1-9F8E-436F-AC9D-B4763EFE71EF}"/>
            </c:ext>
          </c:extLst>
        </c:ser>
        <c:ser>
          <c:idx val="2"/>
          <c:order val="2"/>
          <c:tx>
            <c:strRef>
              <c:f>地域別業績!$A$90</c:f>
              <c:strCache>
                <c:ptCount val="1"/>
                <c:pt idx="0">
                  <c:v>Chrysler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2-9F8E-436F-AC9D-B4763EFE71EF}"/>
            </c:ext>
          </c:extLst>
        </c:ser>
        <c:dLbls>
          <c:showLegendKey val="0"/>
          <c:showVal val="0"/>
          <c:showCatName val="0"/>
          <c:showSerName val="0"/>
          <c:showPercent val="0"/>
          <c:showBubbleSize val="0"/>
        </c:dLbls>
        <c:marker val="1"/>
        <c:smooth val="0"/>
        <c:axId val="805581504"/>
        <c:axId val="805587408"/>
      </c:lineChart>
      <c:catAx>
        <c:axId val="805581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7408"/>
        <c:crosses val="autoZero"/>
        <c:auto val="1"/>
        <c:lblAlgn val="ctr"/>
        <c:lblOffset val="100"/>
        <c:noMultiLvlLbl val="0"/>
      </c:catAx>
      <c:valAx>
        <c:axId val="805587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北米従業員数</a:t>
            </a:r>
          </a:p>
        </c:rich>
      </c:tx>
      <c:layout>
        <c:manualLayout>
          <c:xMode val="edge"/>
          <c:yMode val="edge"/>
          <c:x val="0.36073598676877722"/>
          <c:y val="2.7777803434394746E-2"/>
        </c:manualLayout>
      </c:layout>
      <c:overlay val="0"/>
      <c:spPr>
        <a:noFill/>
        <a:ln>
          <a:noFill/>
        </a:ln>
        <a:effectLst/>
      </c:spPr>
    </c:title>
    <c:autoTitleDeleted val="0"/>
    <c:plotArea>
      <c:layout>
        <c:manualLayout>
          <c:layoutTarget val="inner"/>
          <c:xMode val="edge"/>
          <c:yMode val="edge"/>
          <c:x val="8.3580927384076992E-2"/>
          <c:y val="0.15730143702711646"/>
          <c:w val="0.87865507436570423"/>
          <c:h val="0.55967457147035515"/>
        </c:manualLayout>
      </c:layout>
      <c:lineChart>
        <c:grouping val="standard"/>
        <c:varyColors val="0"/>
        <c:ser>
          <c:idx val="0"/>
          <c:order val="0"/>
          <c:tx>
            <c:v>従業員数</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連結業績予想!$G$4:$R$4</c:f>
              <c:numCache>
                <c:formatCode>General</c:formatCode>
                <c:ptCount val="12"/>
                <c:pt idx="0">
                  <c:v>2003</c:v>
                </c:pt>
                <c:pt idx="1">
                  <c:v>1436</c:v>
                </c:pt>
                <c:pt idx="2">
                  <c:v>2348</c:v>
                </c:pt>
                <c:pt idx="3">
                  <c:v>2894</c:v>
                </c:pt>
                <c:pt idx="4">
                  <c:v>2880</c:v>
                </c:pt>
                <c:pt idx="5">
                  <c:v>3068</c:v>
                </c:pt>
                <c:pt idx="6">
                  <c:v>3174</c:v>
                </c:pt>
                <c:pt idx="7">
                  <c:v>3437</c:v>
                </c:pt>
                <c:pt idx="8">
                  <c:v>3590</c:v>
                </c:pt>
                <c:pt idx="9">
                  <c:v>3648</c:v>
                </c:pt>
                <c:pt idx="10">
                  <c:v>3453</c:v>
                </c:pt>
                <c:pt idx="11">
                  <c:v>2989</c:v>
                </c:pt>
              </c:numCache>
            </c:numRef>
          </c:val>
          <c:smooth val="0"/>
          <c:extLst>
            <c:ext xmlns:c16="http://schemas.microsoft.com/office/drawing/2014/chart" uri="{C3380CC4-5D6E-409C-BE32-E72D297353CC}">
              <c16:uniqueId val="{00000000-8F2E-43E6-BD17-09CCE0C0EDE6}"/>
            </c:ext>
          </c:extLst>
        </c:ser>
        <c:dLbls>
          <c:showLegendKey val="0"/>
          <c:showVal val="1"/>
          <c:showCatName val="0"/>
          <c:showSerName val="0"/>
          <c:showPercent val="0"/>
          <c:showBubbleSize val="0"/>
        </c:dLbls>
        <c:marker val="1"/>
        <c:smooth val="0"/>
        <c:axId val="606451280"/>
        <c:axId val="1"/>
      </c:lineChart>
      <c:lineChart>
        <c:grouping val="standard"/>
        <c:varyColors val="0"/>
        <c:ser>
          <c:idx val="1"/>
          <c:order val="1"/>
          <c:tx>
            <c:v>うち臨時従業員(平均)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連結業績予想!$G$5:$R$5</c:f>
              <c:numCache>
                <c:formatCode>General</c:formatCode>
                <c:ptCount val="12"/>
                <c:pt idx="3">
                  <c:v>457</c:v>
                </c:pt>
                <c:pt idx="4">
                  <c:v>451</c:v>
                </c:pt>
                <c:pt idx="5">
                  <c:v>455</c:v>
                </c:pt>
                <c:pt idx="6">
                  <c:v>543</c:v>
                </c:pt>
                <c:pt idx="7">
                  <c:v>805</c:v>
                </c:pt>
                <c:pt idx="8">
                  <c:v>781</c:v>
                </c:pt>
                <c:pt idx="9">
                  <c:v>690</c:v>
                </c:pt>
                <c:pt idx="10">
                  <c:v>575</c:v>
                </c:pt>
                <c:pt idx="11">
                  <c:v>441</c:v>
                </c:pt>
              </c:numCache>
            </c:numRef>
          </c:val>
          <c:smooth val="0"/>
          <c:extLst>
            <c:ext xmlns:c16="http://schemas.microsoft.com/office/drawing/2014/chart" uri="{C3380CC4-5D6E-409C-BE32-E72D297353CC}">
              <c16:uniqueId val="{00000001-8F2E-43E6-BD17-09CCE0C0EDE6}"/>
            </c:ext>
          </c:extLst>
        </c:ser>
        <c:dLbls>
          <c:showLegendKey val="0"/>
          <c:showVal val="1"/>
          <c:showCatName val="0"/>
          <c:showSerName val="0"/>
          <c:showPercent val="0"/>
          <c:showBubbleSize val="0"/>
        </c:dLbls>
        <c:marker val="1"/>
        <c:smooth val="0"/>
        <c:axId val="3"/>
        <c:axId val="4"/>
      </c:lineChart>
      <c:catAx>
        <c:axId val="6064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0645128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max val="1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3"/>
        <c:crosses val="max"/>
        <c:crossBetween val="between"/>
      </c:valAx>
      <c:spPr>
        <a:noFill/>
        <a:ln w="25400">
          <a:noFill/>
        </a:ln>
      </c:spPr>
    </c:plotArea>
    <c:legend>
      <c:legendPos val="r"/>
      <c:layout>
        <c:manualLayout>
          <c:xMode val="edge"/>
          <c:yMode val="edge"/>
          <c:x val="0.43723600474598207"/>
          <c:y val="0.91170018703673772"/>
          <c:w val="0.54609732858735138"/>
          <c:h val="6.15845013508208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総資産額・自己資本比率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v>総資産額</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連結財務パフォーマンス!$B$3:$L$3</c:f>
              <c:numCache>
                <c:formatCode>#,##0_ </c:formatCode>
                <c:ptCount val="11"/>
                <c:pt idx="0">
                  <c:v>155428</c:v>
                </c:pt>
                <c:pt idx="1">
                  <c:v>164120</c:v>
                </c:pt>
                <c:pt idx="2">
                  <c:v>185952</c:v>
                </c:pt>
                <c:pt idx="3">
                  <c:v>181030</c:v>
                </c:pt>
                <c:pt idx="4">
                  <c:v>186572</c:v>
                </c:pt>
                <c:pt idx="5">
                  <c:v>199198</c:v>
                </c:pt>
                <c:pt idx="6">
                  <c:v>225894</c:v>
                </c:pt>
                <c:pt idx="7">
                  <c:v>204404</c:v>
                </c:pt>
                <c:pt idx="8">
                  <c:v>201790</c:v>
                </c:pt>
                <c:pt idx="9">
                  <c:v>194346</c:v>
                </c:pt>
                <c:pt idx="10">
                  <c:v>168583</c:v>
                </c:pt>
              </c:numCache>
            </c:numRef>
          </c:val>
          <c:smooth val="0"/>
          <c:extLst>
            <c:ext xmlns:c16="http://schemas.microsoft.com/office/drawing/2014/chart" uri="{C3380CC4-5D6E-409C-BE32-E72D297353CC}">
              <c16:uniqueId val="{00000000-3E51-4716-BD44-3EE06AC09030}"/>
            </c:ext>
          </c:extLst>
        </c:ser>
        <c:dLbls>
          <c:showLegendKey val="0"/>
          <c:showVal val="0"/>
          <c:showCatName val="0"/>
          <c:showSerName val="0"/>
          <c:showPercent val="0"/>
          <c:showBubbleSize val="0"/>
        </c:dLbls>
        <c:marker val="1"/>
        <c:smooth val="0"/>
        <c:axId val="786819704"/>
        <c:axId val="786819376"/>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3E51-4716-BD44-3EE06AC09030}"/>
            </c:ext>
          </c:extLst>
        </c:ser>
        <c:dLbls>
          <c:showLegendKey val="0"/>
          <c:showVal val="0"/>
          <c:showCatName val="0"/>
          <c:showSerName val="0"/>
          <c:showPercent val="0"/>
          <c:showBubbleSize val="0"/>
        </c:dLbls>
        <c:marker val="1"/>
        <c:smooth val="0"/>
        <c:axId val="815898712"/>
        <c:axId val="815896744"/>
      </c:lineChart>
      <c:catAx>
        <c:axId val="7868197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376"/>
        <c:crosses val="autoZero"/>
        <c:auto val="1"/>
        <c:lblAlgn val="ctr"/>
        <c:lblOffset val="100"/>
        <c:noMultiLvlLbl val="0"/>
      </c:catAx>
      <c:valAx>
        <c:axId val="78681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当期純利益額</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704"/>
        <c:crosses val="autoZero"/>
        <c:crossBetween val="between"/>
      </c:valAx>
      <c:valAx>
        <c:axId val="815896744"/>
        <c:scaling>
          <c:orientation val="minMax"/>
        </c:scaling>
        <c:delete val="0"/>
        <c:axPos val="r"/>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自己資本比率</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15898712"/>
        <c:crosses val="max"/>
        <c:crossBetween val="between"/>
      </c:valAx>
      <c:catAx>
        <c:axId val="815898712"/>
        <c:scaling>
          <c:orientation val="minMax"/>
        </c:scaling>
        <c:delete val="1"/>
        <c:axPos val="b"/>
        <c:numFmt formatCode="General" sourceLinked="1"/>
        <c:majorTickMark val="out"/>
        <c:minorTickMark val="none"/>
        <c:tickLblPos val="nextTo"/>
        <c:crossAx val="815896744"/>
        <c:crosses val="autoZero"/>
        <c:auto val="1"/>
        <c:lblAlgn val="ctr"/>
        <c:lblOffset val="100"/>
        <c:noMultiLvlLbl val="0"/>
      </c:catAx>
      <c:spPr>
        <a:noFill/>
        <a:ln>
          <a:noFill/>
        </a:ln>
        <a:effectLst/>
      </c:spPr>
    </c:plotArea>
    <c:legend>
      <c:legendPos val="b"/>
      <c:layout>
        <c:manualLayout>
          <c:xMode val="edge"/>
          <c:yMode val="edge"/>
          <c:x val="0.5239520958083832"/>
          <c:y val="0.89134660250801967"/>
          <c:w val="0.47425149700598801"/>
          <c:h val="8.08756197142023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負債・自己資本比率</a:t>
            </a:r>
          </a:p>
        </c:rich>
      </c:tx>
      <c:layout>
        <c:manualLayout>
          <c:xMode val="edge"/>
          <c:yMode val="edge"/>
          <c:x val="0.3472222222222222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strRef>
              <c:f>連結財務パフォーマンス!$A$4</c:f>
              <c:strCache>
                <c:ptCount val="1"/>
                <c:pt idx="0">
                  <c:v>負債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連結財務パフォーマンス!$B$4:$L$4</c:f>
              <c:numCache>
                <c:formatCode>#,##0_ </c:formatCode>
                <c:ptCount val="11"/>
                <c:pt idx="0">
                  <c:v>123209</c:v>
                </c:pt>
                <c:pt idx="1">
                  <c:v>115034</c:v>
                </c:pt>
                <c:pt idx="2">
                  <c:v>131379</c:v>
                </c:pt>
                <c:pt idx="3">
                  <c:v>131215</c:v>
                </c:pt>
                <c:pt idx="4">
                  <c:v>132775</c:v>
                </c:pt>
                <c:pt idx="5">
                  <c:v>138766</c:v>
                </c:pt>
                <c:pt idx="6">
                  <c:v>165975</c:v>
                </c:pt>
                <c:pt idx="7">
                  <c:v>174300</c:v>
                </c:pt>
                <c:pt idx="8">
                  <c:v>172410</c:v>
                </c:pt>
                <c:pt idx="9">
                  <c:v>162855</c:v>
                </c:pt>
                <c:pt idx="10">
                  <c:v>160703</c:v>
                </c:pt>
              </c:numCache>
            </c:numRef>
          </c:val>
          <c:smooth val="0"/>
          <c:extLst>
            <c:ext xmlns:c16="http://schemas.microsoft.com/office/drawing/2014/chart" uri="{C3380CC4-5D6E-409C-BE32-E72D297353CC}">
              <c16:uniqueId val="{00000000-134E-41EB-B0CE-7FA095A4FDF9}"/>
            </c:ext>
          </c:extLst>
        </c:ser>
        <c:dLbls>
          <c:showLegendKey val="0"/>
          <c:showVal val="0"/>
          <c:showCatName val="0"/>
          <c:showSerName val="0"/>
          <c:showPercent val="0"/>
          <c:showBubbleSize val="0"/>
        </c:dLbls>
        <c:marker val="1"/>
        <c:smooth val="0"/>
        <c:axId val="792094432"/>
        <c:axId val="792090168"/>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134E-41EB-B0CE-7FA095A4FDF9}"/>
            </c:ext>
          </c:extLst>
        </c:ser>
        <c:dLbls>
          <c:showLegendKey val="0"/>
          <c:showVal val="0"/>
          <c:showCatName val="0"/>
          <c:showSerName val="0"/>
          <c:showPercent val="0"/>
          <c:showBubbleSize val="0"/>
        </c:dLbls>
        <c:marker val="1"/>
        <c:smooth val="0"/>
        <c:axId val="688823456"/>
        <c:axId val="688828048"/>
      </c:lineChart>
      <c:catAx>
        <c:axId val="792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0168"/>
        <c:crosses val="autoZero"/>
        <c:auto val="1"/>
        <c:lblAlgn val="ctr"/>
        <c:lblOffset val="100"/>
        <c:noMultiLvlLbl val="0"/>
      </c:catAx>
      <c:valAx>
        <c:axId val="792090168"/>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4432"/>
        <c:crosses val="autoZero"/>
        <c:crossBetween val="between"/>
      </c:valAx>
      <c:valAx>
        <c:axId val="68882804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23456"/>
        <c:crosses val="max"/>
        <c:crossBetween val="between"/>
      </c:valAx>
      <c:catAx>
        <c:axId val="688823456"/>
        <c:scaling>
          <c:orientation val="minMax"/>
        </c:scaling>
        <c:delete val="1"/>
        <c:axPos val="b"/>
        <c:numFmt formatCode="General" sourceLinked="1"/>
        <c:majorTickMark val="out"/>
        <c:minorTickMark val="none"/>
        <c:tickLblPos val="nextTo"/>
        <c:crossAx val="68882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自己資本・自己資本比率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557625499070378"/>
          <c:y val="0.17685185185185184"/>
          <c:w val="0.80063018051718138"/>
          <c:h val="0.63236074657334496"/>
        </c:manualLayout>
      </c:layout>
      <c:lineChart>
        <c:grouping val="standard"/>
        <c:varyColors val="0"/>
        <c:ser>
          <c:idx val="0"/>
          <c:order val="0"/>
          <c:tx>
            <c:strRef>
              <c:f>連結財務パフォーマンス!$A$6</c:f>
              <c:strCache>
                <c:ptCount val="1"/>
                <c:pt idx="0">
                  <c:v>自己資本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連結財務パフォーマンス!$B$6:$L$6</c:f>
              <c:numCache>
                <c:formatCode>#,##0_ </c:formatCode>
                <c:ptCount val="11"/>
                <c:pt idx="0">
                  <c:v>27354</c:v>
                </c:pt>
                <c:pt idx="1">
                  <c:v>43794</c:v>
                </c:pt>
                <c:pt idx="2">
                  <c:v>47149</c:v>
                </c:pt>
                <c:pt idx="3">
                  <c:v>43276</c:v>
                </c:pt>
                <c:pt idx="4">
                  <c:v>46523</c:v>
                </c:pt>
                <c:pt idx="5">
                  <c:v>52682</c:v>
                </c:pt>
                <c:pt idx="6">
                  <c:v>53900</c:v>
                </c:pt>
                <c:pt idx="7">
                  <c:v>23807</c:v>
                </c:pt>
                <c:pt idx="8">
                  <c:v>25065</c:v>
                </c:pt>
                <c:pt idx="9">
                  <c:v>27016</c:v>
                </c:pt>
                <c:pt idx="10">
                  <c:v>2871</c:v>
                </c:pt>
              </c:numCache>
            </c:numRef>
          </c:val>
          <c:smooth val="0"/>
          <c:extLst>
            <c:ext xmlns:c16="http://schemas.microsoft.com/office/drawing/2014/chart" uri="{C3380CC4-5D6E-409C-BE32-E72D297353CC}">
              <c16:uniqueId val="{00000000-B025-415D-B868-4DDE2FCB5078}"/>
            </c:ext>
          </c:extLst>
        </c:ser>
        <c:dLbls>
          <c:showLegendKey val="0"/>
          <c:showVal val="0"/>
          <c:showCatName val="0"/>
          <c:showSerName val="0"/>
          <c:showPercent val="0"/>
          <c:showBubbleSize val="0"/>
        </c:dLbls>
        <c:marker val="1"/>
        <c:smooth val="0"/>
        <c:axId val="688810008"/>
        <c:axId val="688803776"/>
      </c:lineChart>
      <c:lineChart>
        <c:grouping val="standard"/>
        <c:varyColors val="0"/>
        <c:ser>
          <c:idx val="1"/>
          <c:order val="1"/>
          <c:tx>
            <c:strRef>
              <c:f>連結財務パフォーマンス!$A$7</c:f>
              <c:strCache>
                <c:ptCount val="1"/>
                <c:pt idx="0">
                  <c:v>自己資本比率（％）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B025-415D-B868-4DDE2FCB5078}"/>
            </c:ext>
          </c:extLst>
        </c:ser>
        <c:dLbls>
          <c:showLegendKey val="0"/>
          <c:showVal val="0"/>
          <c:showCatName val="0"/>
          <c:showSerName val="0"/>
          <c:showPercent val="0"/>
          <c:showBubbleSize val="0"/>
        </c:dLbls>
        <c:marker val="1"/>
        <c:smooth val="0"/>
        <c:axId val="690332912"/>
        <c:axId val="690331600"/>
      </c:lineChart>
      <c:catAx>
        <c:axId val="688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03776"/>
        <c:crosses val="autoZero"/>
        <c:auto val="1"/>
        <c:lblAlgn val="ctr"/>
        <c:lblOffset val="100"/>
        <c:noMultiLvlLbl val="0"/>
      </c:catAx>
      <c:valAx>
        <c:axId val="6888037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10008"/>
        <c:crosses val="autoZero"/>
        <c:crossBetween val="between"/>
      </c:valAx>
      <c:valAx>
        <c:axId val="6903316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90332912"/>
        <c:crosses val="max"/>
        <c:crossBetween val="between"/>
      </c:valAx>
      <c:catAx>
        <c:axId val="690332912"/>
        <c:scaling>
          <c:orientation val="minMax"/>
        </c:scaling>
        <c:delete val="1"/>
        <c:axPos val="b"/>
        <c:numFmt formatCode="General" sourceLinked="1"/>
        <c:majorTickMark val="out"/>
        <c:minorTickMark val="none"/>
        <c:tickLblPos val="nextTo"/>
        <c:crossAx val="690331600"/>
        <c:crosses val="autoZero"/>
        <c:auto val="1"/>
        <c:lblAlgn val="ctr"/>
        <c:lblOffset val="100"/>
        <c:noMultiLvlLbl val="0"/>
      </c:catAx>
      <c:spPr>
        <a:noFill/>
        <a:ln>
          <a:noFill/>
        </a:ln>
        <a:effectLst/>
      </c:spPr>
    </c:plotArea>
    <c:legend>
      <c:legendPos val="r"/>
      <c:layout>
        <c:manualLayout>
          <c:xMode val="edge"/>
          <c:yMode val="edge"/>
          <c:x val="0.51787394167450607"/>
          <c:y val="0.91154272382618839"/>
          <c:w val="0.47977422389463781"/>
          <c:h val="8.5247885680956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地域別売上推移</a:t>
            </a:r>
            <a:r>
              <a:rPr lang="en-US" altLang="ja-JP">
                <a:latin typeface="游ゴシック" panose="020B0400000000000000" pitchFamily="50" charset="-128"/>
                <a:ea typeface="游ゴシック" panose="020B0400000000000000" pitchFamily="50" charset="-128"/>
              </a:rPr>
              <a:t>(</a:t>
            </a:r>
            <a:r>
              <a:rPr lang="ja-JP" altLang="en-US">
                <a:latin typeface="游ゴシック" panose="020B0400000000000000" pitchFamily="50" charset="-128"/>
                <a:ea typeface="游ゴシック" panose="020B0400000000000000" pitchFamily="50" charset="-128"/>
              </a:rPr>
              <a:t>連結消去前</a:t>
            </a:r>
            <a:r>
              <a:rPr lang="en-US" altLang="ja-JP">
                <a:latin typeface="游ゴシック" panose="020B0400000000000000" pitchFamily="50" charset="-128"/>
                <a:ea typeface="游ゴシック" panose="020B0400000000000000" pitchFamily="50" charset="-128"/>
              </a:rPr>
              <a:t>)</a:t>
            </a:r>
            <a:endParaRPr lang="ja-JP" altLang="en-US">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4523408985641501"/>
          <c:y val="0.17820957978629953"/>
          <c:w val="0.79395477704324391"/>
          <c:h val="0.63512290172653363"/>
        </c:manualLayout>
      </c:layout>
      <c:areaChart>
        <c:grouping val="stacked"/>
        <c:varyColors val="0"/>
        <c:ser>
          <c:idx val="0"/>
          <c:order val="0"/>
          <c:tx>
            <c:strRef>
              <c:f>地域別業績!$A$4</c:f>
              <c:strCache>
                <c:ptCount val="1"/>
                <c:pt idx="0">
                  <c:v>日本</c:v>
                </c:pt>
              </c:strCache>
            </c:strRef>
          </c:tx>
          <c:spPr>
            <a:ln w="28575" cap="rnd">
              <a:solidFill>
                <a:schemeClr val="accent1"/>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地域別業績!$B$4:$L$4</c:f>
              <c:numCache>
                <c:formatCode>#,##0_);[Red]\(#,##0\)</c:formatCode>
                <c:ptCount val="11"/>
                <c:pt idx="0">
                  <c:v>94406</c:v>
                </c:pt>
                <c:pt idx="1">
                  <c:v>83094</c:v>
                </c:pt>
                <c:pt idx="2">
                  <c:v>93135</c:v>
                </c:pt>
                <c:pt idx="3">
                  <c:v>96154</c:v>
                </c:pt>
                <c:pt idx="4">
                  <c:v>89456</c:v>
                </c:pt>
                <c:pt idx="5">
                  <c:v>89238</c:v>
                </c:pt>
                <c:pt idx="6">
                  <c:v>86740</c:v>
                </c:pt>
                <c:pt idx="7">
                  <c:v>83096</c:v>
                </c:pt>
                <c:pt idx="8">
                  <c:v>80884</c:v>
                </c:pt>
                <c:pt idx="9">
                  <c:v>81401</c:v>
                </c:pt>
                <c:pt idx="10">
                  <c:v>77173</c:v>
                </c:pt>
              </c:numCache>
            </c:numRef>
          </c:val>
          <c:extLst>
            <c:ext xmlns:c16="http://schemas.microsoft.com/office/drawing/2014/chart" uri="{C3380CC4-5D6E-409C-BE32-E72D297353CC}">
              <c16:uniqueId val="{00000000-CC9A-4847-AAB1-A774ED461C55}"/>
            </c:ext>
          </c:extLst>
        </c:ser>
        <c:ser>
          <c:idx val="1"/>
          <c:order val="1"/>
          <c:tx>
            <c:strRef>
              <c:f>地域別業績!$A$5</c:f>
              <c:strCache>
                <c:ptCount val="1"/>
                <c:pt idx="0">
                  <c:v>北米 計</c:v>
                </c:pt>
              </c:strCache>
            </c:strRef>
          </c:tx>
          <c:spPr>
            <a:ln w="28575" cap="rnd">
              <a:solidFill>
                <a:schemeClr val="accent2"/>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地域別業績!$B$5:$L$5</c:f>
              <c:numCache>
                <c:formatCode>#,##0_);[Red]\(#,##0\)</c:formatCode>
                <c:ptCount val="11"/>
                <c:pt idx="0">
                  <c:v>54660</c:v>
                </c:pt>
                <c:pt idx="1">
                  <c:v>35791</c:v>
                </c:pt>
                <c:pt idx="2">
                  <c:v>107033</c:v>
                </c:pt>
                <c:pt idx="3">
                  <c:v>96298</c:v>
                </c:pt>
                <c:pt idx="4">
                  <c:v>98427</c:v>
                </c:pt>
                <c:pt idx="5">
                  <c:v>122790</c:v>
                </c:pt>
                <c:pt idx="6">
                  <c:v>140259</c:v>
                </c:pt>
                <c:pt idx="7">
                  <c:v>166911</c:v>
                </c:pt>
                <c:pt idx="8">
                  <c:v>153147</c:v>
                </c:pt>
                <c:pt idx="9">
                  <c:v>139896</c:v>
                </c:pt>
                <c:pt idx="10">
                  <c:v>119555</c:v>
                </c:pt>
              </c:numCache>
            </c:numRef>
          </c:val>
          <c:extLst>
            <c:ext xmlns:c16="http://schemas.microsoft.com/office/drawing/2014/chart" uri="{C3380CC4-5D6E-409C-BE32-E72D297353CC}">
              <c16:uniqueId val="{00000001-CC9A-4847-AAB1-A774ED461C55}"/>
            </c:ext>
          </c:extLst>
        </c:ser>
        <c:ser>
          <c:idx val="4"/>
          <c:order val="2"/>
          <c:tx>
            <c:strRef>
              <c:f>地域別業績!$A$8</c:f>
              <c:strCache>
                <c:ptCount val="1"/>
                <c:pt idx="0">
                  <c:v>欧州</c:v>
                </c:pt>
              </c:strCache>
            </c:strRef>
          </c:tx>
          <c:spPr>
            <a:ln w="28575" cap="rnd">
              <a:solidFill>
                <a:schemeClr val="accent5"/>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地域別業績!$B$8:$L$8</c:f>
              <c:numCache>
                <c:formatCode>#,##0_);[Red]\(#,##0\)</c:formatCode>
                <c:ptCount val="11"/>
                <c:pt idx="0">
                  <c:v>5728</c:v>
                </c:pt>
                <c:pt idx="1">
                  <c:v>4224</c:v>
                </c:pt>
                <c:pt idx="2">
                  <c:v>4436</c:v>
                </c:pt>
                <c:pt idx="3">
                  <c:v>4964</c:v>
                </c:pt>
                <c:pt idx="4">
                  <c:v>4880</c:v>
                </c:pt>
                <c:pt idx="5">
                  <c:v>7403</c:v>
                </c:pt>
                <c:pt idx="6">
                  <c:v>8880</c:v>
                </c:pt>
                <c:pt idx="7">
                  <c:v>10851</c:v>
                </c:pt>
                <c:pt idx="8">
                  <c:v>11551</c:v>
                </c:pt>
                <c:pt idx="9">
                  <c:v>14109</c:v>
                </c:pt>
                <c:pt idx="10">
                  <c:v>15847</c:v>
                </c:pt>
              </c:numCache>
            </c:numRef>
          </c:val>
          <c:extLst>
            <c:ext xmlns:c16="http://schemas.microsoft.com/office/drawing/2014/chart" uri="{C3380CC4-5D6E-409C-BE32-E72D297353CC}">
              <c16:uniqueId val="{00000002-CC9A-4847-AAB1-A774ED461C55}"/>
            </c:ext>
          </c:extLst>
        </c:ser>
        <c:ser>
          <c:idx val="5"/>
          <c:order val="3"/>
          <c:tx>
            <c:strRef>
              <c:f>地域別業績!$A$9</c:f>
              <c:strCache>
                <c:ptCount val="1"/>
                <c:pt idx="0">
                  <c:v>アジア 計</c:v>
                </c:pt>
              </c:strCache>
            </c:strRef>
          </c:tx>
          <c:spPr>
            <a:ln w="28575" cap="rnd">
              <a:solidFill>
                <a:schemeClr val="accent6"/>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地域別業績!$B$9:$L$9</c:f>
              <c:numCache>
                <c:formatCode>#,##0_);[Red]\(#,##0\)</c:formatCode>
                <c:ptCount val="11"/>
                <c:pt idx="0">
                  <c:v>15113</c:v>
                </c:pt>
                <c:pt idx="1">
                  <c:v>15844</c:v>
                </c:pt>
                <c:pt idx="2">
                  <c:v>22582</c:v>
                </c:pt>
                <c:pt idx="3">
                  <c:v>22099</c:v>
                </c:pt>
                <c:pt idx="4">
                  <c:v>24289</c:v>
                </c:pt>
                <c:pt idx="5">
                  <c:v>32627</c:v>
                </c:pt>
                <c:pt idx="6">
                  <c:v>36154</c:v>
                </c:pt>
                <c:pt idx="7">
                  <c:v>42015</c:v>
                </c:pt>
                <c:pt idx="8">
                  <c:v>42958</c:v>
                </c:pt>
                <c:pt idx="9">
                  <c:v>49161</c:v>
                </c:pt>
                <c:pt idx="10">
                  <c:v>50075</c:v>
                </c:pt>
              </c:numCache>
            </c:numRef>
          </c:val>
          <c:extLst>
            <c:ext xmlns:c16="http://schemas.microsoft.com/office/drawing/2014/chart" uri="{C3380CC4-5D6E-409C-BE32-E72D297353CC}">
              <c16:uniqueId val="{00000003-CC9A-4847-AAB1-A774ED461C55}"/>
            </c:ext>
          </c:extLst>
        </c:ser>
        <c:dLbls>
          <c:showLegendKey val="0"/>
          <c:showVal val="0"/>
          <c:showCatName val="0"/>
          <c:showSerName val="0"/>
          <c:showPercent val="0"/>
          <c:showBubbleSize val="0"/>
        </c:dLbls>
        <c:axId val="446046464"/>
        <c:axId val="1"/>
      </c:areaChart>
      <c:catAx>
        <c:axId val="446046464"/>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446046464"/>
        <c:crosses val="autoZero"/>
        <c:crossBetween val="between"/>
      </c:valAx>
      <c:spPr>
        <a:noFill/>
        <a:ln w="25400">
          <a:noFill/>
        </a:ln>
      </c:spPr>
    </c:plotArea>
    <c:legend>
      <c:legendPos val="b"/>
      <c:layout>
        <c:manualLayout>
          <c:xMode val="edge"/>
          <c:yMode val="edge"/>
          <c:x val="0.31637339723409458"/>
          <c:y val="0.92913130280621614"/>
          <c:w val="0.41177285780453915"/>
          <c:h val="7.086869719378384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ja-JP" altLang="en-US" sz="1400" b="0"/>
              <a:t>利益率指標</a:t>
            </a:r>
          </a:p>
        </c:rich>
      </c:tx>
      <c:overlay val="0"/>
    </c:title>
    <c:autoTitleDeleted val="0"/>
    <c:plotArea>
      <c:layout>
        <c:manualLayout>
          <c:layoutTarget val="inner"/>
          <c:xMode val="edge"/>
          <c:yMode val="edge"/>
          <c:x val="0.20521450095533275"/>
          <c:y val="0.19708672463163757"/>
          <c:w val="0.67979593175853015"/>
          <c:h val="0.54010972586759987"/>
        </c:manualLayout>
      </c:layout>
      <c:lineChart>
        <c:grouping val="standard"/>
        <c:varyColors val="0"/>
        <c:ser>
          <c:idx val="2"/>
          <c:order val="0"/>
          <c:tx>
            <c:strRef>
              <c:f>連結業績ハイライト!$A$5</c:f>
              <c:strCache>
                <c:ptCount val="1"/>
                <c:pt idx="0">
                  <c:v>売上総利益率（％）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連結業績ハイライト!$B$5:$L$5</c:f>
              <c:numCache>
                <c:formatCode>0.0_ </c:formatCode>
                <c:ptCount val="11"/>
                <c:pt idx="0">
                  <c:v>9.1999999999999993</c:v>
                </c:pt>
                <c:pt idx="1">
                  <c:v>15.2</c:v>
                </c:pt>
                <c:pt idx="2">
                  <c:v>14</c:v>
                </c:pt>
                <c:pt idx="3">
                  <c:v>11.9</c:v>
                </c:pt>
                <c:pt idx="4">
                  <c:v>11.4</c:v>
                </c:pt>
                <c:pt idx="5">
                  <c:v>11.3</c:v>
                </c:pt>
                <c:pt idx="6">
                  <c:v>9.6</c:v>
                </c:pt>
                <c:pt idx="7">
                  <c:v>5.9</c:v>
                </c:pt>
                <c:pt idx="8">
                  <c:v>10</c:v>
                </c:pt>
                <c:pt idx="9">
                  <c:v>11.2</c:v>
                </c:pt>
                <c:pt idx="10">
                  <c:v>9.1</c:v>
                </c:pt>
              </c:numCache>
            </c:numRef>
          </c:val>
          <c:smooth val="0"/>
          <c:extLst>
            <c:ext xmlns:c16="http://schemas.microsoft.com/office/drawing/2014/chart" uri="{C3380CC4-5D6E-409C-BE32-E72D297353CC}">
              <c16:uniqueId val="{00000000-2388-4922-B2BF-F7D04B0DD5AD}"/>
            </c:ext>
          </c:extLst>
        </c:ser>
        <c:ser>
          <c:idx val="3"/>
          <c:order val="1"/>
          <c:tx>
            <c:strRef>
              <c:f>連結業績ハイライト!$A$7</c:f>
              <c:strCache>
                <c:ptCount val="1"/>
                <c:pt idx="0">
                  <c:v>営業利益率（％）</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連結業績ハイライト!$B$7:$L$7</c:f>
              <c:numCache>
                <c:formatCode>0.0_ </c:formatCode>
                <c:ptCount val="11"/>
                <c:pt idx="0">
                  <c:v>-3.9</c:v>
                </c:pt>
                <c:pt idx="1">
                  <c:v>3.6</c:v>
                </c:pt>
                <c:pt idx="2">
                  <c:v>5.3</c:v>
                </c:pt>
                <c:pt idx="3">
                  <c:v>1.8</c:v>
                </c:pt>
                <c:pt idx="4">
                  <c:v>2.1</c:v>
                </c:pt>
                <c:pt idx="5">
                  <c:v>3.4</c:v>
                </c:pt>
                <c:pt idx="6">
                  <c:v>1.6</c:v>
                </c:pt>
                <c:pt idx="7">
                  <c:v>-1.3</c:v>
                </c:pt>
                <c:pt idx="8">
                  <c:v>1.6</c:v>
                </c:pt>
                <c:pt idx="9">
                  <c:v>3.1</c:v>
                </c:pt>
                <c:pt idx="10">
                  <c:v>0.1</c:v>
                </c:pt>
              </c:numCache>
            </c:numRef>
          </c:val>
          <c:smooth val="0"/>
          <c:extLst>
            <c:ext xmlns:c16="http://schemas.microsoft.com/office/drawing/2014/chart" uri="{C3380CC4-5D6E-409C-BE32-E72D297353CC}">
              <c16:uniqueId val="{00000001-2388-4922-B2BF-F7D04B0DD5AD}"/>
            </c:ext>
          </c:extLst>
        </c:ser>
        <c:ser>
          <c:idx val="0"/>
          <c:order val="2"/>
          <c:tx>
            <c:strRef>
              <c:f>連結業績ハイライト!$A$9</c:f>
              <c:strCache>
                <c:ptCount val="1"/>
                <c:pt idx="0">
                  <c:v>経常利益率（％）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連結業績ハイライト!$B$9:$L$9</c:f>
              <c:numCache>
                <c:formatCode>0.0_ </c:formatCode>
                <c:ptCount val="11"/>
                <c:pt idx="0">
                  <c:v>-4.9000000000000004</c:v>
                </c:pt>
                <c:pt idx="1">
                  <c:v>2</c:v>
                </c:pt>
                <c:pt idx="2">
                  <c:v>4.5</c:v>
                </c:pt>
                <c:pt idx="3">
                  <c:v>1</c:v>
                </c:pt>
                <c:pt idx="4">
                  <c:v>1.7</c:v>
                </c:pt>
                <c:pt idx="5">
                  <c:v>3.1</c:v>
                </c:pt>
                <c:pt idx="6">
                  <c:v>1.1000000000000001</c:v>
                </c:pt>
                <c:pt idx="7">
                  <c:v>-2.4</c:v>
                </c:pt>
                <c:pt idx="8">
                  <c:v>0.3</c:v>
                </c:pt>
                <c:pt idx="9">
                  <c:v>2.2000000000000002</c:v>
                </c:pt>
                <c:pt idx="10">
                  <c:v>-1.2</c:v>
                </c:pt>
              </c:numCache>
            </c:numRef>
          </c:val>
          <c:smooth val="0"/>
          <c:extLst>
            <c:ext xmlns:c16="http://schemas.microsoft.com/office/drawing/2014/chart" uri="{C3380CC4-5D6E-409C-BE32-E72D297353CC}">
              <c16:uniqueId val="{00000002-2388-4922-B2BF-F7D04B0DD5AD}"/>
            </c:ext>
          </c:extLst>
        </c:ser>
        <c:ser>
          <c:idx val="1"/>
          <c:order val="3"/>
          <c:tx>
            <c:strRef>
              <c:f>連結業績ハイライト!$A$13</c:f>
              <c:strCache>
                <c:ptCount val="1"/>
                <c:pt idx="0">
                  <c:v>当期純利益率（％）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連結業績ハイライト!$B$13:$L$13</c:f>
              <c:numCache>
                <c:formatCode>0.0_ </c:formatCode>
                <c:ptCount val="11"/>
                <c:pt idx="0">
                  <c:v>-10.199999999999999</c:v>
                </c:pt>
                <c:pt idx="1">
                  <c:v>1.6</c:v>
                </c:pt>
                <c:pt idx="2">
                  <c:v>2.4</c:v>
                </c:pt>
                <c:pt idx="3">
                  <c:v>-1.5</c:v>
                </c:pt>
                <c:pt idx="4">
                  <c:v>0.3</c:v>
                </c:pt>
                <c:pt idx="5">
                  <c:v>1</c:v>
                </c:pt>
                <c:pt idx="6">
                  <c:v>-2.4</c:v>
                </c:pt>
                <c:pt idx="7">
                  <c:v>-6.9</c:v>
                </c:pt>
                <c:pt idx="8">
                  <c:v>0.1</c:v>
                </c:pt>
                <c:pt idx="9">
                  <c:v>0.3</c:v>
                </c:pt>
                <c:pt idx="10">
                  <c:v>-7.5</c:v>
                </c:pt>
              </c:numCache>
            </c:numRef>
          </c:val>
          <c:smooth val="0"/>
          <c:extLst>
            <c:ext xmlns:c16="http://schemas.microsoft.com/office/drawing/2014/chart" uri="{C3380CC4-5D6E-409C-BE32-E72D297353CC}">
              <c16:uniqueId val="{00000003-2388-4922-B2BF-F7D04B0DD5AD}"/>
            </c:ext>
          </c:extLst>
        </c:ser>
        <c:dLbls>
          <c:dLblPos val="t"/>
          <c:showLegendKey val="0"/>
          <c:showVal val="1"/>
          <c:showCatName val="0"/>
          <c:showSerName val="0"/>
          <c:showPercent val="0"/>
          <c:showBubbleSize val="0"/>
        </c:dLbls>
        <c:marker val="1"/>
        <c:smooth val="0"/>
        <c:axId val="310930448"/>
        <c:axId val="1"/>
      </c:lineChart>
      <c:catAx>
        <c:axId val="310930448"/>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900"/>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ln w="9525">
            <a:noFill/>
          </a:ln>
        </c:spPr>
        <c:txPr>
          <a:bodyPr rot="-60000000" vert="horz"/>
          <a:lstStyle/>
          <a:p>
            <a:pPr>
              <a:defRPr sz="900"/>
            </a:pPr>
            <a:endParaRPr lang="ja-JP"/>
          </a:p>
        </c:txPr>
        <c:crossAx val="310930448"/>
        <c:crosses val="autoZero"/>
        <c:crossBetween val="between"/>
      </c:valAx>
      <c:spPr>
        <a:noFill/>
        <a:ln w="25400">
          <a:noFill/>
        </a:ln>
      </c:spPr>
    </c:plotArea>
    <c:legend>
      <c:legendPos val="r"/>
      <c:layout>
        <c:manualLayout>
          <c:xMode val="edge"/>
          <c:yMode val="edge"/>
          <c:x val="0.22076853251093584"/>
          <c:y val="0.89207091620359447"/>
          <c:w val="0.77923146748906413"/>
          <c:h val="0.10792906498977241"/>
        </c:manualLayout>
      </c:layout>
      <c:overlay val="0"/>
      <c:spPr>
        <a:noFill/>
        <a:ln w="25400">
          <a:noFill/>
        </a:ln>
      </c:spPr>
      <c:txPr>
        <a:bodyPr rot="0" vert="horz"/>
        <a:lstStyle/>
        <a:p>
          <a:pPr>
            <a:defRPr sz="900"/>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地域別営業利益推移</a:t>
            </a:r>
            <a:endParaRPr lang="en-US" altLang="ja-JP">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3629711621510571"/>
          <c:y val="0.11691628353670906"/>
          <c:w val="0.86370288378489435"/>
          <c:h val="0.4751889598453754"/>
        </c:manualLayout>
      </c:layout>
      <c:barChart>
        <c:barDir val="col"/>
        <c:grouping val="clustered"/>
        <c:varyColors val="0"/>
        <c:ser>
          <c:idx val="0"/>
          <c:order val="0"/>
          <c:tx>
            <c:strRef>
              <c:f>地域別業績!$A$19</c:f>
              <c:strCache>
                <c:ptCount val="1"/>
                <c:pt idx="0">
                  <c:v>日本</c:v>
                </c:pt>
              </c:strCache>
            </c:strRef>
          </c:tx>
          <c:spPr>
            <a:ln w="28575" cap="rnd">
              <a:solidFill>
                <a:schemeClr val="accent1"/>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地域別業績!$B$19:$L$19</c:f>
              <c:numCache>
                <c:formatCode>#,##0_);[Red]\(#,##0\)</c:formatCode>
                <c:ptCount val="11"/>
                <c:pt idx="0">
                  <c:v>-5117</c:v>
                </c:pt>
                <c:pt idx="1">
                  <c:v>3365</c:v>
                </c:pt>
                <c:pt idx="2">
                  <c:v>7097</c:v>
                </c:pt>
                <c:pt idx="3">
                  <c:v>5912</c:v>
                </c:pt>
                <c:pt idx="4">
                  <c:v>2294</c:v>
                </c:pt>
                <c:pt idx="5">
                  <c:v>3427</c:v>
                </c:pt>
                <c:pt idx="6">
                  <c:v>3602</c:v>
                </c:pt>
                <c:pt idx="7">
                  <c:v>3259</c:v>
                </c:pt>
                <c:pt idx="8">
                  <c:v>4123</c:v>
                </c:pt>
                <c:pt idx="9">
                  <c:v>3341</c:v>
                </c:pt>
                <c:pt idx="10">
                  <c:v>-632</c:v>
                </c:pt>
              </c:numCache>
            </c:numRef>
          </c:val>
          <c:extLst>
            <c:ext xmlns:c16="http://schemas.microsoft.com/office/drawing/2014/chart" uri="{C3380CC4-5D6E-409C-BE32-E72D297353CC}">
              <c16:uniqueId val="{00000000-4EEE-4EED-B88A-265ADB0AC408}"/>
            </c:ext>
          </c:extLst>
        </c:ser>
        <c:ser>
          <c:idx val="1"/>
          <c:order val="1"/>
          <c:tx>
            <c:strRef>
              <c:f>地域別業績!$A$20</c:f>
              <c:strCache>
                <c:ptCount val="1"/>
                <c:pt idx="0">
                  <c:v>北米 計</c:v>
                </c:pt>
              </c:strCache>
            </c:strRef>
          </c:tx>
          <c:spPr>
            <a:ln w="28575" cap="rnd">
              <a:solidFill>
                <a:schemeClr val="accent2"/>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地域別業績!$B$20:$L$20</c:f>
              <c:numCache>
                <c:formatCode>#,##0_);[Red]\(#,##0\)</c:formatCode>
                <c:ptCount val="11"/>
                <c:pt idx="0">
                  <c:v>-2359</c:v>
                </c:pt>
                <c:pt idx="1">
                  <c:v>-1117</c:v>
                </c:pt>
                <c:pt idx="2">
                  <c:v>416</c:v>
                </c:pt>
                <c:pt idx="3">
                  <c:v>-5357</c:v>
                </c:pt>
                <c:pt idx="4">
                  <c:v>80</c:v>
                </c:pt>
                <c:pt idx="5">
                  <c:v>749</c:v>
                </c:pt>
                <c:pt idx="6">
                  <c:v>-3165</c:v>
                </c:pt>
                <c:pt idx="7">
                  <c:v>-11202</c:v>
                </c:pt>
                <c:pt idx="8">
                  <c:v>-3237</c:v>
                </c:pt>
                <c:pt idx="9">
                  <c:v>1521</c:v>
                </c:pt>
                <c:pt idx="10">
                  <c:v>-4039</c:v>
                </c:pt>
              </c:numCache>
            </c:numRef>
          </c:val>
          <c:extLst>
            <c:ext xmlns:c16="http://schemas.microsoft.com/office/drawing/2014/chart" uri="{C3380CC4-5D6E-409C-BE32-E72D297353CC}">
              <c16:uniqueId val="{00000001-4EEE-4EED-B88A-265ADB0AC408}"/>
            </c:ext>
          </c:extLst>
        </c:ser>
        <c:ser>
          <c:idx val="4"/>
          <c:order val="2"/>
          <c:tx>
            <c:strRef>
              <c:f>地域別業績!$A$23</c:f>
              <c:strCache>
                <c:ptCount val="1"/>
                <c:pt idx="0">
                  <c:v>欧州</c:v>
                </c:pt>
              </c:strCache>
            </c:strRef>
          </c:tx>
          <c:spPr>
            <a:ln w="28575" cap="rnd">
              <a:solidFill>
                <a:schemeClr val="accent5"/>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地域別業績!$B$23:$L$23</c:f>
              <c:numCache>
                <c:formatCode>#,##0_);[Red]\(#,##0\)</c:formatCode>
                <c:ptCount val="11"/>
                <c:pt idx="0">
                  <c:v>121</c:v>
                </c:pt>
                <c:pt idx="1">
                  <c:v>41</c:v>
                </c:pt>
                <c:pt idx="2">
                  <c:v>-28</c:v>
                </c:pt>
                <c:pt idx="3">
                  <c:v>-395</c:v>
                </c:pt>
                <c:pt idx="4">
                  <c:v>-789</c:v>
                </c:pt>
                <c:pt idx="5">
                  <c:v>-567</c:v>
                </c:pt>
                <c:pt idx="6">
                  <c:v>-544</c:v>
                </c:pt>
                <c:pt idx="7">
                  <c:v>-887</c:v>
                </c:pt>
                <c:pt idx="8">
                  <c:v>-1268</c:v>
                </c:pt>
                <c:pt idx="9">
                  <c:v>-2046</c:v>
                </c:pt>
                <c:pt idx="10">
                  <c:v>-723</c:v>
                </c:pt>
              </c:numCache>
            </c:numRef>
          </c:val>
          <c:extLst>
            <c:ext xmlns:c16="http://schemas.microsoft.com/office/drawing/2014/chart" uri="{C3380CC4-5D6E-409C-BE32-E72D297353CC}">
              <c16:uniqueId val="{00000002-4EEE-4EED-B88A-265ADB0AC408}"/>
            </c:ext>
          </c:extLst>
        </c:ser>
        <c:ser>
          <c:idx val="5"/>
          <c:order val="3"/>
          <c:tx>
            <c:strRef>
              <c:f>地域別業績!$A$24</c:f>
              <c:strCache>
                <c:ptCount val="1"/>
                <c:pt idx="0">
                  <c:v>アジア 計</c:v>
                </c:pt>
              </c:strCache>
            </c:strRef>
          </c:tx>
          <c:spPr>
            <a:ln w="28575" cap="rnd">
              <a:solidFill>
                <a:schemeClr val="accent6"/>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地域別業績!$B$24:$L$24</c:f>
              <c:numCache>
                <c:formatCode>#,##0_);[Red]\(#,##0\)</c:formatCode>
                <c:ptCount val="11"/>
                <c:pt idx="0">
                  <c:v>854</c:v>
                </c:pt>
                <c:pt idx="1">
                  <c:v>2208</c:v>
                </c:pt>
                <c:pt idx="2">
                  <c:v>3743</c:v>
                </c:pt>
                <c:pt idx="3">
                  <c:v>3470</c:v>
                </c:pt>
                <c:pt idx="4">
                  <c:v>2418</c:v>
                </c:pt>
                <c:pt idx="5">
                  <c:v>4197</c:v>
                </c:pt>
                <c:pt idx="6">
                  <c:v>3764</c:v>
                </c:pt>
                <c:pt idx="7">
                  <c:v>4688</c:v>
                </c:pt>
                <c:pt idx="8">
                  <c:v>4384</c:v>
                </c:pt>
                <c:pt idx="9">
                  <c:v>5089</c:v>
                </c:pt>
                <c:pt idx="10">
                  <c:v>5268</c:v>
                </c:pt>
              </c:numCache>
            </c:numRef>
          </c:val>
          <c:extLst>
            <c:ext xmlns:c16="http://schemas.microsoft.com/office/drawing/2014/chart" uri="{C3380CC4-5D6E-409C-BE32-E72D297353CC}">
              <c16:uniqueId val="{00000003-4EEE-4EED-B88A-265ADB0AC408}"/>
            </c:ext>
          </c:extLst>
        </c:ser>
        <c:dLbls>
          <c:showLegendKey val="0"/>
          <c:showVal val="0"/>
          <c:showCatName val="0"/>
          <c:showSerName val="0"/>
          <c:showPercent val="0"/>
          <c:showBubbleSize val="0"/>
        </c:dLbls>
        <c:gapWidth val="150"/>
        <c:axId val="446043512"/>
        <c:axId val="1"/>
      </c:barChart>
      <c:catAx>
        <c:axId val="446043512"/>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6043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dTable>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altLang="en-US" sz="1400" b="0"/>
              <a:t>地域別営業利益率</a:t>
            </a:r>
            <a:endParaRPr lang="ja-JP" sz="1400" b="0"/>
          </a:p>
        </c:rich>
      </c:tx>
      <c:overlay val="0"/>
      <c:spPr>
        <a:noFill/>
        <a:ln>
          <a:noFill/>
        </a:ln>
        <a:effectLst/>
      </c:spPr>
    </c:title>
    <c:autoTitleDeleted val="0"/>
    <c:plotArea>
      <c:layout>
        <c:manualLayout>
          <c:layoutTarget val="inner"/>
          <c:xMode val="edge"/>
          <c:yMode val="edge"/>
          <c:x val="0.11291524290595752"/>
          <c:y val="0.17685185185185184"/>
          <c:w val="0.8776507948298915"/>
          <c:h val="0.63236074657334496"/>
        </c:manualLayout>
      </c:layout>
      <c:lineChart>
        <c:grouping val="standard"/>
        <c:varyColors val="0"/>
        <c:ser>
          <c:idx val="0"/>
          <c:order val="0"/>
          <c:tx>
            <c:strRef>
              <c:f>地域別業績!$A$34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地域別業績!$M$34:$W$34</c:f>
              <c:numCache>
                <c:formatCode>0.00%</c:formatCode>
                <c:ptCount val="11"/>
                <c:pt idx="0">
                  <c:v>-5.4000000000000006E-2</c:v>
                </c:pt>
                <c:pt idx="1">
                  <c:v>0.04</c:v>
                </c:pt>
                <c:pt idx="2">
                  <c:v>7.5999999999999998E-2</c:v>
                </c:pt>
                <c:pt idx="3">
                  <c:v>6.0999999999999999E-2</c:v>
                </c:pt>
                <c:pt idx="4">
                  <c:v>2.6000000000000002E-2</c:v>
                </c:pt>
                <c:pt idx="5">
                  <c:v>3.7999999999999999E-2</c:v>
                </c:pt>
                <c:pt idx="6">
                  <c:v>4.2000000000000003E-2</c:v>
                </c:pt>
                <c:pt idx="7">
                  <c:v>3.9E-2</c:v>
                </c:pt>
                <c:pt idx="8">
                  <c:v>5.0999999999999997E-2</c:v>
                </c:pt>
                <c:pt idx="9">
                  <c:v>4.0999999999999995E-2</c:v>
                </c:pt>
                <c:pt idx="10">
                  <c:v>-8.0000000000000002E-3</c:v>
                </c:pt>
              </c:numCache>
            </c:numRef>
          </c:val>
          <c:smooth val="0"/>
          <c:extLst>
            <c:ext xmlns:c16="http://schemas.microsoft.com/office/drawing/2014/chart" uri="{C3380CC4-5D6E-409C-BE32-E72D297353CC}">
              <c16:uniqueId val="{00000000-7D82-419D-8658-A7E1A144CCB4}"/>
            </c:ext>
          </c:extLst>
        </c:ser>
        <c:ser>
          <c:idx val="1"/>
          <c:order val="1"/>
          <c:tx>
            <c:strRef>
              <c:f>地域別業績!$A$35</c:f>
              <c:strCache>
                <c:ptCount val="1"/>
                <c:pt idx="0">
                  <c:v>北米</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地域別業績!$M$35:$W$35</c:f>
              <c:numCache>
                <c:formatCode>0.00%</c:formatCode>
                <c:ptCount val="11"/>
                <c:pt idx="0">
                  <c:v>-4.2999999999999997E-2</c:v>
                </c:pt>
                <c:pt idx="1">
                  <c:v>-3.1E-2</c:v>
                </c:pt>
                <c:pt idx="2">
                  <c:v>4.0000000000000001E-3</c:v>
                </c:pt>
                <c:pt idx="3">
                  <c:v>-5.5999999999999994E-2</c:v>
                </c:pt>
                <c:pt idx="4">
                  <c:v>1E-3</c:v>
                </c:pt>
                <c:pt idx="5">
                  <c:v>6.0000000000000001E-3</c:v>
                </c:pt>
                <c:pt idx="6">
                  <c:v>-2.3E-2</c:v>
                </c:pt>
                <c:pt idx="7">
                  <c:v>-6.7000000000000004E-2</c:v>
                </c:pt>
                <c:pt idx="8">
                  <c:v>-2.1000000000000001E-2</c:v>
                </c:pt>
                <c:pt idx="9">
                  <c:v>1.1000000000000001E-2</c:v>
                </c:pt>
                <c:pt idx="10">
                  <c:v>-3.4000000000000002E-2</c:v>
                </c:pt>
              </c:numCache>
            </c:numRef>
          </c:val>
          <c:smooth val="0"/>
          <c:extLst>
            <c:ext xmlns:c16="http://schemas.microsoft.com/office/drawing/2014/chart" uri="{C3380CC4-5D6E-409C-BE32-E72D297353CC}">
              <c16:uniqueId val="{00000001-7D82-419D-8658-A7E1A144CCB4}"/>
            </c:ext>
          </c:extLst>
        </c:ser>
        <c:ser>
          <c:idx val="2"/>
          <c:order val="2"/>
          <c:tx>
            <c:strRef>
              <c:f>地域別業績!$A$36</c:f>
              <c:strCache>
                <c:ptCount val="1"/>
                <c:pt idx="0">
                  <c:v>欧州</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地域別業績!$M$36:$W$36</c:f>
              <c:numCache>
                <c:formatCode>0.00%</c:formatCode>
                <c:ptCount val="11"/>
                <c:pt idx="0">
                  <c:v>2.1000000000000001E-2</c:v>
                </c:pt>
                <c:pt idx="1">
                  <c:v>0.01</c:v>
                </c:pt>
                <c:pt idx="2">
                  <c:v>-6.0000000000000001E-3</c:v>
                </c:pt>
                <c:pt idx="3">
                  <c:v>-0.08</c:v>
                </c:pt>
                <c:pt idx="4">
                  <c:v>-0.16200000000000001</c:v>
                </c:pt>
                <c:pt idx="5">
                  <c:v>-7.6600000000000001E-2</c:v>
                </c:pt>
                <c:pt idx="6">
                  <c:v>-6.0999999999999999E-2</c:v>
                </c:pt>
                <c:pt idx="7">
                  <c:v>-8.199999999999999E-2</c:v>
                </c:pt>
                <c:pt idx="8">
                  <c:v>-0.11</c:v>
                </c:pt>
                <c:pt idx="9">
                  <c:v>-0.14499999999999999</c:v>
                </c:pt>
                <c:pt idx="10">
                  <c:v>-4.5999999999999999E-2</c:v>
                </c:pt>
              </c:numCache>
            </c:numRef>
          </c:val>
          <c:smooth val="0"/>
          <c:extLst>
            <c:ext xmlns:c16="http://schemas.microsoft.com/office/drawing/2014/chart" uri="{C3380CC4-5D6E-409C-BE32-E72D297353CC}">
              <c16:uniqueId val="{00000002-7D82-419D-8658-A7E1A144CCB4}"/>
            </c:ext>
          </c:extLst>
        </c:ser>
        <c:ser>
          <c:idx val="3"/>
          <c:order val="3"/>
          <c:tx>
            <c:strRef>
              <c:f>地域別業績!$A$37</c:f>
              <c:strCache>
                <c:ptCount val="1"/>
                <c:pt idx="0">
                  <c:v>アジア</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地域別業績!$M$37:$W$37</c:f>
              <c:numCache>
                <c:formatCode>0.00%</c:formatCode>
                <c:ptCount val="11"/>
                <c:pt idx="0">
                  <c:v>5.7000000000000002E-2</c:v>
                </c:pt>
                <c:pt idx="1">
                  <c:v>0.13900000000000001</c:v>
                </c:pt>
                <c:pt idx="2">
                  <c:v>0.16600000000000001</c:v>
                </c:pt>
                <c:pt idx="3">
                  <c:v>0.157</c:v>
                </c:pt>
                <c:pt idx="4">
                  <c:v>0.1</c:v>
                </c:pt>
                <c:pt idx="5">
                  <c:v>0.12859999999999999</c:v>
                </c:pt>
                <c:pt idx="6">
                  <c:v>0.1041</c:v>
                </c:pt>
                <c:pt idx="7">
                  <c:v>0.11199999999999999</c:v>
                </c:pt>
                <c:pt idx="8">
                  <c:v>0.10199999999999999</c:v>
                </c:pt>
                <c:pt idx="9">
                  <c:v>0.10400000000000001</c:v>
                </c:pt>
                <c:pt idx="10">
                  <c:v>0.105</c:v>
                </c:pt>
              </c:numCache>
            </c:numRef>
          </c:val>
          <c:smooth val="0"/>
          <c:extLst>
            <c:ext xmlns:c16="http://schemas.microsoft.com/office/drawing/2014/chart" uri="{C3380CC4-5D6E-409C-BE32-E72D297353CC}">
              <c16:uniqueId val="{00000003-7D82-419D-8658-A7E1A144CCB4}"/>
            </c:ext>
          </c:extLst>
        </c:ser>
        <c:dLbls>
          <c:showLegendKey val="0"/>
          <c:showVal val="0"/>
          <c:showCatName val="0"/>
          <c:showSerName val="0"/>
          <c:showPercent val="0"/>
          <c:showBubbleSize val="0"/>
        </c:dLbls>
        <c:marker val="1"/>
        <c:smooth val="0"/>
        <c:axId val="312365768"/>
        <c:axId val="1"/>
      </c:lineChart>
      <c:catAx>
        <c:axId val="3123657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ja-JP"/>
          </a:p>
        </c:txPr>
        <c:crossAx val="312365768"/>
        <c:crosses val="autoZero"/>
        <c:crossBetween val="between"/>
      </c:valAx>
      <c:spPr>
        <a:noFill/>
        <a:ln w="25400">
          <a:noFill/>
        </a:ln>
      </c:spPr>
    </c:plotArea>
    <c:legend>
      <c:legendPos val="r"/>
      <c:layout>
        <c:manualLayout>
          <c:xMode val="edge"/>
          <c:yMode val="edge"/>
          <c:x val="0.52830188679245282"/>
          <c:y val="0.90827063283756193"/>
          <c:w val="0.46226415094339623"/>
          <c:h val="8.7162438028579758E-2"/>
        </c:manualLayout>
      </c:layout>
      <c:overlay val="0"/>
      <c:spPr>
        <a:noFill/>
        <a:ln>
          <a:noFill/>
        </a:ln>
        <a:effectLst/>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顧客別売上割合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073818897637796"/>
          <c:y val="0.17685185185185184"/>
          <c:w val="0.88498840769903764"/>
          <c:h val="0.6065354330708661"/>
        </c:manualLayout>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5A21-4210-AA5C-E6B0D67A7CFD}"/>
            </c:ext>
          </c:extLst>
        </c:ser>
        <c:ser>
          <c:idx val="1"/>
          <c:order val="1"/>
          <c:tx>
            <c:strRef>
              <c:f>地域別業績!$A$86</c:f>
              <c:strCache>
                <c:ptCount val="1"/>
                <c:pt idx="0">
                  <c:v>日産</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地域別業績!$B$86:$L$86</c:f>
              <c:numCache>
                <c:formatCode>0%</c:formatCode>
                <c:ptCount val="11"/>
                <c:pt idx="0">
                  <c:v>0.14000000000000001</c:v>
                </c:pt>
                <c:pt idx="1">
                  <c:v>0.17</c:v>
                </c:pt>
                <c:pt idx="2">
                  <c:v>0.13</c:v>
                </c:pt>
                <c:pt idx="3">
                  <c:v>0.15</c:v>
                </c:pt>
                <c:pt idx="4">
                  <c:v>0.13</c:v>
                </c:pt>
                <c:pt idx="5">
                  <c:v>0.13</c:v>
                </c:pt>
                <c:pt idx="6">
                  <c:v>0.13</c:v>
                </c:pt>
                <c:pt idx="7">
                  <c:v>0.14000000000000001</c:v>
                </c:pt>
                <c:pt idx="8">
                  <c:v>0.15</c:v>
                </c:pt>
                <c:pt idx="9">
                  <c:v>0.15</c:v>
                </c:pt>
                <c:pt idx="10">
                  <c:v>0.14000000000000001</c:v>
                </c:pt>
              </c:numCache>
            </c:numRef>
          </c:val>
          <c:smooth val="0"/>
          <c:extLst>
            <c:ext xmlns:c16="http://schemas.microsoft.com/office/drawing/2014/chart" uri="{C3380CC4-5D6E-409C-BE32-E72D297353CC}">
              <c16:uniqueId val="{00000001-5A21-4210-AA5C-E6B0D67A7CFD}"/>
            </c:ext>
          </c:extLst>
        </c:ser>
        <c:ser>
          <c:idx val="2"/>
          <c:order val="2"/>
          <c:tx>
            <c:strRef>
              <c:f>地域別業績!$A$87</c:f>
              <c:strCache>
                <c:ptCount val="1"/>
                <c:pt idx="0">
                  <c:v>トヨタ</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地域別業績!$B$87:$L$87</c:f>
              <c:numCache>
                <c:formatCode>0%</c:formatCode>
                <c:ptCount val="11"/>
                <c:pt idx="0">
                  <c:v>0.15</c:v>
                </c:pt>
                <c:pt idx="1">
                  <c:v>0.17</c:v>
                </c:pt>
                <c:pt idx="2">
                  <c:v>0.12</c:v>
                </c:pt>
                <c:pt idx="3">
                  <c:v>0.11</c:v>
                </c:pt>
                <c:pt idx="4">
                  <c:v>0.13</c:v>
                </c:pt>
                <c:pt idx="5">
                  <c:v>0.12</c:v>
                </c:pt>
                <c:pt idx="6">
                  <c:v>0.11</c:v>
                </c:pt>
                <c:pt idx="7">
                  <c:v>0.11</c:v>
                </c:pt>
                <c:pt idx="8">
                  <c:v>0.11</c:v>
                </c:pt>
                <c:pt idx="9">
                  <c:v>0.11</c:v>
                </c:pt>
                <c:pt idx="10">
                  <c:v>0.11</c:v>
                </c:pt>
              </c:numCache>
            </c:numRef>
          </c:val>
          <c:smooth val="0"/>
          <c:extLst>
            <c:ext xmlns:c16="http://schemas.microsoft.com/office/drawing/2014/chart" uri="{C3380CC4-5D6E-409C-BE32-E72D297353CC}">
              <c16:uniqueId val="{00000002-5A21-4210-AA5C-E6B0D67A7CFD}"/>
            </c:ext>
          </c:extLst>
        </c:ser>
        <c:ser>
          <c:idx val="3"/>
          <c:order val="3"/>
          <c:tx>
            <c:strRef>
              <c:f>地域別業績!$A$88</c:f>
              <c:strCache>
                <c:ptCount val="1"/>
                <c:pt idx="0">
                  <c:v>Ford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3-5A21-4210-AA5C-E6B0D67A7CFD}"/>
            </c:ext>
          </c:extLst>
        </c:ser>
        <c:ser>
          <c:idx val="4"/>
          <c:order val="4"/>
          <c:tx>
            <c:strRef>
              <c:f>地域別業績!$A$89</c:f>
              <c:strCache>
                <c:ptCount val="1"/>
                <c:pt idx="0">
                  <c:v>ホンダ</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地域別業績!$B$89:$L$89</c:f>
              <c:numCache>
                <c:formatCode>0%</c:formatCode>
                <c:ptCount val="11"/>
                <c:pt idx="0">
                  <c:v>7.0000000000000007E-2</c:v>
                </c:pt>
                <c:pt idx="1">
                  <c:v>7.0000000000000007E-2</c:v>
                </c:pt>
                <c:pt idx="2">
                  <c:v>0.05</c:v>
                </c:pt>
                <c:pt idx="3">
                  <c:v>0.05</c:v>
                </c:pt>
                <c:pt idx="4">
                  <c:v>7.0000000000000007E-2</c:v>
                </c:pt>
                <c:pt idx="5">
                  <c:v>0.06</c:v>
                </c:pt>
                <c:pt idx="6">
                  <c:v>0.06</c:v>
                </c:pt>
                <c:pt idx="7">
                  <c:v>0.06</c:v>
                </c:pt>
                <c:pt idx="8">
                  <c:v>7.0000000000000007E-2</c:v>
                </c:pt>
                <c:pt idx="9">
                  <c:v>0.06</c:v>
                </c:pt>
                <c:pt idx="10">
                  <c:v>0.05</c:v>
                </c:pt>
              </c:numCache>
            </c:numRef>
          </c:val>
          <c:smooth val="0"/>
          <c:extLst>
            <c:ext xmlns:c16="http://schemas.microsoft.com/office/drawing/2014/chart" uri="{C3380CC4-5D6E-409C-BE32-E72D297353CC}">
              <c16:uniqueId val="{00000004-5A21-4210-AA5C-E6B0D67A7CFD}"/>
            </c:ext>
          </c:extLst>
        </c:ser>
        <c:ser>
          <c:idx val="5"/>
          <c:order val="5"/>
          <c:tx>
            <c:strRef>
              <c:f>地域別業績!$A$90</c:f>
              <c:strCache>
                <c:ptCount val="1"/>
                <c:pt idx="0">
                  <c:v>Chrysler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5-5A21-4210-AA5C-E6B0D67A7CFD}"/>
            </c:ext>
          </c:extLst>
        </c:ser>
        <c:dLbls>
          <c:showLegendKey val="0"/>
          <c:showVal val="0"/>
          <c:showCatName val="0"/>
          <c:showSerName val="0"/>
          <c:showPercent val="0"/>
          <c:showBubbleSize val="0"/>
        </c:dLbls>
        <c:marker val="1"/>
        <c:smooth val="0"/>
        <c:axId val="1038240256"/>
        <c:axId val="1038240584"/>
      </c:lineChart>
      <c:catAx>
        <c:axId val="103824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584"/>
        <c:crosses val="autoZero"/>
        <c:auto val="1"/>
        <c:lblAlgn val="ctr"/>
        <c:lblOffset val="100"/>
        <c:noMultiLvlLbl val="0"/>
      </c:catAx>
      <c:valAx>
        <c:axId val="103824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sz="1000"/>
        </a:p>
      </dgm:t>
    </dgm:pt>
    <dgm:pt modelId="{B02BF602-2D94-4F8A-A82E-22533AA4BD5E}" type="sibTrans" cxnId="{DC123DD8-0BB5-4CF5-8588-E0F5F723D34B}">
      <dgm:prSet/>
      <dgm:spPr/>
      <dgm:t>
        <a:bodyPr/>
        <a:lstStyle/>
        <a:p>
          <a:endParaRPr kumimoji="1" lang="ja-JP" altLang="en-US" sz="1000"/>
        </a:p>
      </dgm:t>
    </dgm:pt>
    <dgm:pt modelId="{429D15C5-F5E5-40D8-B94A-62DEB210A8C5}">
      <dgm:prSet phldrT="[テキスト]" custT="1"/>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米国メーカーの乗用車生鮮撤退・生産混乱→次期モデルの用のブレーキ製品の失注</a:t>
          </a:r>
          <a:endParaRPr kumimoji="1" lang="en-US" altLang="ja-JP"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sz="1000"/>
        </a:p>
      </dgm:t>
    </dgm:pt>
    <dgm:pt modelId="{30B73A00-F062-4A88-BE08-63ECAEC53DFF}" type="sibTrans" cxnId="{B4E5EA9A-9547-479C-A64D-1ABF367A0E4B}">
      <dgm:prSet/>
      <dgm:spPr/>
      <dgm:t>
        <a:bodyPr/>
        <a:lstStyle/>
        <a:p>
          <a:endParaRPr kumimoji="1" lang="ja-JP" altLang="en-US" sz="1000"/>
        </a:p>
      </dgm:t>
    </dgm:pt>
    <dgm:pt modelId="{937A5875-51E3-4A50-B3DD-C396EF442BC4}">
      <dgm:prSet phldrT="[テキスト]" custT="1"/>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sz="1000"/>
        </a:p>
      </dgm:t>
    </dgm:pt>
    <dgm:pt modelId="{FD947671-4C20-4000-83CC-A2335BE15A5B}" type="sibTrans" cxnId="{01DB3780-C8C2-46C8-86BA-258E0BCA2A65}">
      <dgm:prSet/>
      <dgm:spPr/>
      <dgm:t>
        <a:bodyPr/>
        <a:lstStyle/>
        <a:p>
          <a:endParaRPr kumimoji="1" lang="ja-JP" altLang="en-US" sz="1000"/>
        </a:p>
      </dgm:t>
    </dgm:pt>
    <dgm:pt modelId="{D608E7F2-0889-4DD9-B70F-7F6BCAB25AD2}">
      <dgm:prSet phldrT="[テキスト]" custT="1"/>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sz="1000"/>
        </a:p>
      </dgm:t>
    </dgm:pt>
    <dgm:pt modelId="{541A8187-2AD4-4C61-A682-B53A539493E0}" type="sibTrans" cxnId="{7CB112A1-BB31-4872-8434-F9CE746AC229}">
      <dgm:prSet/>
      <dgm:spPr/>
      <dgm:t>
        <a:bodyPr/>
        <a:lstStyle/>
        <a:p>
          <a:endParaRPr kumimoji="1" lang="ja-JP" altLang="en-US" sz="1000"/>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3214"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1">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3480C3-37DF-405E-83AE-693551B49AA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52A95E53-D356-41A2-A55F-769A3A6704E3}">
      <dgm:prSet phldrT="[テキスト]" custT="1"/>
      <dgm:spPr/>
      <dgm:t>
        <a:bodyPr/>
        <a:lstStyle/>
        <a:p>
          <a:r>
            <a:rPr lang="ja-JP" altLang="en-US" sz="900">
              <a:latin typeface="游ゴシック" panose="020B0400000000000000" pitchFamily="50" charset="-128"/>
              <a:ea typeface="游ゴシック" panose="020B0400000000000000" pitchFamily="50" charset="-128"/>
            </a:rPr>
            <a:t>北米での生産拠点の最適化を実施</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背景</a:t>
          </a:r>
          <a:r>
            <a:rPr lang="en-US" altLang="ja-JP" sz="900">
              <a:latin typeface="游ゴシック" panose="020B0400000000000000" pitchFamily="50" charset="-128"/>
              <a:ea typeface="游ゴシック" panose="020B0400000000000000" pitchFamily="50" charset="-128"/>
            </a:rPr>
            <a:t>:</a:t>
          </a:r>
          <a:r>
            <a:rPr lang="ja-JP" altLang="en-US" sz="900">
              <a:latin typeface="游ゴシック" panose="020B0400000000000000" pitchFamily="50" charset="-128"/>
              <a:ea typeface="游ゴシック" panose="020B0400000000000000" pitchFamily="50" charset="-128"/>
            </a:rPr>
            <a:t>リーマンショック等で自動車生産台数が減少し過剰生産能力が発生</a:t>
          </a:r>
        </a:p>
      </dgm:t>
    </dgm:pt>
    <dgm:pt modelId="{73D2091E-F32B-4646-9D6F-B498287911F8}" type="parTrans" cxnId="{6A499AD1-8D98-4989-986A-73C08586A6BB}">
      <dgm:prSet/>
      <dgm:spPr/>
      <dgm:t>
        <a:bodyPr/>
        <a:lstStyle/>
        <a:p>
          <a:endParaRPr lang="ja-JP" altLang="en-US"/>
        </a:p>
      </dgm:t>
    </dgm:pt>
    <dgm:pt modelId="{064E2D52-2E9C-4FA8-BBFE-FF93D0C4D216}" type="sibTrans" cxnId="{6A499AD1-8D98-4989-986A-73C08586A6BB}">
      <dgm:prSet/>
      <dgm:spPr/>
      <dgm:t>
        <a:bodyPr/>
        <a:lstStyle/>
        <a:p>
          <a:endParaRPr lang="ja-JP" altLang="en-US"/>
        </a:p>
      </dgm:t>
    </dgm:pt>
    <dgm:pt modelId="{FDFC4078-8DE4-4008-AB24-3FB31C613A82}">
      <dgm:prSet phldrT="[テキスト]" custT="1"/>
      <dgm:spPr/>
      <dgm:t>
        <a:bodyPr/>
        <a:lstStyle/>
        <a:p>
          <a:r>
            <a:rPr lang="en-US" altLang="ja-JP" sz="900">
              <a:latin typeface="游ゴシック" panose="020B0400000000000000" pitchFamily="50" charset="-128"/>
              <a:ea typeface="游ゴシック" panose="020B0400000000000000" pitchFamily="50" charset="-128"/>
            </a:rPr>
            <a:t>Bosch</a:t>
          </a:r>
          <a:r>
            <a:rPr lang="ja-JP" altLang="en-US" sz="900">
              <a:latin typeface="游ゴシック" panose="020B0400000000000000" pitchFamily="50" charset="-128"/>
              <a:ea typeface="游ゴシック" panose="020B0400000000000000" pitchFamily="50" charset="-128"/>
            </a:rPr>
            <a:t>からの事業譲り受け</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北米での売上比率が約</a:t>
          </a:r>
          <a:r>
            <a:rPr lang="en-US" altLang="ja-JP" sz="900">
              <a:latin typeface="游ゴシック" panose="020B0400000000000000" pitchFamily="50" charset="-128"/>
              <a:ea typeface="游ゴシック" panose="020B0400000000000000" pitchFamily="50" charset="-128"/>
            </a:rPr>
            <a:t>50%</a:t>
          </a:r>
          <a:r>
            <a:rPr lang="ja-JP" altLang="en-US" sz="900">
              <a:latin typeface="游ゴシック" panose="020B0400000000000000" pitchFamily="50" charset="-128"/>
              <a:ea typeface="游ゴシック" panose="020B0400000000000000" pitchFamily="50" charset="-128"/>
            </a:rPr>
            <a:t>に</a:t>
          </a:r>
          <a:r>
            <a:rPr lang="en-US" altLang="ja-JP" sz="900">
              <a:latin typeface="游ゴシック" panose="020B0400000000000000" pitchFamily="50" charset="-128"/>
              <a:ea typeface="游ゴシック" panose="020B0400000000000000" pitchFamily="50" charset="-128"/>
            </a:rPr>
            <a:t>(2011</a:t>
          </a:r>
          <a:r>
            <a:rPr lang="ja-JP" altLang="en-US" sz="900">
              <a:latin typeface="游ゴシック" panose="020B0400000000000000" pitchFamily="50" charset="-128"/>
              <a:ea typeface="游ゴシック" panose="020B0400000000000000" pitchFamily="50" charset="-128"/>
            </a:rPr>
            <a:t>年</a:t>
          </a:r>
          <a:r>
            <a:rPr lang="en-US" altLang="ja-JP" sz="900">
              <a:latin typeface="游ゴシック" panose="020B0400000000000000" pitchFamily="50" charset="-128"/>
              <a:ea typeface="游ゴシック" panose="020B0400000000000000" pitchFamily="50" charset="-128"/>
            </a:rPr>
            <a:t>3</a:t>
          </a:r>
          <a:r>
            <a:rPr lang="ja-JP" altLang="en-US" sz="900">
              <a:latin typeface="游ゴシック" panose="020B0400000000000000" pitchFamily="50" charset="-128"/>
              <a:ea typeface="游ゴシック" panose="020B0400000000000000" pitchFamily="50" charset="-128"/>
            </a:rPr>
            <a:t>月期</a:t>
          </a:r>
          <a:r>
            <a:rPr lang="en-US" altLang="ja-JP" sz="900">
              <a:latin typeface="游ゴシック" panose="020B0400000000000000" pitchFamily="50" charset="-128"/>
              <a:ea typeface="游ゴシック" panose="020B0400000000000000" pitchFamily="50" charset="-128"/>
            </a:rPr>
            <a:t>)</a:t>
          </a:r>
          <a:endParaRPr lang="ja-JP" altLang="en-US" sz="900">
            <a:latin typeface="游ゴシック" panose="020B0400000000000000" pitchFamily="50" charset="-128"/>
            <a:ea typeface="游ゴシック" panose="020B0400000000000000" pitchFamily="50" charset="-128"/>
          </a:endParaRPr>
        </a:p>
      </dgm:t>
    </dgm:pt>
    <dgm:pt modelId="{C6F155F2-0A4D-4AEF-8599-4ED25A20581F}" type="parTrans" cxnId="{8F6E9C0D-6B8A-4CB6-9E79-84F572E4B4E0}">
      <dgm:prSet/>
      <dgm:spPr/>
      <dgm:t>
        <a:bodyPr/>
        <a:lstStyle/>
        <a:p>
          <a:endParaRPr lang="ja-JP" altLang="en-US"/>
        </a:p>
      </dgm:t>
    </dgm:pt>
    <dgm:pt modelId="{D728639A-1464-4083-8390-68A6CC07B617}" type="sibTrans" cxnId="{8F6E9C0D-6B8A-4CB6-9E79-84F572E4B4E0}">
      <dgm:prSet/>
      <dgm:spPr/>
      <dgm:t>
        <a:bodyPr/>
        <a:lstStyle/>
        <a:p>
          <a:endParaRPr lang="ja-JP" altLang="en-US"/>
        </a:p>
      </dgm:t>
    </dgm:pt>
    <dgm:pt modelId="{1D75C2FA-EBDD-4729-8E97-DC9D2D318A59}">
      <dgm:prSet phldrT="[テキスト]" custT="1"/>
      <dgm:spPr/>
      <dgm:t>
        <a:bodyPr/>
        <a:lstStyle/>
        <a:p>
          <a:r>
            <a:rPr lang="ja-JP" altLang="en-US" sz="900">
              <a:latin typeface="游ゴシック" panose="020B0400000000000000" pitchFamily="50" charset="-128"/>
              <a:ea typeface="游ゴシック" panose="020B0400000000000000" pitchFamily="50" charset="-128"/>
            </a:rPr>
            <a:t>工場の統合</a:t>
          </a:r>
        </a:p>
      </dgm:t>
    </dgm:pt>
    <dgm:pt modelId="{6681BDC4-42D2-4535-806A-D2B872218BF5}" type="parTrans" cxnId="{B67D6954-13A5-45B1-BA8D-570A2B0B7C45}">
      <dgm:prSet/>
      <dgm:spPr/>
      <dgm:t>
        <a:bodyPr/>
        <a:lstStyle/>
        <a:p>
          <a:endParaRPr lang="ja-JP" altLang="en-US"/>
        </a:p>
      </dgm:t>
    </dgm:pt>
    <dgm:pt modelId="{9CF06394-9605-4D90-A06F-AC0C9E0CF64E}" type="sibTrans" cxnId="{B67D6954-13A5-45B1-BA8D-570A2B0B7C45}">
      <dgm:prSet/>
      <dgm:spPr/>
      <dgm:t>
        <a:bodyPr/>
        <a:lstStyle/>
        <a:p>
          <a:endParaRPr lang="ja-JP" altLang="en-US"/>
        </a:p>
      </dgm:t>
    </dgm:pt>
    <dgm:pt modelId="{624F760D-79E3-432C-BCCF-46C1C220BB34}">
      <dgm:prSet phldrT="[テキスト]"/>
      <dgm:spPr/>
      <dgm:t>
        <a:bodyPr/>
        <a:lstStyle/>
        <a:p>
          <a:r>
            <a:rPr lang="ja-JP" altLang="en-US">
              <a:latin typeface="游ゴシック" panose="020B0400000000000000" pitchFamily="50" charset="-128"/>
              <a:ea typeface="游ゴシック" panose="020B0400000000000000" pitchFamily="50" charset="-128"/>
            </a:rPr>
            <a:t>景気が回復し、自動車生産台数が急増。受注量が生産能力を超える</a:t>
          </a:r>
        </a:p>
      </dgm:t>
    </dgm:pt>
    <dgm:pt modelId="{C3477930-7D8D-45BF-918D-D9ABE6CE880C}" type="parTrans" cxnId="{B30CAD28-2D3E-4ADF-AE16-BEF868AF25AA}">
      <dgm:prSet/>
      <dgm:spPr/>
      <dgm:t>
        <a:bodyPr/>
        <a:lstStyle/>
        <a:p>
          <a:endParaRPr lang="ja-JP" altLang="en-US"/>
        </a:p>
      </dgm:t>
    </dgm:pt>
    <dgm:pt modelId="{41BD05EC-CE65-4E25-AC56-C9F7777811DD}" type="sibTrans" cxnId="{B30CAD28-2D3E-4ADF-AE16-BEF868AF25AA}">
      <dgm:prSet/>
      <dgm:spPr/>
      <dgm:t>
        <a:bodyPr/>
        <a:lstStyle/>
        <a:p>
          <a:endParaRPr lang="ja-JP" altLang="en-US"/>
        </a:p>
      </dgm:t>
    </dgm:pt>
    <dgm:pt modelId="{8ED7F95D-2551-4BFA-B858-3D1716CD29FD}">
      <dgm:prSet phldrT="[テキスト]" custT="1"/>
      <dgm:spPr/>
      <dgm:t>
        <a:bodyPr/>
        <a:lstStyle/>
        <a:p>
          <a:r>
            <a:rPr lang="ja-JP" altLang="en-US" sz="900">
              <a:latin typeface="游ゴシック" panose="020B0400000000000000" pitchFamily="50" charset="-128"/>
              <a:ea typeface="游ゴシック" panose="020B0400000000000000" pitchFamily="50" charset="-128"/>
            </a:rPr>
            <a:t>フル稼働に伴う人件費増加、機械の損耗による</a:t>
          </a:r>
          <a:br>
            <a:rPr lang="en-US" altLang="ja-JP" sz="900">
              <a:latin typeface="游ゴシック" panose="020B0400000000000000" pitchFamily="50" charset="-128"/>
              <a:ea typeface="游ゴシック" panose="020B0400000000000000" pitchFamily="50" charset="-128"/>
            </a:rPr>
          </a:br>
          <a:r>
            <a:rPr lang="ja-JP" altLang="en-US" sz="900">
              <a:latin typeface="游ゴシック" panose="020B0400000000000000" pitchFamily="50" charset="-128"/>
              <a:ea typeface="游ゴシック" panose="020B0400000000000000" pitchFamily="50" charset="-128"/>
            </a:rPr>
            <a:t>歩留まり悪化、機械修繕費の発生</a:t>
          </a:r>
        </a:p>
      </dgm:t>
    </dgm:pt>
    <dgm:pt modelId="{08C746D5-EDD7-46C0-9C3B-A5A359F94875}" type="parTrans" cxnId="{88715FC4-EFA6-40DB-948C-A13488416DF1}">
      <dgm:prSet/>
      <dgm:spPr/>
      <dgm:t>
        <a:bodyPr/>
        <a:lstStyle/>
        <a:p>
          <a:endParaRPr lang="ja-JP" altLang="en-US"/>
        </a:p>
      </dgm:t>
    </dgm:pt>
    <dgm:pt modelId="{528BA9BB-0FB3-46AA-B683-F0EB392596C3}" type="sibTrans" cxnId="{88715FC4-EFA6-40DB-948C-A13488416DF1}">
      <dgm:prSet/>
      <dgm:spPr/>
      <dgm:t>
        <a:bodyPr/>
        <a:lstStyle/>
        <a:p>
          <a:endParaRPr lang="ja-JP" altLang="en-US"/>
        </a:p>
      </dgm:t>
    </dgm:pt>
    <dgm:pt modelId="{D757D051-6AF4-41C1-BA50-4519E23499AC}">
      <dgm:prSet phldrT="[テキスト]" custT="1"/>
      <dgm:spPr/>
      <dgm:t>
        <a:bodyPr/>
        <a:lstStyle/>
        <a:p>
          <a:r>
            <a:rPr lang="ja-JP" altLang="en-US" sz="900">
              <a:latin typeface="游ゴシック" panose="020B0400000000000000" pitchFamily="50" charset="-128"/>
              <a:ea typeface="游ゴシック" panose="020B0400000000000000" pitchFamily="50" charset="-128"/>
            </a:rPr>
            <a:t>緊急輸送による輸送費増加</a:t>
          </a:r>
        </a:p>
      </dgm:t>
    </dgm:pt>
    <dgm:pt modelId="{9AB0E6E4-8202-4E72-AA19-7D3A1B9D78EF}" type="parTrans" cxnId="{21D1E98C-8B3A-4D7F-8142-0008EAB133ED}">
      <dgm:prSet/>
      <dgm:spPr/>
      <dgm:t>
        <a:bodyPr/>
        <a:lstStyle/>
        <a:p>
          <a:endParaRPr lang="ja-JP" altLang="en-US"/>
        </a:p>
      </dgm:t>
    </dgm:pt>
    <dgm:pt modelId="{0D0A3C87-E973-464F-8883-C7B0D0F6F15C}" type="sibTrans" cxnId="{21D1E98C-8B3A-4D7F-8142-0008EAB133ED}">
      <dgm:prSet/>
      <dgm:spPr/>
      <dgm:t>
        <a:bodyPr/>
        <a:lstStyle/>
        <a:p>
          <a:endParaRPr lang="ja-JP" altLang="en-US"/>
        </a:p>
      </dgm:t>
    </dgm:pt>
    <dgm:pt modelId="{F0F73C33-8A76-4F7F-952D-4E4F14007E2D}">
      <dgm:prSet phldrT="[テキスト]"/>
      <dgm:spPr/>
      <dgm:t>
        <a:bodyPr/>
        <a:lstStyle/>
        <a:p>
          <a:r>
            <a:rPr lang="ja-JP" altLang="en-US">
              <a:latin typeface="游ゴシック" panose="020B0400000000000000" pitchFamily="50" charset="-128"/>
              <a:ea typeface="游ゴシック" panose="020B0400000000000000" pitchFamily="50" charset="-128"/>
            </a:rPr>
            <a:t>生産混乱により完成車メーカーからの信頼が低下する</a:t>
          </a:r>
          <a:br>
            <a:rPr lang="en-US" altLang="ja-JP">
              <a:latin typeface="游ゴシック" panose="020B0400000000000000" pitchFamily="50" charset="-128"/>
              <a:ea typeface="游ゴシック" panose="020B0400000000000000" pitchFamily="50" charset="-128"/>
            </a:rPr>
          </a:br>
          <a:r>
            <a:rPr lang="ja-JP" altLang="en-US">
              <a:latin typeface="游ゴシック" panose="020B0400000000000000" pitchFamily="50" charset="-128"/>
              <a:ea typeface="游ゴシック" panose="020B0400000000000000" pitchFamily="50" charset="-128"/>
            </a:rPr>
            <a:t>米国での自動車産業の環境変化</a:t>
          </a:r>
          <a:endParaRPr lang="en-US" altLang="ja-JP">
            <a:latin typeface="游ゴシック" panose="020B0400000000000000" pitchFamily="50" charset="-128"/>
            <a:ea typeface="游ゴシック" panose="020B0400000000000000" pitchFamily="50" charset="-128"/>
          </a:endParaRPr>
        </a:p>
      </dgm:t>
    </dgm:pt>
    <dgm:pt modelId="{E8D5AA7B-AABC-4C1D-9B3F-FCA64EC526BE}" type="parTrans" cxnId="{4005579B-6DC5-4547-AD37-9EF3E15A039D}">
      <dgm:prSet/>
      <dgm:spPr/>
      <dgm:t>
        <a:bodyPr/>
        <a:lstStyle/>
        <a:p>
          <a:endParaRPr lang="ja-JP" altLang="en-US"/>
        </a:p>
      </dgm:t>
    </dgm:pt>
    <dgm:pt modelId="{665BC7DB-5EE0-4C03-A462-36D888773B1A}" type="sibTrans" cxnId="{4005579B-6DC5-4547-AD37-9EF3E15A039D}">
      <dgm:prSet/>
      <dgm:spPr/>
      <dgm:t>
        <a:bodyPr/>
        <a:lstStyle/>
        <a:p>
          <a:endParaRPr lang="ja-JP" altLang="en-US"/>
        </a:p>
      </dgm:t>
    </dgm:pt>
    <dgm:pt modelId="{276F4C52-D771-42EF-84F1-57076FD65B50}">
      <dgm:prSet phldrT="[テキスト]" custT="1"/>
      <dgm:spPr/>
      <dgm:t>
        <a:bodyPr/>
        <a:lstStyle/>
        <a:p>
          <a:r>
            <a:rPr lang="ja-JP" altLang="en-US" sz="900">
              <a:latin typeface="游ゴシック" panose="020B0400000000000000" pitchFamily="50" charset="-128"/>
              <a:ea typeface="游ゴシック" panose="020B0400000000000000" pitchFamily="50" charset="-128"/>
            </a:rPr>
            <a:t>最大の顧客であった</a:t>
          </a:r>
          <a:r>
            <a:rPr lang="en-US" altLang="ja-JP" sz="900">
              <a:latin typeface="游ゴシック" panose="020B0400000000000000" pitchFamily="50" charset="-128"/>
              <a:ea typeface="游ゴシック" panose="020B0400000000000000" pitchFamily="50" charset="-128"/>
            </a:rPr>
            <a:t>GM</a:t>
          </a:r>
          <a:r>
            <a:rPr lang="ja-JP" altLang="en-US" sz="900">
              <a:latin typeface="游ゴシック" panose="020B0400000000000000" pitchFamily="50" charset="-128"/>
              <a:ea typeface="游ゴシック" panose="020B0400000000000000" pitchFamily="50" charset="-128"/>
            </a:rPr>
            <a:t>の次期モデル失注</a:t>
          </a:r>
        </a:p>
      </dgm:t>
    </dgm:pt>
    <dgm:pt modelId="{0BCFEA09-8184-4C65-8E75-7B7CD1589E1A}" type="parTrans" cxnId="{83925874-07E8-4DEF-8A93-01964210A3EE}">
      <dgm:prSet/>
      <dgm:spPr/>
      <dgm:t>
        <a:bodyPr/>
        <a:lstStyle/>
        <a:p>
          <a:endParaRPr lang="ja-JP" altLang="en-US"/>
        </a:p>
      </dgm:t>
    </dgm:pt>
    <dgm:pt modelId="{A108DEE2-1A83-4C16-8576-DB3700741A85}" type="sibTrans" cxnId="{83925874-07E8-4DEF-8A93-01964210A3EE}">
      <dgm:prSet/>
      <dgm:spPr/>
      <dgm:t>
        <a:bodyPr/>
        <a:lstStyle/>
        <a:p>
          <a:endParaRPr lang="ja-JP" altLang="en-US"/>
        </a:p>
      </dgm:t>
    </dgm:pt>
    <dgm:pt modelId="{F6EBC1ED-8E67-49A7-BF7C-AAD573F6EF44}">
      <dgm:prSet phldrT="[テキスト]" custT="1"/>
      <dgm:spPr/>
      <dgm:t>
        <a:bodyPr/>
        <a:lstStyle/>
        <a:p>
          <a:r>
            <a:rPr lang="ja-JP" altLang="en-US" sz="900">
              <a:latin typeface="游ゴシック" panose="020B0400000000000000" pitchFamily="50" charset="-128"/>
              <a:ea typeface="游ゴシック" panose="020B0400000000000000" pitchFamily="50" charset="-128"/>
            </a:rPr>
            <a:t>米国の自動車メーカーの米国工場閉鎖</a:t>
          </a:r>
        </a:p>
      </dgm:t>
    </dgm:pt>
    <dgm:pt modelId="{9514E48B-A9C6-4E5A-9513-2F25B2F9008E}" type="parTrans" cxnId="{35C541B2-B8CA-43DA-A8F4-9A24046584C1}">
      <dgm:prSet/>
      <dgm:spPr/>
      <dgm:t>
        <a:bodyPr/>
        <a:lstStyle/>
        <a:p>
          <a:endParaRPr lang="ja-JP" altLang="en-US"/>
        </a:p>
      </dgm:t>
    </dgm:pt>
    <dgm:pt modelId="{F8843537-EDD5-4582-9ECB-9F056F94035E}" type="sibTrans" cxnId="{35C541B2-B8CA-43DA-A8F4-9A24046584C1}">
      <dgm:prSet/>
      <dgm:spPr/>
      <dgm:t>
        <a:bodyPr/>
        <a:lstStyle/>
        <a:p>
          <a:endParaRPr lang="ja-JP" altLang="en-US"/>
        </a:p>
      </dgm:t>
    </dgm:pt>
    <dgm:pt modelId="{5C59478E-5C12-4340-949C-B3DEF8593887}" type="pres">
      <dgm:prSet presAssocID="{183480C3-37DF-405E-83AE-693551B49AAA}" presName="Name0" presStyleCnt="0">
        <dgm:presLayoutVars>
          <dgm:dir/>
          <dgm:animLvl val="lvl"/>
          <dgm:resizeHandles val="exact"/>
        </dgm:presLayoutVars>
      </dgm:prSet>
      <dgm:spPr/>
    </dgm:pt>
    <dgm:pt modelId="{D0D1DEBD-A99A-4268-A45E-5A59BE48994B}" type="pres">
      <dgm:prSet presAssocID="{F0F73C33-8A76-4F7F-952D-4E4F14007E2D}" presName="boxAndChildren" presStyleCnt="0"/>
      <dgm:spPr/>
    </dgm:pt>
    <dgm:pt modelId="{B80B509B-51BF-42AA-B68B-BA12001B0BB9}" type="pres">
      <dgm:prSet presAssocID="{F0F73C33-8A76-4F7F-952D-4E4F14007E2D}" presName="parentTextBox" presStyleLbl="node1" presStyleIdx="0" presStyleCnt="3"/>
      <dgm:spPr/>
    </dgm:pt>
    <dgm:pt modelId="{5CB8ED84-7F64-4B8D-BFD6-B94CB2DE9E82}" type="pres">
      <dgm:prSet presAssocID="{F0F73C33-8A76-4F7F-952D-4E4F14007E2D}" presName="entireBox" presStyleLbl="node1" presStyleIdx="0" presStyleCnt="3"/>
      <dgm:spPr/>
    </dgm:pt>
    <dgm:pt modelId="{7D93579D-161D-492F-9ED3-4FD15CF3E00F}" type="pres">
      <dgm:prSet presAssocID="{F0F73C33-8A76-4F7F-952D-4E4F14007E2D}" presName="descendantBox" presStyleCnt="0"/>
      <dgm:spPr/>
    </dgm:pt>
    <dgm:pt modelId="{B15793C0-CFB9-4CB3-8421-E1A687563B6D}" type="pres">
      <dgm:prSet presAssocID="{276F4C52-D771-42EF-84F1-57076FD65B50}" presName="childTextBox" presStyleLbl="fgAccFollowNode1" presStyleIdx="0" presStyleCnt="6">
        <dgm:presLayoutVars>
          <dgm:bulletEnabled val="1"/>
        </dgm:presLayoutVars>
      </dgm:prSet>
      <dgm:spPr/>
    </dgm:pt>
    <dgm:pt modelId="{897D6A4A-0211-4D4D-B7A4-F835F314518A}" type="pres">
      <dgm:prSet presAssocID="{F6EBC1ED-8E67-49A7-BF7C-AAD573F6EF44}" presName="childTextBox" presStyleLbl="fgAccFollowNode1" presStyleIdx="1" presStyleCnt="6">
        <dgm:presLayoutVars>
          <dgm:bulletEnabled val="1"/>
        </dgm:presLayoutVars>
      </dgm:prSet>
      <dgm:spPr/>
    </dgm:pt>
    <dgm:pt modelId="{ADA4141B-5529-4F8C-8310-1D85FD29AF36}" type="pres">
      <dgm:prSet presAssocID="{41BD05EC-CE65-4E25-AC56-C9F7777811DD}" presName="sp" presStyleCnt="0"/>
      <dgm:spPr/>
    </dgm:pt>
    <dgm:pt modelId="{045A8647-1662-4807-8B6A-8B231EE202FB}" type="pres">
      <dgm:prSet presAssocID="{624F760D-79E3-432C-BCCF-46C1C220BB34}" presName="arrowAndChildren" presStyleCnt="0"/>
      <dgm:spPr/>
    </dgm:pt>
    <dgm:pt modelId="{065CB27B-61F1-430D-B502-529CEE1B21CB}" type="pres">
      <dgm:prSet presAssocID="{624F760D-79E3-432C-BCCF-46C1C220BB34}" presName="parentTextArrow" presStyleLbl="node1" presStyleIdx="0" presStyleCnt="3"/>
      <dgm:spPr/>
    </dgm:pt>
    <dgm:pt modelId="{EE18758B-4B45-4F77-8CAD-6142D7C62916}" type="pres">
      <dgm:prSet presAssocID="{624F760D-79E3-432C-BCCF-46C1C220BB34}" presName="arrow" presStyleLbl="node1" presStyleIdx="1" presStyleCnt="3"/>
      <dgm:spPr/>
    </dgm:pt>
    <dgm:pt modelId="{529480AD-C4C8-4BE1-81B5-423E1DAB0526}" type="pres">
      <dgm:prSet presAssocID="{624F760D-79E3-432C-BCCF-46C1C220BB34}" presName="descendantArrow" presStyleCnt="0"/>
      <dgm:spPr/>
    </dgm:pt>
    <dgm:pt modelId="{0B5564B2-55E2-43B1-A853-24A64E8AEA21}" type="pres">
      <dgm:prSet presAssocID="{8ED7F95D-2551-4BFA-B858-3D1716CD29FD}" presName="childTextArrow" presStyleLbl="fgAccFollowNode1" presStyleIdx="2" presStyleCnt="6" custLinFactNeighborY="0">
        <dgm:presLayoutVars>
          <dgm:bulletEnabled val="1"/>
        </dgm:presLayoutVars>
      </dgm:prSet>
      <dgm:spPr/>
    </dgm:pt>
    <dgm:pt modelId="{F36AEA17-64AF-47B8-827C-1312103B62F5}" type="pres">
      <dgm:prSet presAssocID="{D757D051-6AF4-41C1-BA50-4519E23499AC}" presName="childTextArrow" presStyleLbl="fgAccFollowNode1" presStyleIdx="3" presStyleCnt="6">
        <dgm:presLayoutVars>
          <dgm:bulletEnabled val="1"/>
        </dgm:presLayoutVars>
      </dgm:prSet>
      <dgm:spPr/>
    </dgm:pt>
    <dgm:pt modelId="{9B77E7AB-D93A-49FC-8671-D275B3BB2382}" type="pres">
      <dgm:prSet presAssocID="{064E2D52-2E9C-4FA8-BBFE-FF93D0C4D216}" presName="sp" presStyleCnt="0"/>
      <dgm:spPr/>
    </dgm:pt>
    <dgm:pt modelId="{1B4BC2E8-EB4E-48D6-AB10-400FE36A6432}" type="pres">
      <dgm:prSet presAssocID="{52A95E53-D356-41A2-A55F-769A3A6704E3}" presName="arrowAndChildren" presStyleCnt="0"/>
      <dgm:spPr/>
    </dgm:pt>
    <dgm:pt modelId="{754B4C61-FC03-4224-84FF-DC1FFE290BCA}" type="pres">
      <dgm:prSet presAssocID="{52A95E53-D356-41A2-A55F-769A3A6704E3}" presName="parentTextArrow" presStyleLbl="node1" presStyleIdx="1" presStyleCnt="3"/>
      <dgm:spPr/>
    </dgm:pt>
    <dgm:pt modelId="{ED0F8C43-4376-4F9F-A988-C19C23C31817}" type="pres">
      <dgm:prSet presAssocID="{52A95E53-D356-41A2-A55F-769A3A6704E3}" presName="arrow" presStyleLbl="node1" presStyleIdx="2" presStyleCnt="3"/>
      <dgm:spPr/>
    </dgm:pt>
    <dgm:pt modelId="{D9BF2716-89A3-47BA-BE97-D4CBD7B27242}" type="pres">
      <dgm:prSet presAssocID="{52A95E53-D356-41A2-A55F-769A3A6704E3}" presName="descendantArrow" presStyleCnt="0"/>
      <dgm:spPr/>
    </dgm:pt>
    <dgm:pt modelId="{BAC07B9D-832D-4867-8040-D676E6C57A94}" type="pres">
      <dgm:prSet presAssocID="{FDFC4078-8DE4-4008-AB24-3FB31C613A82}" presName="childTextArrow" presStyleLbl="fgAccFollowNode1" presStyleIdx="4" presStyleCnt="6" custLinFactNeighborX="353" custLinFactNeighborY="-2089">
        <dgm:presLayoutVars>
          <dgm:bulletEnabled val="1"/>
        </dgm:presLayoutVars>
      </dgm:prSet>
      <dgm:spPr/>
    </dgm:pt>
    <dgm:pt modelId="{AEAA659A-4998-44F6-9F2C-F7784F98E35B}" type="pres">
      <dgm:prSet presAssocID="{1D75C2FA-EBDD-4729-8E97-DC9D2D318A59}" presName="childTextArrow" presStyleLbl="fgAccFollowNode1" presStyleIdx="5" presStyleCnt="6" custLinFactNeighborY="-2089">
        <dgm:presLayoutVars>
          <dgm:bulletEnabled val="1"/>
        </dgm:presLayoutVars>
      </dgm:prSet>
      <dgm:spPr/>
    </dgm:pt>
  </dgm:ptLst>
  <dgm:cxnLst>
    <dgm:cxn modelId="{8A5E7208-F2C3-4166-A661-DD858AE2DE36}" type="presOf" srcId="{F0F73C33-8A76-4F7F-952D-4E4F14007E2D}" destId="{5CB8ED84-7F64-4B8D-BFD6-B94CB2DE9E82}" srcOrd="1" destOrd="0" presId="urn:microsoft.com/office/officeart/2005/8/layout/process4"/>
    <dgm:cxn modelId="{F5E79F08-90B7-49D8-8A59-69D3296254A5}" type="presOf" srcId="{D757D051-6AF4-41C1-BA50-4519E23499AC}" destId="{F36AEA17-64AF-47B8-827C-1312103B62F5}" srcOrd="0" destOrd="0" presId="urn:microsoft.com/office/officeart/2005/8/layout/process4"/>
    <dgm:cxn modelId="{A6701F0C-E750-4884-BA54-33E5F5210F7A}" type="presOf" srcId="{624F760D-79E3-432C-BCCF-46C1C220BB34}" destId="{065CB27B-61F1-430D-B502-529CEE1B21CB}" srcOrd="0" destOrd="0" presId="urn:microsoft.com/office/officeart/2005/8/layout/process4"/>
    <dgm:cxn modelId="{8F6E9C0D-6B8A-4CB6-9E79-84F572E4B4E0}" srcId="{52A95E53-D356-41A2-A55F-769A3A6704E3}" destId="{FDFC4078-8DE4-4008-AB24-3FB31C613A82}" srcOrd="0" destOrd="0" parTransId="{C6F155F2-0A4D-4AEF-8599-4ED25A20581F}" sibTransId="{D728639A-1464-4083-8390-68A6CC07B617}"/>
    <dgm:cxn modelId="{330D3E20-4428-4FAC-A054-EB03FD400AB4}" type="presOf" srcId="{8ED7F95D-2551-4BFA-B858-3D1716CD29FD}" destId="{0B5564B2-55E2-43B1-A853-24A64E8AEA21}" srcOrd="0" destOrd="0" presId="urn:microsoft.com/office/officeart/2005/8/layout/process4"/>
    <dgm:cxn modelId="{B30CAD28-2D3E-4ADF-AE16-BEF868AF25AA}" srcId="{183480C3-37DF-405E-83AE-693551B49AAA}" destId="{624F760D-79E3-432C-BCCF-46C1C220BB34}" srcOrd="1" destOrd="0" parTransId="{C3477930-7D8D-45BF-918D-D9ABE6CE880C}" sibTransId="{41BD05EC-CE65-4E25-AC56-C9F7777811DD}"/>
    <dgm:cxn modelId="{F4B1E43F-66F7-4C50-88B8-43E2320FFF4C}" type="presOf" srcId="{1D75C2FA-EBDD-4729-8E97-DC9D2D318A59}" destId="{AEAA659A-4998-44F6-9F2C-F7784F98E35B}" srcOrd="0" destOrd="0" presId="urn:microsoft.com/office/officeart/2005/8/layout/process4"/>
    <dgm:cxn modelId="{2121CF4A-9F96-4DB0-AB0F-16FF06F9A2AD}" type="presOf" srcId="{624F760D-79E3-432C-BCCF-46C1C220BB34}" destId="{EE18758B-4B45-4F77-8CAD-6142D7C62916}" srcOrd="1" destOrd="0" presId="urn:microsoft.com/office/officeart/2005/8/layout/process4"/>
    <dgm:cxn modelId="{B67D6954-13A5-45B1-BA8D-570A2B0B7C45}" srcId="{52A95E53-D356-41A2-A55F-769A3A6704E3}" destId="{1D75C2FA-EBDD-4729-8E97-DC9D2D318A59}" srcOrd="1" destOrd="0" parTransId="{6681BDC4-42D2-4535-806A-D2B872218BF5}" sibTransId="{9CF06394-9605-4D90-A06F-AC0C9E0CF64E}"/>
    <dgm:cxn modelId="{83925874-07E8-4DEF-8A93-01964210A3EE}" srcId="{F0F73C33-8A76-4F7F-952D-4E4F14007E2D}" destId="{276F4C52-D771-42EF-84F1-57076FD65B50}" srcOrd="0" destOrd="0" parTransId="{0BCFEA09-8184-4C65-8E75-7B7CD1589E1A}" sibTransId="{A108DEE2-1A83-4C16-8576-DB3700741A85}"/>
    <dgm:cxn modelId="{6510A97B-51B2-4C24-AFFA-5F9DCE37C4F2}" type="presOf" srcId="{FDFC4078-8DE4-4008-AB24-3FB31C613A82}" destId="{BAC07B9D-832D-4867-8040-D676E6C57A94}" srcOrd="0" destOrd="0" presId="urn:microsoft.com/office/officeart/2005/8/layout/process4"/>
    <dgm:cxn modelId="{EAF55B7C-311B-4E95-BBD8-C57967E29353}" type="presOf" srcId="{F0F73C33-8A76-4F7F-952D-4E4F14007E2D}" destId="{B80B509B-51BF-42AA-B68B-BA12001B0BB9}" srcOrd="0" destOrd="0" presId="urn:microsoft.com/office/officeart/2005/8/layout/process4"/>
    <dgm:cxn modelId="{21D1E98C-8B3A-4D7F-8142-0008EAB133ED}" srcId="{624F760D-79E3-432C-BCCF-46C1C220BB34}" destId="{D757D051-6AF4-41C1-BA50-4519E23499AC}" srcOrd="1" destOrd="0" parTransId="{9AB0E6E4-8202-4E72-AA19-7D3A1B9D78EF}" sibTransId="{0D0A3C87-E973-464F-8883-C7B0D0F6F15C}"/>
    <dgm:cxn modelId="{D782A096-774B-497E-A787-DBC416490713}" type="presOf" srcId="{52A95E53-D356-41A2-A55F-769A3A6704E3}" destId="{ED0F8C43-4376-4F9F-A988-C19C23C31817}" srcOrd="1" destOrd="0" presId="urn:microsoft.com/office/officeart/2005/8/layout/process4"/>
    <dgm:cxn modelId="{4005579B-6DC5-4547-AD37-9EF3E15A039D}" srcId="{183480C3-37DF-405E-83AE-693551B49AAA}" destId="{F0F73C33-8A76-4F7F-952D-4E4F14007E2D}" srcOrd="2" destOrd="0" parTransId="{E8D5AA7B-AABC-4C1D-9B3F-FCA64EC526BE}" sibTransId="{665BC7DB-5EE0-4C03-A462-36D888773B1A}"/>
    <dgm:cxn modelId="{4C133EA8-2C36-4476-8A52-BC01234E7062}" type="presOf" srcId="{183480C3-37DF-405E-83AE-693551B49AAA}" destId="{5C59478E-5C12-4340-949C-B3DEF8593887}" srcOrd="0" destOrd="0" presId="urn:microsoft.com/office/officeart/2005/8/layout/process4"/>
    <dgm:cxn modelId="{35C541B2-B8CA-43DA-A8F4-9A24046584C1}" srcId="{F0F73C33-8A76-4F7F-952D-4E4F14007E2D}" destId="{F6EBC1ED-8E67-49A7-BF7C-AAD573F6EF44}" srcOrd="1" destOrd="0" parTransId="{9514E48B-A9C6-4E5A-9513-2F25B2F9008E}" sibTransId="{F8843537-EDD5-4582-9ECB-9F056F94035E}"/>
    <dgm:cxn modelId="{88715FC4-EFA6-40DB-948C-A13488416DF1}" srcId="{624F760D-79E3-432C-BCCF-46C1C220BB34}" destId="{8ED7F95D-2551-4BFA-B858-3D1716CD29FD}" srcOrd="0" destOrd="0" parTransId="{08C746D5-EDD7-46C0-9C3B-A5A359F94875}" sibTransId="{528BA9BB-0FB3-46AA-B683-F0EB392596C3}"/>
    <dgm:cxn modelId="{6A499AD1-8D98-4989-986A-73C08586A6BB}" srcId="{183480C3-37DF-405E-83AE-693551B49AAA}" destId="{52A95E53-D356-41A2-A55F-769A3A6704E3}" srcOrd="0" destOrd="0" parTransId="{73D2091E-F32B-4646-9D6F-B498287911F8}" sibTransId="{064E2D52-2E9C-4FA8-BBFE-FF93D0C4D216}"/>
    <dgm:cxn modelId="{D3718DDD-3B1D-4C42-8E6E-20D2E5F8B9BE}" type="presOf" srcId="{276F4C52-D771-42EF-84F1-57076FD65B50}" destId="{B15793C0-CFB9-4CB3-8421-E1A687563B6D}" srcOrd="0" destOrd="0" presId="urn:microsoft.com/office/officeart/2005/8/layout/process4"/>
    <dgm:cxn modelId="{B68C56DF-9B96-41F8-8034-8AE2CF3F3974}" type="presOf" srcId="{F6EBC1ED-8E67-49A7-BF7C-AAD573F6EF44}" destId="{897D6A4A-0211-4D4D-B7A4-F835F314518A}" srcOrd="0" destOrd="0" presId="urn:microsoft.com/office/officeart/2005/8/layout/process4"/>
    <dgm:cxn modelId="{B349DCEF-AC5F-4268-8DDF-BE43669CA796}" type="presOf" srcId="{52A95E53-D356-41A2-A55F-769A3A6704E3}" destId="{754B4C61-FC03-4224-84FF-DC1FFE290BCA}" srcOrd="0" destOrd="0" presId="urn:microsoft.com/office/officeart/2005/8/layout/process4"/>
    <dgm:cxn modelId="{0EED2D1D-F2F5-4D41-9D8B-BD7332EEB717}" type="presParOf" srcId="{5C59478E-5C12-4340-949C-B3DEF8593887}" destId="{D0D1DEBD-A99A-4268-A45E-5A59BE48994B}" srcOrd="0" destOrd="0" presId="urn:microsoft.com/office/officeart/2005/8/layout/process4"/>
    <dgm:cxn modelId="{471732F4-FEAB-44F2-91EA-3B09E07488B1}" type="presParOf" srcId="{D0D1DEBD-A99A-4268-A45E-5A59BE48994B}" destId="{B80B509B-51BF-42AA-B68B-BA12001B0BB9}" srcOrd="0" destOrd="0" presId="urn:microsoft.com/office/officeart/2005/8/layout/process4"/>
    <dgm:cxn modelId="{E8250C32-15B4-4AF7-94B7-EEC156E06DB8}" type="presParOf" srcId="{D0D1DEBD-A99A-4268-A45E-5A59BE48994B}" destId="{5CB8ED84-7F64-4B8D-BFD6-B94CB2DE9E82}" srcOrd="1" destOrd="0" presId="urn:microsoft.com/office/officeart/2005/8/layout/process4"/>
    <dgm:cxn modelId="{8337243D-EA25-4E56-90A7-3A7A6877EE15}" type="presParOf" srcId="{D0D1DEBD-A99A-4268-A45E-5A59BE48994B}" destId="{7D93579D-161D-492F-9ED3-4FD15CF3E00F}" srcOrd="2" destOrd="0" presId="urn:microsoft.com/office/officeart/2005/8/layout/process4"/>
    <dgm:cxn modelId="{E68BC8BA-ED5B-4CB2-AEAB-80CA12F52471}" type="presParOf" srcId="{7D93579D-161D-492F-9ED3-4FD15CF3E00F}" destId="{B15793C0-CFB9-4CB3-8421-E1A687563B6D}" srcOrd="0" destOrd="0" presId="urn:microsoft.com/office/officeart/2005/8/layout/process4"/>
    <dgm:cxn modelId="{C900F4AC-BE8E-4F76-9512-EE5E68C848FF}" type="presParOf" srcId="{7D93579D-161D-492F-9ED3-4FD15CF3E00F}" destId="{897D6A4A-0211-4D4D-B7A4-F835F314518A}" srcOrd="1" destOrd="0" presId="urn:microsoft.com/office/officeart/2005/8/layout/process4"/>
    <dgm:cxn modelId="{D1F7A477-08CB-43A5-BBE4-0358CDF197FE}" type="presParOf" srcId="{5C59478E-5C12-4340-949C-B3DEF8593887}" destId="{ADA4141B-5529-4F8C-8310-1D85FD29AF36}" srcOrd="1" destOrd="0" presId="urn:microsoft.com/office/officeart/2005/8/layout/process4"/>
    <dgm:cxn modelId="{0D85EEF5-9CE6-4B6D-B26E-714332141180}" type="presParOf" srcId="{5C59478E-5C12-4340-949C-B3DEF8593887}" destId="{045A8647-1662-4807-8B6A-8B231EE202FB}" srcOrd="2" destOrd="0" presId="urn:microsoft.com/office/officeart/2005/8/layout/process4"/>
    <dgm:cxn modelId="{7760969C-4FDB-4281-BFA9-0881E810093B}" type="presParOf" srcId="{045A8647-1662-4807-8B6A-8B231EE202FB}" destId="{065CB27B-61F1-430D-B502-529CEE1B21CB}" srcOrd="0" destOrd="0" presId="urn:microsoft.com/office/officeart/2005/8/layout/process4"/>
    <dgm:cxn modelId="{DA0CDCDB-22BE-4FBB-B51E-48FFD62B58A0}" type="presParOf" srcId="{045A8647-1662-4807-8B6A-8B231EE202FB}" destId="{EE18758B-4B45-4F77-8CAD-6142D7C62916}" srcOrd="1" destOrd="0" presId="urn:microsoft.com/office/officeart/2005/8/layout/process4"/>
    <dgm:cxn modelId="{2DD3550B-360E-4653-B762-CAF63CF1F919}" type="presParOf" srcId="{045A8647-1662-4807-8B6A-8B231EE202FB}" destId="{529480AD-C4C8-4BE1-81B5-423E1DAB0526}" srcOrd="2" destOrd="0" presId="urn:microsoft.com/office/officeart/2005/8/layout/process4"/>
    <dgm:cxn modelId="{F4FEB336-8B39-447E-9111-438E77A6131C}" type="presParOf" srcId="{529480AD-C4C8-4BE1-81B5-423E1DAB0526}" destId="{0B5564B2-55E2-43B1-A853-24A64E8AEA21}" srcOrd="0" destOrd="0" presId="urn:microsoft.com/office/officeart/2005/8/layout/process4"/>
    <dgm:cxn modelId="{09794650-26A7-41C6-B07C-D4735D9083E1}" type="presParOf" srcId="{529480AD-C4C8-4BE1-81B5-423E1DAB0526}" destId="{F36AEA17-64AF-47B8-827C-1312103B62F5}" srcOrd="1" destOrd="0" presId="urn:microsoft.com/office/officeart/2005/8/layout/process4"/>
    <dgm:cxn modelId="{49EAEF58-2468-40FE-BC8A-79604B2BC61A}" type="presParOf" srcId="{5C59478E-5C12-4340-949C-B3DEF8593887}" destId="{9B77E7AB-D93A-49FC-8671-D275B3BB2382}" srcOrd="3" destOrd="0" presId="urn:microsoft.com/office/officeart/2005/8/layout/process4"/>
    <dgm:cxn modelId="{88E12F01-825E-4687-A396-D448AACBD52E}" type="presParOf" srcId="{5C59478E-5C12-4340-949C-B3DEF8593887}" destId="{1B4BC2E8-EB4E-48D6-AB10-400FE36A6432}" srcOrd="4" destOrd="0" presId="urn:microsoft.com/office/officeart/2005/8/layout/process4"/>
    <dgm:cxn modelId="{A3460582-3B14-4F47-BCB6-9E76FA94E6CA}" type="presParOf" srcId="{1B4BC2E8-EB4E-48D6-AB10-400FE36A6432}" destId="{754B4C61-FC03-4224-84FF-DC1FFE290BCA}" srcOrd="0" destOrd="0" presId="urn:microsoft.com/office/officeart/2005/8/layout/process4"/>
    <dgm:cxn modelId="{722A2F18-546C-4A84-8ED5-9D4F2796EAE0}" type="presParOf" srcId="{1B4BC2E8-EB4E-48D6-AB10-400FE36A6432}" destId="{ED0F8C43-4376-4F9F-A988-C19C23C31817}" srcOrd="1" destOrd="0" presId="urn:microsoft.com/office/officeart/2005/8/layout/process4"/>
    <dgm:cxn modelId="{2A934E24-AC08-4D49-859A-A2BA27117C5E}" type="presParOf" srcId="{1B4BC2E8-EB4E-48D6-AB10-400FE36A6432}" destId="{D9BF2716-89A3-47BA-BE97-D4CBD7B27242}" srcOrd="2" destOrd="0" presId="urn:microsoft.com/office/officeart/2005/8/layout/process4"/>
    <dgm:cxn modelId="{1E5280A4-9B90-4E93-AE2C-5B73F966C58F}" type="presParOf" srcId="{D9BF2716-89A3-47BA-BE97-D4CBD7B27242}" destId="{BAC07B9D-832D-4867-8040-D676E6C57A94}" srcOrd="0" destOrd="0" presId="urn:microsoft.com/office/officeart/2005/8/layout/process4"/>
    <dgm:cxn modelId="{02FC4A33-C13F-4904-845B-1B21FA9C1B98}" type="presParOf" srcId="{D9BF2716-89A3-47BA-BE97-D4CBD7B27242}" destId="{AEAA659A-4998-44F6-9F2C-F7784F98E35B}" srcOrd="1"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527203"/>
          <a:ext cx="5334000" cy="50126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527203"/>
        <a:ext cx="5334000" cy="501262"/>
      </dsp:txXfrm>
    </dsp:sp>
    <dsp:sp modelId="{56159C94-D58F-447B-B19B-21156F0479B4}">
      <dsp:nvSpPr>
        <dsp:cNvPr id="0" name=""/>
        <dsp:cNvSpPr/>
      </dsp:nvSpPr>
      <dsp:spPr>
        <a:xfrm rot="10800000">
          <a:off x="0" y="763781"/>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763781"/>
        <a:ext cx="5334000" cy="500934"/>
      </dsp:txXfrm>
    </dsp:sp>
    <dsp:sp modelId="{8088FA20-98EA-45BF-B3F0-5F1FD8A4AB65}">
      <dsp:nvSpPr>
        <dsp:cNvPr id="0" name=""/>
        <dsp:cNvSpPr/>
      </dsp:nvSpPr>
      <dsp:spPr>
        <a:xfrm rot="10800000">
          <a:off x="0" y="0"/>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94772"/>
        <a:ext cx="5334000" cy="175828"/>
      </dsp:txXfrm>
    </dsp:sp>
    <dsp:sp modelId="{4F358BF1-AD60-4B29-A84F-F6250F3372BE}">
      <dsp:nvSpPr>
        <dsp:cNvPr id="0" name=""/>
        <dsp:cNvSpPr/>
      </dsp:nvSpPr>
      <dsp:spPr>
        <a:xfrm>
          <a:off x="0" y="270959"/>
          <a:ext cx="5334000" cy="230511"/>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米国メーカーの乗用車生鮮撤退・生産混乱→次期モデルの用のブレーキ製品の失注</a:t>
          </a:r>
          <a:endParaRPr kumimoji="1" lang="en-US" altLang="ja-JP"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70959"/>
        <a:ext cx="5334000" cy="2305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B8ED84-7F64-4B8D-BFD6-B94CB2DE9E82}">
      <dsp:nvSpPr>
        <dsp:cNvPr id="0" name=""/>
        <dsp:cNvSpPr/>
      </dsp:nvSpPr>
      <dsp:spPr>
        <a:xfrm>
          <a:off x="0" y="3068747"/>
          <a:ext cx="5400039" cy="1007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生産混乱により完成車メーカーからの信頼が低下する</a:t>
          </a:r>
          <a:br>
            <a:rPr lang="en-US" altLang="ja-JP" sz="1000" kern="1200">
              <a:latin typeface="游ゴシック" panose="020B0400000000000000" pitchFamily="50" charset="-128"/>
              <a:ea typeface="游ゴシック" panose="020B0400000000000000" pitchFamily="50" charset="-128"/>
            </a:rPr>
          </a:br>
          <a:r>
            <a:rPr lang="ja-JP" altLang="en-US" sz="1000" kern="1200">
              <a:latin typeface="游ゴシック" panose="020B0400000000000000" pitchFamily="50" charset="-128"/>
              <a:ea typeface="游ゴシック" panose="020B0400000000000000" pitchFamily="50" charset="-128"/>
            </a:rPr>
            <a:t>米国での自動車産業の環境変化</a:t>
          </a:r>
          <a:endParaRPr lang="en-US" altLang="ja-JP" sz="1000" kern="1200">
            <a:latin typeface="游ゴシック" panose="020B0400000000000000" pitchFamily="50" charset="-128"/>
            <a:ea typeface="游ゴシック" panose="020B0400000000000000" pitchFamily="50" charset="-128"/>
          </a:endParaRPr>
        </a:p>
      </dsp:txBody>
      <dsp:txXfrm>
        <a:off x="0" y="3068747"/>
        <a:ext cx="5400039" cy="543905"/>
      </dsp:txXfrm>
    </dsp:sp>
    <dsp:sp modelId="{B15793C0-CFB9-4CB3-8421-E1A687563B6D}">
      <dsp:nvSpPr>
        <dsp:cNvPr id="0" name=""/>
        <dsp:cNvSpPr/>
      </dsp:nvSpPr>
      <dsp:spPr>
        <a:xfrm>
          <a:off x="0"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最大の顧客であった</a:t>
          </a:r>
          <a:r>
            <a:rPr lang="en-US" altLang="ja-JP" sz="900" kern="1200">
              <a:latin typeface="游ゴシック" panose="020B0400000000000000" pitchFamily="50" charset="-128"/>
              <a:ea typeface="游ゴシック" panose="020B0400000000000000" pitchFamily="50" charset="-128"/>
            </a:rPr>
            <a:t>GM</a:t>
          </a:r>
          <a:r>
            <a:rPr lang="ja-JP" altLang="en-US" sz="900" kern="1200">
              <a:latin typeface="游ゴシック" panose="020B0400000000000000" pitchFamily="50" charset="-128"/>
              <a:ea typeface="游ゴシック" panose="020B0400000000000000" pitchFamily="50" charset="-128"/>
            </a:rPr>
            <a:t>の次期モデル失注</a:t>
          </a:r>
        </a:p>
      </dsp:txBody>
      <dsp:txXfrm>
        <a:off x="0" y="3592508"/>
        <a:ext cx="2700019" cy="463326"/>
      </dsp:txXfrm>
    </dsp:sp>
    <dsp:sp modelId="{897D6A4A-0211-4D4D-B7A4-F835F314518A}">
      <dsp:nvSpPr>
        <dsp:cNvPr id="0" name=""/>
        <dsp:cNvSpPr/>
      </dsp:nvSpPr>
      <dsp:spPr>
        <a:xfrm>
          <a:off x="2700019"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米国の自動車メーカーの米国工場閉鎖</a:t>
          </a:r>
        </a:p>
      </dsp:txBody>
      <dsp:txXfrm>
        <a:off x="2700019" y="3592508"/>
        <a:ext cx="2700019" cy="463326"/>
      </dsp:txXfrm>
    </dsp:sp>
    <dsp:sp modelId="{EE18758B-4B45-4F77-8CAD-6142D7C62916}">
      <dsp:nvSpPr>
        <dsp:cNvPr id="0" name=""/>
        <dsp:cNvSpPr/>
      </dsp:nvSpPr>
      <dsp:spPr>
        <a:xfrm rot="10800000">
          <a:off x="0" y="1534734"/>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景気が回復し、自動車生産台数が急増。受注量が生産能力を超える</a:t>
          </a:r>
        </a:p>
      </dsp:txBody>
      <dsp:txXfrm rot="-10800000">
        <a:off x="0" y="1534734"/>
        <a:ext cx="5400039" cy="543741"/>
      </dsp:txXfrm>
    </dsp:sp>
    <dsp:sp modelId="{0B5564B2-55E2-43B1-A853-24A64E8AEA21}">
      <dsp:nvSpPr>
        <dsp:cNvPr id="0" name=""/>
        <dsp:cNvSpPr/>
      </dsp:nvSpPr>
      <dsp:spPr>
        <a:xfrm>
          <a:off x="0"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フル稼働に伴う人件費増加、機械の損耗による</a:t>
          </a:r>
          <a:br>
            <a:rPr lang="en-US" altLang="ja-JP" sz="900" kern="1200">
              <a:latin typeface="游ゴシック" panose="020B0400000000000000" pitchFamily="50" charset="-128"/>
              <a:ea typeface="游ゴシック" panose="020B0400000000000000" pitchFamily="50" charset="-128"/>
            </a:rPr>
          </a:br>
          <a:r>
            <a:rPr lang="ja-JP" altLang="en-US" sz="900" kern="1200">
              <a:latin typeface="游ゴシック" panose="020B0400000000000000" pitchFamily="50" charset="-128"/>
              <a:ea typeface="游ゴシック" panose="020B0400000000000000" pitchFamily="50" charset="-128"/>
            </a:rPr>
            <a:t>歩留まり悪化、機械修繕費の発生</a:t>
          </a:r>
        </a:p>
      </dsp:txBody>
      <dsp:txXfrm>
        <a:off x="0" y="2078476"/>
        <a:ext cx="2700019" cy="463187"/>
      </dsp:txXfrm>
    </dsp:sp>
    <dsp:sp modelId="{F36AEA17-64AF-47B8-827C-1312103B62F5}">
      <dsp:nvSpPr>
        <dsp:cNvPr id="0" name=""/>
        <dsp:cNvSpPr/>
      </dsp:nvSpPr>
      <dsp:spPr>
        <a:xfrm>
          <a:off x="2700019"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緊急輸送による輸送費増加</a:t>
          </a:r>
        </a:p>
      </dsp:txBody>
      <dsp:txXfrm>
        <a:off x="2700019" y="2078476"/>
        <a:ext cx="2700019" cy="463187"/>
      </dsp:txXfrm>
    </dsp:sp>
    <dsp:sp modelId="{ED0F8C43-4376-4F9F-A988-C19C23C31817}">
      <dsp:nvSpPr>
        <dsp:cNvPr id="0" name=""/>
        <dsp:cNvSpPr/>
      </dsp:nvSpPr>
      <dsp:spPr>
        <a:xfrm rot="10800000">
          <a:off x="0" y="720"/>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北米での生産拠点の最適化を実施</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背景</a:t>
          </a:r>
          <a:r>
            <a:rPr lang="en-US" altLang="ja-JP" sz="900" kern="1200">
              <a:latin typeface="游ゴシック" panose="020B0400000000000000" pitchFamily="50" charset="-128"/>
              <a:ea typeface="游ゴシック" panose="020B0400000000000000" pitchFamily="50" charset="-128"/>
            </a:rPr>
            <a:t>:</a:t>
          </a:r>
          <a:r>
            <a:rPr lang="ja-JP" altLang="en-US" sz="900" kern="1200">
              <a:latin typeface="游ゴシック" panose="020B0400000000000000" pitchFamily="50" charset="-128"/>
              <a:ea typeface="游ゴシック" panose="020B0400000000000000" pitchFamily="50" charset="-128"/>
            </a:rPr>
            <a:t>リーマンショック等で自動車生産台数が減少し過剰生産能力が発生</a:t>
          </a:r>
        </a:p>
      </dsp:txBody>
      <dsp:txXfrm rot="-10800000">
        <a:off x="0" y="720"/>
        <a:ext cx="5400039" cy="543741"/>
      </dsp:txXfrm>
    </dsp:sp>
    <dsp:sp modelId="{BAC07B9D-832D-4867-8040-D676E6C57A94}">
      <dsp:nvSpPr>
        <dsp:cNvPr id="0" name=""/>
        <dsp:cNvSpPr/>
      </dsp:nvSpPr>
      <dsp:spPr>
        <a:xfrm>
          <a:off x="9531"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altLang="ja-JP" sz="900" kern="1200">
              <a:latin typeface="游ゴシック" panose="020B0400000000000000" pitchFamily="50" charset="-128"/>
              <a:ea typeface="游ゴシック" panose="020B0400000000000000" pitchFamily="50" charset="-128"/>
            </a:rPr>
            <a:t>Bosch</a:t>
          </a:r>
          <a:r>
            <a:rPr lang="ja-JP" altLang="en-US" sz="900" kern="1200">
              <a:latin typeface="游ゴシック" panose="020B0400000000000000" pitchFamily="50" charset="-128"/>
              <a:ea typeface="游ゴシック" panose="020B0400000000000000" pitchFamily="50" charset="-128"/>
            </a:rPr>
            <a:t>からの事業譲り受け</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北米での売上比率が約</a:t>
          </a:r>
          <a:r>
            <a:rPr lang="en-US" altLang="ja-JP" sz="900" kern="1200">
              <a:latin typeface="游ゴシック" panose="020B0400000000000000" pitchFamily="50" charset="-128"/>
              <a:ea typeface="游ゴシック" panose="020B0400000000000000" pitchFamily="50" charset="-128"/>
            </a:rPr>
            <a:t>50%</a:t>
          </a:r>
          <a:r>
            <a:rPr lang="ja-JP" altLang="en-US" sz="900" kern="1200">
              <a:latin typeface="游ゴシック" panose="020B0400000000000000" pitchFamily="50" charset="-128"/>
              <a:ea typeface="游ゴシック" panose="020B0400000000000000" pitchFamily="50" charset="-128"/>
            </a:rPr>
            <a:t>に</a:t>
          </a:r>
          <a:r>
            <a:rPr lang="en-US" altLang="ja-JP" sz="900" kern="1200">
              <a:latin typeface="游ゴシック" panose="020B0400000000000000" pitchFamily="50" charset="-128"/>
              <a:ea typeface="游ゴシック" panose="020B0400000000000000" pitchFamily="50" charset="-128"/>
            </a:rPr>
            <a:t>(2011</a:t>
          </a:r>
          <a:r>
            <a:rPr lang="ja-JP" altLang="en-US" sz="900" kern="1200">
              <a:latin typeface="游ゴシック" panose="020B0400000000000000" pitchFamily="50" charset="-128"/>
              <a:ea typeface="游ゴシック" panose="020B0400000000000000" pitchFamily="50" charset="-128"/>
            </a:rPr>
            <a:t>年</a:t>
          </a:r>
          <a:r>
            <a:rPr lang="en-US" altLang="ja-JP" sz="900" kern="1200">
              <a:latin typeface="游ゴシック" panose="020B0400000000000000" pitchFamily="50" charset="-128"/>
              <a:ea typeface="游ゴシック" panose="020B0400000000000000" pitchFamily="50" charset="-128"/>
            </a:rPr>
            <a:t>3</a:t>
          </a:r>
          <a:r>
            <a:rPr lang="ja-JP" altLang="en-US" sz="900" kern="1200">
              <a:latin typeface="游ゴシック" panose="020B0400000000000000" pitchFamily="50" charset="-128"/>
              <a:ea typeface="游ゴシック" panose="020B0400000000000000" pitchFamily="50" charset="-128"/>
            </a:rPr>
            <a:t>月期</a:t>
          </a:r>
          <a:r>
            <a:rPr lang="en-US" altLang="ja-JP" sz="900" kern="1200">
              <a:latin typeface="游ゴシック" panose="020B0400000000000000" pitchFamily="50" charset="-128"/>
              <a:ea typeface="游ゴシック" panose="020B0400000000000000" pitchFamily="50" charset="-128"/>
            </a:rPr>
            <a:t>)</a:t>
          </a:r>
          <a:endParaRPr lang="ja-JP" altLang="en-US" sz="900" kern="1200">
            <a:latin typeface="游ゴシック" panose="020B0400000000000000" pitchFamily="50" charset="-128"/>
            <a:ea typeface="游ゴシック" panose="020B0400000000000000" pitchFamily="50" charset="-128"/>
          </a:endParaRPr>
        </a:p>
      </dsp:txBody>
      <dsp:txXfrm>
        <a:off x="9531" y="534786"/>
        <a:ext cx="2700019" cy="463187"/>
      </dsp:txXfrm>
    </dsp:sp>
    <dsp:sp modelId="{AEAA659A-4998-44F6-9F2C-F7784F98E35B}">
      <dsp:nvSpPr>
        <dsp:cNvPr id="0" name=""/>
        <dsp:cNvSpPr/>
      </dsp:nvSpPr>
      <dsp:spPr>
        <a:xfrm>
          <a:off x="2700019"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工場の統合</a:t>
          </a:r>
        </a:p>
      </dsp:txBody>
      <dsp:txXfrm>
        <a:off x="2700019" y="534786"/>
        <a:ext cx="2700019" cy="4631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0.4953</cdr:x>
      <cdr:y>0.46628</cdr:y>
    </cdr:from>
    <cdr:to>
      <cdr:x>0.70731</cdr:x>
      <cdr:y>0.60704</cdr:y>
    </cdr:to>
    <cdr:sp macro="" textlink="">
      <cdr:nvSpPr>
        <cdr:cNvPr id="2" name="矢印: 左右 1"/>
        <cdr:cNvSpPr/>
      </cdr:nvSpPr>
      <cdr:spPr>
        <a:xfrm xmlns:a="http://schemas.openxmlformats.org/drawingml/2006/main">
          <a:off x="2674639" y="1467707"/>
          <a:ext cx="1144885" cy="443070"/>
        </a:xfrm>
        <a:prstGeom xmlns:a="http://schemas.openxmlformats.org/drawingml/2006/main" prst="leftRight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ja-JP" altLang="en-US"/>
            <a:t>　生産混乱</a:t>
          </a:r>
          <a:endParaRPr lang="ja-JP"/>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F87DD-9549-4667-93B5-44D298647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12</Pages>
  <Words>902</Words>
  <Characters>5143</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9</cp:revision>
  <cp:lastPrinted>2019-09-23T05:36:00Z</cp:lastPrinted>
  <dcterms:created xsi:type="dcterms:W3CDTF">2019-09-18T07:18:00Z</dcterms:created>
  <dcterms:modified xsi:type="dcterms:W3CDTF">2019-09-23T05:40:00Z</dcterms:modified>
</cp:coreProperties>
</file>