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bookmarkStart w:id="0" w:name="_GoBack"/>
      <w:bookmarkEnd w:id="0"/>
      <w:r>
        <w:rPr>
          <w:rFonts w:hAnsi="游ゴシック" w:hint="eastAsia"/>
        </w:rPr>
        <w:t>。</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D1385C">
        <w:rPr>
          <w:rFonts w:hAnsi="游ゴシック" w:hint="eastAsia"/>
        </w:rPr>
        <w:t>2</w:t>
      </w:r>
      <w:r w:rsidR="00D1385C">
        <w:rPr>
          <w:rFonts w:hAnsi="游ゴシック"/>
        </w:rPr>
        <w:t>0</w:t>
      </w:r>
      <w:r w:rsidR="00D1385C">
        <w:rPr>
          <w:rFonts w:hAnsi="游ゴシック" w:hint="eastAsia"/>
        </w:rPr>
        <w:t>09年3月期から2</w:t>
      </w:r>
      <w:r w:rsidR="00D1385C">
        <w:rPr>
          <w:rFonts w:hAnsi="游ゴシック"/>
        </w:rPr>
        <w:t>010</w:t>
      </w:r>
      <w:r w:rsidR="00D1385C">
        <w:rPr>
          <w:rFonts w:hAnsi="游ゴシック" w:hint="eastAsia"/>
        </w:rPr>
        <w:t>年3月期にかけて1</w:t>
      </w:r>
      <w:r w:rsidR="00D1385C">
        <w:rPr>
          <w:rFonts w:hAnsi="游ゴシック"/>
        </w:rPr>
        <w:t>0%</w:t>
      </w:r>
      <w:r w:rsidR="00D1385C">
        <w:rPr>
          <w:rFonts w:hAnsi="游ゴシック" w:hint="eastAsia"/>
        </w:rPr>
        <w:t>台から2</w:t>
      </w:r>
      <w:r w:rsidR="00D1385C">
        <w:rPr>
          <w:rFonts w:hAnsi="游ゴシック"/>
        </w:rPr>
        <w:t>0</w:t>
      </w:r>
      <w:r w:rsidR="00D1385C">
        <w:rPr>
          <w:rFonts w:hAnsi="游ゴシック" w:hint="eastAsia"/>
        </w:rPr>
        <w:t>％台に急上昇しているが、これは増資に伴う自己資本の増加によるものであり、それ以外の期はほぼ右肩下がりとなっている。</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rsidP="00DA2758">
      <w:pPr>
        <w:jc w:val="cente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rsidP="00DA2758">
      <w:pPr>
        <w:jc w:val="cente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rsidP="00DA2758">
      <w:pPr>
        <w:jc w:val="cente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rsidP="00DA2758">
      <w:pPr>
        <w:jc w:val="cente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w:t>
      </w:r>
      <w:r w:rsidR="00411E11">
        <w:rPr>
          <w:rFonts w:hAnsi="游ゴシック" w:hint="eastAsia"/>
        </w:rPr>
        <w:t>販売</w:t>
      </w:r>
      <w:r w:rsidR="00546244">
        <w:rPr>
          <w:rFonts w:hAnsi="游ゴシック" w:hint="eastAsia"/>
        </w:rPr>
        <w:t>費及び一般管理費</w:t>
      </w:r>
      <w:r w:rsidR="007B4C2C">
        <w:rPr>
          <w:rFonts w:hAnsi="游ゴシック" w:hint="eastAsia"/>
        </w:rPr>
        <w:t>(以下販管費)</w:t>
      </w:r>
      <w:r w:rsidR="00546244">
        <w:rPr>
          <w:rFonts w:hAnsi="游ゴシック" w:hint="eastAsia"/>
        </w:rPr>
        <w:t>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rsidP="00DA2758">
      <w:pPr>
        <w:jc w:val="center"/>
        <w:rPr>
          <w:rFonts w:hAnsi="游ゴシック"/>
        </w:rPr>
      </w:pPr>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0"/>
        <w:gridCol w:w="948"/>
        <w:gridCol w:w="939"/>
        <w:gridCol w:w="939"/>
        <w:gridCol w:w="938"/>
        <w:gridCol w:w="939"/>
        <w:gridCol w:w="938"/>
        <w:gridCol w:w="939"/>
        <w:gridCol w:w="939"/>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w:t>
            </w:r>
            <w:r w:rsidR="00C928B1">
              <w:rPr>
                <w:rFonts w:hAnsi="游ゴシック" w:hint="eastAsia"/>
              </w:rPr>
              <w:t>3.78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w:t>
            </w:r>
            <w:r w:rsidR="00C928B1">
              <w:rPr>
                <w:rFonts w:hAnsi="游ゴシック" w:hint="eastAsia"/>
              </w:rPr>
              <w:t>02</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w:t>
            </w:r>
            <w:r w:rsidR="00C928B1">
              <w:rPr>
                <w:rFonts w:hAnsi="游ゴシック" w:hint="eastAsia"/>
              </w:rPr>
              <w:t>28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C928B1" w:rsidP="00274523">
            <w:pPr>
              <w:rPr>
                <w:rFonts w:hAnsi="游ゴシック"/>
              </w:rPr>
            </w:pPr>
            <w:r>
              <w:rPr>
                <w:rFonts w:hAnsi="游ゴシック" w:hint="eastAsia"/>
              </w:rPr>
              <w:t>4.47</w:t>
            </w:r>
            <w:r w:rsidR="007776C7">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9F0B31" w:rsidRPr="009F0B31" w:rsidRDefault="009F0B31">
      <w:pPr>
        <w:rPr>
          <w:rFonts w:hAnsi="游ゴシック"/>
        </w:rPr>
      </w:pPr>
      <w:r>
        <w:rPr>
          <w:rFonts w:hAnsi="游ゴシック" w:hint="eastAsia"/>
        </w:rPr>
        <w:t>計算期間:全て2</w:t>
      </w:r>
      <w:r>
        <w:rPr>
          <w:rFonts w:hAnsi="游ゴシック"/>
        </w:rPr>
        <w:t>009</w:t>
      </w:r>
      <w:r>
        <w:rPr>
          <w:rFonts w:hAnsi="游ゴシック" w:hint="eastAsia"/>
        </w:rPr>
        <w:t>年3月期から2</w:t>
      </w:r>
      <w:r>
        <w:rPr>
          <w:rFonts w:hAnsi="游ゴシック"/>
        </w:rPr>
        <w:t>019</w:t>
      </w:r>
      <w:r>
        <w:rPr>
          <w:rFonts w:hAnsi="游ゴシック" w:hint="eastAsia"/>
        </w:rPr>
        <w:t>年3月期まで</w:t>
      </w:r>
    </w:p>
    <w:p w:rsidR="009F0B31" w:rsidRDefault="009F0B31">
      <w:pPr>
        <w:rPr>
          <w:rFonts w:hAnsi="游ゴシック"/>
        </w:rPr>
      </w:pPr>
    </w:p>
    <w:p w:rsidR="007B4C2C" w:rsidRDefault="003D7C6C">
      <w:pPr>
        <w:rPr>
          <w:rFonts w:hAnsi="游ゴシック"/>
        </w:rPr>
      </w:pPr>
      <w:r>
        <w:rPr>
          <w:rFonts w:hAnsi="游ゴシック" w:hint="eastAsia"/>
        </w:rPr>
        <w:t>本業のブレーキ事業の原価の高さや</w:t>
      </w:r>
      <w:r w:rsidR="007B4C2C">
        <w:rPr>
          <w:rFonts w:hAnsi="游ゴシック" w:hint="eastAsia"/>
        </w:rPr>
        <w:t>販管費</w:t>
      </w:r>
      <w:r>
        <w:rPr>
          <w:rFonts w:hAnsi="游ゴシック" w:hint="eastAsia"/>
        </w:rPr>
        <w:t>の高さをみる前に、まず変動費と固定費の概念について説明しておく。売上原価</w:t>
      </w:r>
      <w:r w:rsidR="007B4C2C">
        <w:rPr>
          <w:rFonts w:hAnsi="游ゴシック" w:hint="eastAsia"/>
        </w:rPr>
        <w:t>や販管費は</w:t>
      </w:r>
      <w:r w:rsidR="000C0884">
        <w:rPr>
          <w:rFonts w:hAnsi="游ゴシック" w:hint="eastAsia"/>
        </w:rPr>
        <w:t>生産量や販売量により変動する</w:t>
      </w:r>
      <w:r w:rsidR="007B4C2C">
        <w:rPr>
          <w:rFonts w:hAnsi="游ゴシック" w:hint="eastAsia"/>
        </w:rPr>
        <w:t>変動費と</w:t>
      </w:r>
      <w:r w:rsidR="000C0884">
        <w:rPr>
          <w:rFonts w:hAnsi="游ゴシック" w:hint="eastAsia"/>
        </w:rPr>
        <w:t>生産量や販売量とは関係なく一定額発生する</w:t>
      </w:r>
      <w:r w:rsidR="007B4C2C">
        <w:rPr>
          <w:rFonts w:hAnsi="游ゴシック" w:hint="eastAsia"/>
        </w:rPr>
        <w:t>固定費により構成される。</w:t>
      </w:r>
    </w:p>
    <w:p w:rsidR="003D7C6C" w:rsidRDefault="008145A7">
      <w:pPr>
        <w:rPr>
          <w:rFonts w:hAnsi="游ゴシック"/>
        </w:rPr>
      </w:pPr>
      <w:r>
        <w:rPr>
          <w:rFonts w:hAnsi="游ゴシック" w:hint="eastAsia"/>
        </w:rPr>
        <w:t>仮に売り上げた商品の売上原価や販管費が全て変動費であれば、売上高の増減比率に対し売上原価や販管費の増減比は完全に一致する。しかし現実の企業、特に曙ブレーキ工業のような多くの設備を必要とする製造業においては売り上げた商品に対し占める固定費の割合が</w:t>
      </w:r>
      <w:r w:rsidR="00741E4B">
        <w:rPr>
          <w:rFonts w:hAnsi="游ゴシック" w:hint="eastAsia"/>
        </w:rPr>
        <w:t>多くなるため、売上高の増加比率に対して売上原価・販売比及び一般管理費の増加比率は一致しなくなる。なぜならば、固定費は何もしなければ生産量に関わらずその期に一定額発生するものであり、生産量が増加すると</w:t>
      </w:r>
      <w:r w:rsidR="003D7C6C">
        <w:rPr>
          <w:rFonts w:hAnsi="游ゴシック"/>
        </w:rPr>
        <w:t>1</w:t>
      </w:r>
      <w:r w:rsidR="00741E4B">
        <w:rPr>
          <w:rFonts w:hAnsi="游ゴシック" w:hint="eastAsia"/>
        </w:rPr>
        <w:t>製品あたりの固定費は逓減</w:t>
      </w:r>
      <w:r w:rsidR="003D7C6C">
        <w:rPr>
          <w:rFonts w:hAnsi="游ゴシック" w:hint="eastAsia"/>
        </w:rPr>
        <w:t>するが</w:t>
      </w:r>
      <w:r w:rsidR="00741E4B">
        <w:rPr>
          <w:rFonts w:hAnsi="游ゴシック" w:hint="eastAsia"/>
        </w:rPr>
        <w:t>反対に減少すると1製品あたりの固定費は逓増する。</w:t>
      </w:r>
    </w:p>
    <w:tbl>
      <w:tblPr>
        <w:tblStyle w:val="a4"/>
        <w:tblW w:w="0" w:type="auto"/>
        <w:tblLook w:val="04A0" w:firstRow="1" w:lastRow="0" w:firstColumn="1" w:lastColumn="0" w:noHBand="0" w:noVBand="1"/>
      </w:tblPr>
      <w:tblGrid>
        <w:gridCol w:w="8494"/>
      </w:tblGrid>
      <w:tr w:rsidR="00FD4D28" w:rsidTr="00741E4B">
        <w:tc>
          <w:tcPr>
            <w:tcW w:w="8494" w:type="dxa"/>
          </w:tcPr>
          <w:p w:rsidR="00FD4D28" w:rsidRDefault="00FD4D28">
            <w:pPr>
              <w:rPr>
                <w:rFonts w:hAnsi="游ゴシック"/>
              </w:rPr>
            </w:pPr>
            <w:r>
              <w:rPr>
                <w:rFonts w:hAnsi="游ゴシック" w:hint="eastAsia"/>
              </w:rPr>
              <w:t>例1</w:t>
            </w:r>
          </w:p>
          <w:p w:rsidR="00FD4D28" w:rsidRDefault="00FD4D28" w:rsidP="00FD4D28">
            <w:pPr>
              <w:rPr>
                <w:rFonts w:hAnsi="游ゴシック"/>
              </w:rPr>
            </w:pPr>
            <w:r>
              <w:rPr>
                <w:rFonts w:hAnsi="游ゴシック" w:hint="eastAsia"/>
              </w:rPr>
              <w:t>製品の価格は1</w:t>
            </w:r>
            <w:r>
              <w:rPr>
                <w:rFonts w:hAnsi="游ゴシック"/>
              </w:rPr>
              <w:t>000</w:t>
            </w:r>
            <w:r>
              <w:rPr>
                <w:rFonts w:hAnsi="游ゴシック" w:hint="eastAsia"/>
              </w:rPr>
              <w:t>円/個、製造にかかる変動費3</w:t>
            </w:r>
            <w:r>
              <w:rPr>
                <w:rFonts w:hAnsi="游ゴシック"/>
              </w:rPr>
              <w:t>00</w:t>
            </w:r>
            <w:r>
              <w:rPr>
                <w:rFonts w:hAnsi="游ゴシック" w:hint="eastAsia"/>
              </w:rPr>
              <w:t>円/個、固定費</w:t>
            </w:r>
            <w:r w:rsidR="00AD3A80">
              <w:rPr>
                <w:rFonts w:hAnsi="游ゴシック"/>
              </w:rPr>
              <w:t>150</w:t>
            </w:r>
            <w:r w:rsidR="00AD3A80">
              <w:rPr>
                <w:rFonts w:hAnsi="游ゴシック" w:hint="eastAsia"/>
              </w:rPr>
              <w:t>,</w:t>
            </w:r>
            <w:r w:rsidR="00AD3A80">
              <w:rPr>
                <w:rFonts w:hAnsi="游ゴシック"/>
              </w:rPr>
              <w:t>000</w:t>
            </w:r>
            <w:r>
              <w:rPr>
                <w:rFonts w:hAnsi="游ゴシック" w:hint="eastAsia"/>
              </w:rPr>
              <w:t>、売上個数5</w:t>
            </w:r>
            <w:r>
              <w:rPr>
                <w:rFonts w:hAnsi="游ゴシック"/>
              </w:rPr>
              <w:t>00</w:t>
            </w:r>
            <w:r>
              <w:rPr>
                <w:rFonts w:hAnsi="游ゴシック" w:hint="eastAsia"/>
              </w:rPr>
              <w:t>個の場合</w:t>
            </w:r>
          </w:p>
          <w:p w:rsidR="00FD4D28" w:rsidRDefault="00FD4D28">
            <w:pPr>
              <w:rPr>
                <w:rFonts w:hAnsi="游ゴシック"/>
              </w:rPr>
            </w:pPr>
          </w:p>
          <w:p w:rsidR="00FD4D28" w:rsidRDefault="00FD4D28">
            <w:pPr>
              <w:rPr>
                <w:rFonts w:hAnsi="游ゴシック"/>
              </w:rPr>
            </w:pPr>
            <w:r>
              <w:rPr>
                <w:rFonts w:hAnsi="游ゴシック" w:hint="eastAsia"/>
              </w:rPr>
              <w:t>売上:</w:t>
            </w:r>
            <w:r>
              <w:rPr>
                <w:rFonts w:hAnsi="游ゴシック"/>
              </w:rPr>
              <w:t>1000</w:t>
            </w:r>
            <w:r>
              <w:rPr>
                <w:rFonts w:hAnsi="游ゴシック" w:hint="eastAsia"/>
              </w:rPr>
              <w:t>×</w:t>
            </w:r>
            <w:r>
              <w:rPr>
                <w:rFonts w:hAnsi="游ゴシック"/>
              </w:rPr>
              <w:t>500=500,000</w:t>
            </w:r>
            <w:r>
              <w:rPr>
                <w:rFonts w:hAnsi="游ゴシック" w:hint="eastAsia"/>
              </w:rPr>
              <w:t>円</w:t>
            </w:r>
          </w:p>
          <w:p w:rsidR="00FD4D28" w:rsidRDefault="00FD4D28">
            <w:pPr>
              <w:rPr>
                <w:rFonts w:hAnsi="游ゴシック"/>
              </w:rPr>
            </w:pPr>
            <w:r>
              <w:rPr>
                <w:rFonts w:hAnsi="游ゴシック" w:hint="eastAsia"/>
              </w:rPr>
              <w:t>売上原価:</w:t>
            </w:r>
            <w:r>
              <w:rPr>
                <w:rFonts w:hAnsi="游ゴシック"/>
              </w:rPr>
              <w:t>300</w:t>
            </w:r>
            <w:r>
              <w:rPr>
                <w:rFonts w:hAnsi="游ゴシック" w:hint="eastAsia"/>
              </w:rPr>
              <w:t>×500+</w:t>
            </w:r>
            <w:r w:rsidR="00AD3A80">
              <w:rPr>
                <w:rFonts w:hAnsi="游ゴシック"/>
              </w:rPr>
              <w:t>150,000</w:t>
            </w:r>
            <w:r>
              <w:rPr>
                <w:rFonts w:hAnsi="游ゴシック"/>
              </w:rPr>
              <w:t>=</w:t>
            </w:r>
            <w:r w:rsidR="00AD3A80">
              <w:rPr>
                <w:rFonts w:hAnsi="游ゴシック"/>
              </w:rPr>
              <w:t>30</w:t>
            </w:r>
            <w:r>
              <w:rPr>
                <w:rFonts w:hAnsi="游ゴシック"/>
              </w:rPr>
              <w:t>0,000</w:t>
            </w:r>
          </w:p>
          <w:p w:rsidR="00FD4D28" w:rsidRPr="00FD4D28" w:rsidRDefault="00FD4D28" w:rsidP="00FD4D28">
            <w:pPr>
              <w:rPr>
                <w:rFonts w:hAnsi="游ゴシック"/>
              </w:rPr>
            </w:pPr>
            <w:r>
              <w:rPr>
                <w:rFonts w:hAnsi="游ゴシック" w:hint="eastAsia"/>
              </w:rPr>
              <w:t>売上総利益:</w:t>
            </w:r>
            <w:r>
              <w:rPr>
                <w:rFonts w:hAnsi="游ゴシック"/>
              </w:rPr>
              <w:t>500,000-</w:t>
            </w:r>
            <w:r w:rsidR="00AD3A80">
              <w:rPr>
                <w:rFonts w:hAnsi="游ゴシック"/>
              </w:rPr>
              <w:t>30</w:t>
            </w:r>
            <w:r>
              <w:rPr>
                <w:rFonts w:hAnsi="游ゴシック"/>
              </w:rPr>
              <w:t>0,000=2</w:t>
            </w:r>
            <w:r w:rsidR="00AD3A80">
              <w:rPr>
                <w:rFonts w:hAnsi="游ゴシック"/>
              </w:rPr>
              <w:t>0</w:t>
            </w:r>
            <w:r>
              <w:rPr>
                <w:rFonts w:hAnsi="游ゴシック"/>
              </w:rPr>
              <w:t>0,000</w:t>
            </w:r>
            <w:r>
              <w:rPr>
                <w:rFonts w:hAnsi="游ゴシック"/>
              </w:rPr>
              <w:br/>
            </w:r>
            <w:r>
              <w:rPr>
                <w:rFonts w:hAnsi="游ゴシック" w:hint="eastAsia"/>
              </w:rPr>
              <w:t>一個あたりの製造原価:</w:t>
            </w:r>
            <w:r>
              <w:rPr>
                <w:rFonts w:hAnsi="游ゴシック"/>
              </w:rPr>
              <w:t>300+1</w:t>
            </w:r>
            <w:r w:rsidR="00AD3A80">
              <w:rPr>
                <w:rFonts w:hAnsi="游ゴシック"/>
              </w:rPr>
              <w:t>5</w:t>
            </w:r>
            <w:r>
              <w:rPr>
                <w:rFonts w:hAnsi="游ゴシック"/>
              </w:rPr>
              <w:t>0,000</w:t>
            </w:r>
            <w:r>
              <w:rPr>
                <w:rFonts w:hAnsi="游ゴシック" w:hint="eastAsia"/>
              </w:rPr>
              <w:t>÷500＝</w:t>
            </w:r>
            <w:r w:rsidR="00AD3A80" w:rsidRPr="00AD3A80">
              <w:rPr>
                <w:rFonts w:hAnsi="游ゴシック" w:hint="eastAsia"/>
                <w:color w:val="FF0000"/>
              </w:rPr>
              <w:t>6</w:t>
            </w:r>
            <w:r w:rsidR="00AD3A80" w:rsidRPr="00AD3A80">
              <w:rPr>
                <w:rFonts w:hAnsi="游ゴシック"/>
                <w:color w:val="FF0000"/>
              </w:rPr>
              <w:t>00</w:t>
            </w:r>
            <w:r w:rsidRPr="00AD3A80">
              <w:rPr>
                <w:rFonts w:hAnsi="游ゴシック" w:hint="eastAsia"/>
                <w:color w:val="FF0000"/>
              </w:rPr>
              <w:t>円</w:t>
            </w:r>
          </w:p>
        </w:tc>
      </w:tr>
      <w:tr w:rsidR="00AD3A80" w:rsidTr="00741E4B">
        <w:tc>
          <w:tcPr>
            <w:tcW w:w="8494" w:type="dxa"/>
          </w:tcPr>
          <w:p w:rsidR="00AD3A80" w:rsidRDefault="00AD3A80" w:rsidP="00AD3A80">
            <w:pPr>
              <w:rPr>
                <w:rFonts w:hAnsi="游ゴシック"/>
              </w:rPr>
            </w:pPr>
            <w:r>
              <w:rPr>
                <w:rFonts w:hAnsi="游ゴシック" w:hint="eastAsia"/>
              </w:rPr>
              <w:t>例2</w:t>
            </w:r>
            <w:r>
              <w:rPr>
                <w:rFonts w:hAnsi="游ゴシック"/>
              </w:rPr>
              <w:t>(</w:t>
            </w:r>
            <w:r>
              <w:rPr>
                <w:rFonts w:hAnsi="游ゴシック" w:hint="eastAsia"/>
              </w:rPr>
              <w:t>減少した場合)</w:t>
            </w:r>
          </w:p>
          <w:p w:rsidR="00AD3A80" w:rsidRDefault="00AD3A80" w:rsidP="00AD3A80">
            <w:pPr>
              <w:rPr>
                <w:rFonts w:hAnsi="游ゴシック"/>
              </w:rPr>
            </w:pPr>
            <w:r>
              <w:rPr>
                <w:rFonts w:hAnsi="游ゴシック" w:hint="eastAsia"/>
              </w:rPr>
              <w:t>売上個数25</w:t>
            </w:r>
            <w:r>
              <w:rPr>
                <w:rFonts w:hAnsi="游ゴシック"/>
              </w:rPr>
              <w:t>0</w:t>
            </w:r>
            <w:r>
              <w:rPr>
                <w:rFonts w:hAnsi="游ゴシック" w:hint="eastAsia"/>
              </w:rPr>
              <w:t>個の場合(他の条件は同様)</w:t>
            </w:r>
          </w:p>
          <w:p w:rsidR="00AD3A80" w:rsidRDefault="00AD3A80" w:rsidP="00AD3A80">
            <w:pPr>
              <w:rPr>
                <w:rFonts w:hAnsi="游ゴシック"/>
              </w:rPr>
            </w:pPr>
          </w:p>
          <w:p w:rsidR="00AD3A80" w:rsidRDefault="00AD3A80" w:rsidP="00AD3A80">
            <w:pPr>
              <w:rPr>
                <w:rFonts w:hAnsi="游ゴシック"/>
              </w:rPr>
            </w:pPr>
            <w:r>
              <w:rPr>
                <w:rFonts w:hAnsi="游ゴシック" w:hint="eastAsia"/>
              </w:rPr>
              <w:t>売上:</w:t>
            </w:r>
            <w:r>
              <w:rPr>
                <w:rFonts w:hAnsi="游ゴシック"/>
              </w:rPr>
              <w:t>1000</w:t>
            </w:r>
            <w:r>
              <w:rPr>
                <w:rFonts w:hAnsi="游ゴシック" w:hint="eastAsia"/>
              </w:rPr>
              <w:t>×25</w:t>
            </w:r>
            <w:r>
              <w:rPr>
                <w:rFonts w:hAnsi="游ゴシック"/>
              </w:rPr>
              <w:t>0=</w:t>
            </w:r>
            <w:r>
              <w:rPr>
                <w:rFonts w:hAnsi="游ゴシック" w:hint="eastAsia"/>
              </w:rPr>
              <w:t>25</w:t>
            </w:r>
            <w:r>
              <w:rPr>
                <w:rFonts w:hAnsi="游ゴシック"/>
              </w:rPr>
              <w:t>0,000</w:t>
            </w:r>
            <w:r>
              <w:rPr>
                <w:rFonts w:hAnsi="游ゴシック" w:hint="eastAsia"/>
              </w:rPr>
              <w:t>円</w:t>
            </w:r>
          </w:p>
          <w:p w:rsidR="00AD3A80" w:rsidRDefault="00AD3A80" w:rsidP="00AD3A80">
            <w:pPr>
              <w:rPr>
                <w:rFonts w:hAnsi="游ゴシック"/>
              </w:rPr>
            </w:pPr>
            <w:r>
              <w:rPr>
                <w:rFonts w:hAnsi="游ゴシック" w:hint="eastAsia"/>
              </w:rPr>
              <w:t>売上原価:</w:t>
            </w:r>
            <w:r>
              <w:rPr>
                <w:rFonts w:hAnsi="游ゴシック"/>
              </w:rPr>
              <w:t>300</w:t>
            </w:r>
            <w:r>
              <w:rPr>
                <w:rFonts w:hAnsi="游ゴシック" w:hint="eastAsia"/>
              </w:rPr>
              <w:t>×250+150</w:t>
            </w:r>
            <w:r>
              <w:rPr>
                <w:rFonts w:hAnsi="游ゴシック"/>
              </w:rPr>
              <w:t>,000=</w:t>
            </w:r>
            <w:r>
              <w:rPr>
                <w:rFonts w:hAnsi="游ゴシック" w:hint="eastAsia"/>
              </w:rPr>
              <w:t>225</w:t>
            </w:r>
            <w:r>
              <w:rPr>
                <w:rFonts w:hAnsi="游ゴシック"/>
              </w:rPr>
              <w:t>,000</w:t>
            </w:r>
          </w:p>
          <w:p w:rsidR="00AD3A80" w:rsidRDefault="00AD3A80" w:rsidP="00AD3A80">
            <w:pPr>
              <w:rPr>
                <w:rFonts w:hAnsi="游ゴシック"/>
              </w:rPr>
            </w:pPr>
            <w:r>
              <w:rPr>
                <w:rFonts w:hAnsi="游ゴシック" w:hint="eastAsia"/>
              </w:rPr>
              <w:t>売上総利益:250</w:t>
            </w:r>
            <w:r>
              <w:rPr>
                <w:rFonts w:hAnsi="游ゴシック"/>
              </w:rPr>
              <w:t>,000-225,000=25,000</w:t>
            </w:r>
            <w:r>
              <w:rPr>
                <w:rFonts w:hAnsi="游ゴシック"/>
              </w:rPr>
              <w:br/>
            </w:r>
            <w:r>
              <w:rPr>
                <w:rFonts w:hAnsi="游ゴシック" w:hint="eastAsia"/>
              </w:rPr>
              <w:t>一個あたりの製造原価:</w:t>
            </w:r>
            <w:r>
              <w:rPr>
                <w:rFonts w:hAnsi="游ゴシック"/>
              </w:rPr>
              <w:t>300+150,000</w:t>
            </w:r>
            <w:r>
              <w:rPr>
                <w:rFonts w:hAnsi="游ゴシック" w:hint="eastAsia"/>
              </w:rPr>
              <w:t>÷2</w:t>
            </w:r>
            <w:r>
              <w:rPr>
                <w:rFonts w:hAnsi="游ゴシック"/>
              </w:rPr>
              <w:t>5</w:t>
            </w:r>
            <w:r>
              <w:rPr>
                <w:rFonts w:hAnsi="游ゴシック" w:hint="eastAsia"/>
              </w:rPr>
              <w:t>0＝</w:t>
            </w:r>
            <w:r w:rsidRPr="00AD3A80">
              <w:rPr>
                <w:rFonts w:hAnsi="游ゴシック" w:hint="eastAsia"/>
                <w:color w:val="FF0000"/>
              </w:rPr>
              <w:t>9</w:t>
            </w:r>
            <w:r w:rsidRPr="00AD3A80">
              <w:rPr>
                <w:rFonts w:hAnsi="游ゴシック"/>
                <w:color w:val="FF0000"/>
              </w:rPr>
              <w:t>00</w:t>
            </w:r>
            <w:r w:rsidRPr="00AD3A80">
              <w:rPr>
                <w:rFonts w:hAnsi="游ゴシック" w:hint="eastAsia"/>
                <w:color w:val="FF0000"/>
              </w:rPr>
              <w:t>円</w:t>
            </w:r>
          </w:p>
        </w:tc>
      </w:tr>
      <w:tr w:rsidR="00FD4D28" w:rsidTr="00741E4B">
        <w:tc>
          <w:tcPr>
            <w:tcW w:w="8494" w:type="dxa"/>
          </w:tcPr>
          <w:p w:rsidR="00FD4D28" w:rsidRDefault="00FD4D28" w:rsidP="00FD4D28">
            <w:pPr>
              <w:rPr>
                <w:rFonts w:hAnsi="游ゴシック"/>
              </w:rPr>
            </w:pPr>
            <w:r>
              <w:rPr>
                <w:rFonts w:hAnsi="游ゴシック" w:hint="eastAsia"/>
              </w:rPr>
              <w:t>例</w:t>
            </w:r>
            <w:r w:rsidR="00AD3A80">
              <w:rPr>
                <w:rFonts w:hAnsi="游ゴシック" w:hint="eastAsia"/>
              </w:rPr>
              <w:t>3(増加した場合)</w:t>
            </w:r>
          </w:p>
          <w:p w:rsidR="00FD4D28" w:rsidRDefault="00FD4D28" w:rsidP="00FD4D28">
            <w:pPr>
              <w:rPr>
                <w:rFonts w:hAnsi="游ゴシック"/>
              </w:rPr>
            </w:pPr>
            <w:r>
              <w:rPr>
                <w:rFonts w:hAnsi="游ゴシック" w:hint="eastAsia"/>
              </w:rPr>
              <w:t>売上個数1</w:t>
            </w:r>
            <w:r>
              <w:rPr>
                <w:rFonts w:hAnsi="游ゴシック"/>
              </w:rPr>
              <w:t>0</w:t>
            </w:r>
            <w:r>
              <w:rPr>
                <w:rFonts w:hAnsi="游ゴシック" w:hint="eastAsia"/>
              </w:rPr>
              <w:t>0</w:t>
            </w:r>
            <w:r>
              <w:rPr>
                <w:rFonts w:hAnsi="游ゴシック"/>
              </w:rPr>
              <w:t>0</w:t>
            </w:r>
            <w:r>
              <w:rPr>
                <w:rFonts w:hAnsi="游ゴシック" w:hint="eastAsia"/>
              </w:rPr>
              <w:t>個の場合</w:t>
            </w:r>
            <w:r w:rsidR="00AD3A80">
              <w:rPr>
                <w:rFonts w:hAnsi="游ゴシック" w:hint="eastAsia"/>
              </w:rPr>
              <w:t>(他の条件は同様)</w:t>
            </w:r>
          </w:p>
          <w:p w:rsidR="00FD4D28" w:rsidRDefault="00FD4D28" w:rsidP="00FD4D28">
            <w:pPr>
              <w:rPr>
                <w:rFonts w:hAnsi="游ゴシック"/>
              </w:rPr>
            </w:pPr>
          </w:p>
          <w:p w:rsidR="00FD4D28" w:rsidRDefault="00FD4D28" w:rsidP="00FD4D28">
            <w:pPr>
              <w:rPr>
                <w:rFonts w:hAnsi="游ゴシック"/>
              </w:rPr>
            </w:pPr>
            <w:r>
              <w:rPr>
                <w:rFonts w:hAnsi="游ゴシック" w:hint="eastAsia"/>
              </w:rPr>
              <w:lastRenderedPageBreak/>
              <w:t>売上:1,</w:t>
            </w:r>
            <w:r>
              <w:rPr>
                <w:rFonts w:hAnsi="游ゴシック"/>
              </w:rPr>
              <w:t>00</w:t>
            </w:r>
            <w:r>
              <w:rPr>
                <w:rFonts w:hAnsi="游ゴシック" w:hint="eastAsia"/>
              </w:rPr>
              <w:t>0×1</w:t>
            </w:r>
            <w:r>
              <w:rPr>
                <w:rFonts w:hAnsi="游ゴシック"/>
              </w:rPr>
              <w:t>,</w:t>
            </w:r>
            <w:r>
              <w:rPr>
                <w:rFonts w:hAnsi="游ゴシック" w:hint="eastAsia"/>
              </w:rPr>
              <w:t>000＝1</w:t>
            </w:r>
            <w:r>
              <w:rPr>
                <w:rFonts w:hAnsi="游ゴシック"/>
              </w:rPr>
              <w:t>,</w:t>
            </w:r>
            <w:r>
              <w:rPr>
                <w:rFonts w:hAnsi="游ゴシック" w:hint="eastAsia"/>
              </w:rPr>
              <w:t>000</w:t>
            </w:r>
            <w:r>
              <w:rPr>
                <w:rFonts w:hAnsi="游ゴシック"/>
              </w:rPr>
              <w:t>,</w:t>
            </w:r>
            <w:r>
              <w:rPr>
                <w:rFonts w:hAnsi="游ゴシック" w:hint="eastAsia"/>
              </w:rPr>
              <w:t>000円</w:t>
            </w:r>
          </w:p>
          <w:p w:rsidR="00FD4D28" w:rsidRDefault="00FD4D28" w:rsidP="00FD4D28">
            <w:pPr>
              <w:rPr>
                <w:rFonts w:hAnsi="游ゴシック"/>
              </w:rPr>
            </w:pPr>
            <w:r>
              <w:rPr>
                <w:rFonts w:hAnsi="游ゴシック" w:hint="eastAsia"/>
              </w:rPr>
              <w:t>売上原価:</w:t>
            </w:r>
            <w:r>
              <w:rPr>
                <w:rFonts w:hAnsi="游ゴシック"/>
              </w:rPr>
              <w:t>300</w:t>
            </w:r>
            <w:r>
              <w:rPr>
                <w:rFonts w:hAnsi="游ゴシック" w:hint="eastAsia"/>
              </w:rPr>
              <w:t>×1000</w:t>
            </w:r>
            <w:r>
              <w:rPr>
                <w:rFonts w:hAnsi="游ゴシック"/>
              </w:rPr>
              <w:t>+1</w:t>
            </w:r>
            <w:r w:rsidR="00AD3A80">
              <w:rPr>
                <w:rFonts w:hAnsi="游ゴシック" w:hint="eastAsia"/>
              </w:rPr>
              <w:t>5</w:t>
            </w:r>
            <w:r>
              <w:rPr>
                <w:rFonts w:hAnsi="游ゴシック"/>
              </w:rPr>
              <w:t>0,000=4</w:t>
            </w:r>
            <w:r w:rsidR="00AD3A80">
              <w:rPr>
                <w:rFonts w:hAnsi="游ゴシック" w:hint="eastAsia"/>
              </w:rPr>
              <w:t>5</w:t>
            </w:r>
            <w:r>
              <w:rPr>
                <w:rFonts w:hAnsi="游ゴシック"/>
              </w:rPr>
              <w:t>0,000</w:t>
            </w:r>
            <w:r>
              <w:rPr>
                <w:rFonts w:hAnsi="游ゴシック" w:hint="eastAsia"/>
              </w:rPr>
              <w:t>円</w:t>
            </w:r>
          </w:p>
          <w:p w:rsidR="00FD4D28" w:rsidRDefault="00FD4D28" w:rsidP="00FD4D28">
            <w:pPr>
              <w:rPr>
                <w:rFonts w:hAnsi="游ゴシック"/>
              </w:rPr>
            </w:pPr>
            <w:r>
              <w:rPr>
                <w:rFonts w:hAnsi="游ゴシック" w:hint="eastAsia"/>
              </w:rPr>
              <w:t>売上総利益:</w:t>
            </w:r>
            <w:r>
              <w:rPr>
                <w:rFonts w:hAnsi="游ゴシック"/>
              </w:rPr>
              <w:t>1,000,000-400,000=600,000</w:t>
            </w:r>
            <w:r>
              <w:rPr>
                <w:rFonts w:hAnsi="游ゴシック" w:hint="eastAsia"/>
              </w:rPr>
              <w:t>円</w:t>
            </w:r>
          </w:p>
          <w:p w:rsidR="00FD4D28" w:rsidRDefault="00FD4D28" w:rsidP="00FD4D28">
            <w:pPr>
              <w:rPr>
                <w:rFonts w:hAnsi="游ゴシック"/>
              </w:rPr>
            </w:pPr>
            <w:r>
              <w:rPr>
                <w:rFonts w:hAnsi="游ゴシック" w:hint="eastAsia"/>
              </w:rPr>
              <w:t>一個あたりの製造原価:</w:t>
            </w:r>
            <w:r>
              <w:rPr>
                <w:rFonts w:hAnsi="游ゴシック"/>
              </w:rPr>
              <w:t>300+100,000</w:t>
            </w:r>
            <w:r>
              <w:rPr>
                <w:rFonts w:hAnsi="游ゴシック" w:hint="eastAsia"/>
              </w:rPr>
              <w:t>÷</w:t>
            </w:r>
            <w:r>
              <w:rPr>
                <w:rFonts w:hAnsi="游ゴシック"/>
              </w:rPr>
              <w:t>1</w:t>
            </w:r>
            <w:r>
              <w:rPr>
                <w:rFonts w:hAnsi="游ゴシック" w:hint="eastAsia"/>
              </w:rPr>
              <w:t>,</w:t>
            </w:r>
            <w:r>
              <w:rPr>
                <w:rFonts w:hAnsi="游ゴシック"/>
              </w:rPr>
              <w:t>000=</w:t>
            </w:r>
            <w:r w:rsidRPr="00AD3A80">
              <w:rPr>
                <w:rFonts w:hAnsi="游ゴシック" w:hint="eastAsia"/>
                <w:color w:val="FF0000"/>
              </w:rPr>
              <w:t>400円</w:t>
            </w:r>
          </w:p>
        </w:tc>
      </w:tr>
    </w:tbl>
    <w:p w:rsidR="00C92FB8" w:rsidRDefault="003B6FC8">
      <w:pPr>
        <w:rPr>
          <w:rFonts w:hAnsi="游ゴシック"/>
        </w:rPr>
      </w:pPr>
      <w:r>
        <w:rPr>
          <w:rFonts w:hAnsi="游ゴシック" w:hint="eastAsia"/>
        </w:rPr>
        <w:lastRenderedPageBreak/>
        <w:t>このようなことから</w:t>
      </w:r>
      <w:r w:rsidR="000C0884">
        <w:rPr>
          <w:rFonts w:hAnsi="游ゴシック" w:hint="eastAsia"/>
        </w:rPr>
        <w:t>生産量や販売量が</w:t>
      </w:r>
      <w:r>
        <w:rPr>
          <w:rFonts w:hAnsi="游ゴシック" w:hint="eastAsia"/>
        </w:rPr>
        <w:t>減少している際には固定費を減らしたり、あるいは固定費を変動費に変え</w:t>
      </w:r>
      <w:r w:rsidR="00C92FB8">
        <w:rPr>
          <w:rFonts w:hAnsi="游ゴシック" w:hint="eastAsia"/>
        </w:rPr>
        <w:t>たりする</w:t>
      </w:r>
      <w:r>
        <w:rPr>
          <w:rFonts w:hAnsi="游ゴシック" w:hint="eastAsia"/>
        </w:rPr>
        <w:t>(外注やリースを行う)こと</w:t>
      </w:r>
      <w:r w:rsidR="00C92FB8">
        <w:rPr>
          <w:rFonts w:hAnsi="游ゴシック" w:hint="eastAsia"/>
        </w:rPr>
        <w:t>により利益を増加させる機会が存在する。しかしながら、</w:t>
      </w:r>
      <w:r w:rsidR="00E220D7">
        <w:rPr>
          <w:rFonts w:hAnsi="游ゴシック" w:hint="eastAsia"/>
        </w:rPr>
        <w:t>固定費の大きな発生要因である減価償却費は</w:t>
      </w:r>
      <w:r w:rsidR="00C92FB8">
        <w:rPr>
          <w:rFonts w:hAnsi="游ゴシック" w:hint="eastAsia"/>
        </w:rPr>
        <w:t>一度建設した工場や設備を</w:t>
      </w:r>
      <w:r w:rsidR="00E220D7">
        <w:rPr>
          <w:rFonts w:hAnsi="游ゴシック" w:hint="eastAsia"/>
        </w:rPr>
        <w:t>即座に</w:t>
      </w:r>
      <w:r w:rsidR="00C92FB8">
        <w:rPr>
          <w:rFonts w:hAnsi="游ゴシック" w:hint="eastAsia"/>
        </w:rPr>
        <w:t>取り壊したり使用を中止し</w:t>
      </w:r>
      <w:r w:rsidR="00E220D7">
        <w:rPr>
          <w:rFonts w:hAnsi="游ゴシック" w:hint="eastAsia"/>
        </w:rPr>
        <w:t>たりすることが</w:t>
      </w:r>
      <w:r w:rsidR="00C92FB8">
        <w:rPr>
          <w:rFonts w:hAnsi="游ゴシック" w:hint="eastAsia"/>
        </w:rPr>
        <w:t>現実味に乏しい</w:t>
      </w:r>
      <w:r w:rsidR="00E220D7">
        <w:rPr>
          <w:rFonts w:hAnsi="游ゴシック" w:hint="eastAsia"/>
        </w:rPr>
        <w:t>ため減額が難しい場合がある</w:t>
      </w:r>
      <w:r w:rsidR="00C92FB8">
        <w:rPr>
          <w:rFonts w:hAnsi="游ゴシック" w:hint="eastAsia"/>
        </w:rPr>
        <w:t>。よって、特に製造業においては稼働率が利益への重要な</w:t>
      </w:r>
      <w:r w:rsidR="000C0884">
        <w:rPr>
          <w:rFonts w:hAnsi="游ゴシック" w:hint="eastAsia"/>
        </w:rPr>
        <w:t>ファクター</w:t>
      </w:r>
      <w:r w:rsidR="00C92FB8">
        <w:rPr>
          <w:rFonts w:hAnsi="游ゴシック" w:hint="eastAsia"/>
        </w:rPr>
        <w:t>となる。</w:t>
      </w:r>
    </w:p>
    <w:p w:rsidR="003B6FC8" w:rsidRDefault="00C92FB8">
      <w:pPr>
        <w:rPr>
          <w:rFonts w:hAnsi="游ゴシック"/>
        </w:rPr>
      </w:pPr>
      <w:r>
        <w:rPr>
          <w:rFonts w:hAnsi="游ゴシック" w:hint="eastAsia"/>
        </w:rPr>
        <w:t>反対に、</w:t>
      </w:r>
      <w:r w:rsidR="000C0884">
        <w:rPr>
          <w:rFonts w:hAnsi="游ゴシック" w:hint="eastAsia"/>
        </w:rPr>
        <w:t>生産量や販売量</w:t>
      </w:r>
      <w:r>
        <w:rPr>
          <w:rFonts w:hAnsi="游ゴシック" w:hint="eastAsia"/>
        </w:rPr>
        <w:t>が増加している際には変動費を減らしたり、あるいは変動費を固定費に変えたりする</w:t>
      </w:r>
      <w:r>
        <w:rPr>
          <w:rFonts w:hAnsi="游ゴシック"/>
        </w:rPr>
        <w:t>(</w:t>
      </w:r>
      <w:r>
        <w:rPr>
          <w:rFonts w:hAnsi="游ゴシック" w:hint="eastAsia"/>
        </w:rPr>
        <w:t>歩合制を固定給に変更する)ことにより利益を増加させる機会が存在する。</w:t>
      </w:r>
    </w:p>
    <w:p w:rsidR="003B6FC8" w:rsidRPr="003B6FC8" w:rsidRDefault="003B6FC8">
      <w:pPr>
        <w:rPr>
          <w:rFonts w:hAnsi="游ゴシック"/>
        </w:rPr>
      </w:pPr>
    </w:p>
    <w:p w:rsidR="00E220D7" w:rsidRPr="0018233C" w:rsidRDefault="007B4C2C">
      <w:pPr>
        <w:rPr>
          <w:rFonts w:hAnsi="游ゴシック"/>
          <w:color w:val="FF0000"/>
        </w:rPr>
      </w:pPr>
      <w:r>
        <w:rPr>
          <w:rFonts w:hAnsi="游ゴシック" w:hint="eastAsia"/>
        </w:rPr>
        <w:t>その上で図</w:t>
      </w:r>
      <w:r>
        <w:rPr>
          <w:rFonts w:hAnsi="游ゴシック"/>
        </w:rPr>
        <w:t>8</w:t>
      </w:r>
      <w:r>
        <w:rPr>
          <w:rFonts w:hAnsi="游ゴシック" w:hint="eastAsia"/>
        </w:rPr>
        <w:t>の表を見ていく。緑色で色付けされているのは売上高が増加している以上に売上原価・販管費が増加している年であり、赤色で色付けされているのは売上高が減少しているがその減少比率ほど売上原価・販管費が減少していない年である。</w:t>
      </w:r>
      <w:r w:rsidR="003B6FC8">
        <w:rPr>
          <w:rFonts w:hAnsi="游ゴシック" w:hint="eastAsia"/>
        </w:rPr>
        <w:t>まず、Aの売上高増減比率-売上原価増減比率の欄では1</w:t>
      </w:r>
      <w:r w:rsidR="003B6FC8">
        <w:rPr>
          <w:rFonts w:hAnsi="游ゴシック"/>
        </w:rPr>
        <w:t>0</w:t>
      </w:r>
      <w:r w:rsidR="003B6FC8">
        <w:rPr>
          <w:rFonts w:hAnsi="游ゴシック" w:hint="eastAsia"/>
        </w:rPr>
        <w:t>期間のうち7期間についていずれかの色がついている。</w:t>
      </w:r>
      <w:r w:rsidR="009440F4">
        <w:rPr>
          <w:rFonts w:hAnsi="游ゴシック" w:hint="eastAsia"/>
        </w:rPr>
        <w:t>売上高の減少比率に比べ売上原価の減少比率が低い赤色の年については、先述の工場や機械の</w:t>
      </w:r>
      <w:r w:rsidR="00E220D7">
        <w:rPr>
          <w:rFonts w:hAnsi="游ゴシック" w:hint="eastAsia"/>
        </w:rPr>
        <w:t>固定費(減価償却費)の問題があるため回避が難しい側面がある。それよりも問題となるは、売上高の増加比率に比べ売上原価の増加比率が高い緑色の年である。</w:t>
      </w:r>
      <w:r w:rsidR="00FA46EF">
        <w:rPr>
          <w:rFonts w:hAnsi="游ゴシック" w:hint="eastAsia"/>
        </w:rPr>
        <w:t>特に</w:t>
      </w:r>
      <w:r w:rsidR="00FA46EF">
        <w:rPr>
          <w:rFonts w:hAnsi="游ゴシック"/>
        </w:rPr>
        <w:t>2014</w:t>
      </w:r>
      <w:r w:rsidR="00FA46EF">
        <w:rPr>
          <w:rFonts w:hAnsi="游ゴシック" w:hint="eastAsia"/>
        </w:rPr>
        <w:t>年3月期から</w:t>
      </w:r>
      <w:r w:rsidR="00FA46EF">
        <w:rPr>
          <w:rFonts w:hAnsi="游ゴシック"/>
        </w:rPr>
        <w:t>2016</w:t>
      </w:r>
      <w:r w:rsidR="00FA46EF">
        <w:rPr>
          <w:rFonts w:hAnsi="游ゴシック" w:hint="eastAsia"/>
        </w:rPr>
        <w:t>年3月期にかけては3期連続で売上高の増加比率に比べ売上原価の増加比率が高くなっている。製品一個あたりの固定費は減少トレンドにあるはずであるためこのような状態となる要因として考えられるのは、1つ目に製品の価格設定の誤りにより採算の取れない製品を大量販売している。2つ目に従来の変動費に加え別に新たな変動費が発生していることである。</w:t>
      </w:r>
      <w:r w:rsidR="0018233C">
        <w:rPr>
          <w:rFonts w:hAnsi="游ゴシック" w:hint="eastAsia"/>
        </w:rPr>
        <w:t>この論点については、</w:t>
      </w:r>
      <w:r w:rsidR="0018233C" w:rsidRPr="0018233C">
        <w:rPr>
          <w:rFonts w:hAnsi="游ゴシック" w:hint="eastAsia"/>
          <w:color w:val="FF0000"/>
        </w:rPr>
        <w:t>後半の</w:t>
      </w:r>
      <w:r w:rsidR="0018233C">
        <w:rPr>
          <w:rFonts w:hAnsi="游ゴシック" w:hint="eastAsia"/>
          <w:color w:val="FF0000"/>
        </w:rPr>
        <w:t xml:space="preserve">　</w:t>
      </w:r>
      <w:r w:rsidR="00527D0B">
        <w:rPr>
          <w:rFonts w:hAnsi="游ゴシック" w:hint="eastAsia"/>
          <w:color w:val="FF0000"/>
        </w:rPr>
        <w:t>で</w:t>
      </w:r>
      <w:r w:rsidR="0018233C">
        <w:rPr>
          <w:rFonts w:hAnsi="游ゴシック" w:hint="eastAsia"/>
          <w:color w:val="FF0000"/>
        </w:rPr>
        <w:t>みていく。</w:t>
      </w:r>
    </w:p>
    <w:tbl>
      <w:tblPr>
        <w:tblStyle w:val="a4"/>
        <w:tblW w:w="9209" w:type="dxa"/>
        <w:tblLook w:val="04A0" w:firstRow="1" w:lastRow="0" w:firstColumn="1" w:lastColumn="0" w:noHBand="0" w:noVBand="1"/>
      </w:tblPr>
      <w:tblGrid>
        <w:gridCol w:w="972"/>
        <w:gridCol w:w="823"/>
        <w:gridCol w:w="824"/>
        <w:gridCol w:w="824"/>
        <w:gridCol w:w="823"/>
        <w:gridCol w:w="824"/>
        <w:gridCol w:w="824"/>
        <w:gridCol w:w="823"/>
        <w:gridCol w:w="824"/>
        <w:gridCol w:w="824"/>
        <w:gridCol w:w="824"/>
      </w:tblGrid>
      <w:tr w:rsidR="007B4C2C" w:rsidTr="00C92FB8">
        <w:tc>
          <w:tcPr>
            <w:tcW w:w="972" w:type="dxa"/>
          </w:tcPr>
          <w:p w:rsidR="007B4C2C" w:rsidRPr="00FA46EF" w:rsidRDefault="007B4C2C" w:rsidP="00C92FB8">
            <w:pPr>
              <w:rPr>
                <w:rFonts w:hAnsi="游ゴシック"/>
                <w:sz w:val="16"/>
                <w:szCs w:val="18"/>
              </w:rPr>
            </w:pPr>
          </w:p>
        </w:tc>
        <w:tc>
          <w:tcPr>
            <w:tcW w:w="823" w:type="dxa"/>
          </w:tcPr>
          <w:p w:rsidR="007B4C2C" w:rsidRPr="00B12D07" w:rsidRDefault="003B6FC8" w:rsidP="009440F4">
            <w:pPr>
              <w:jc w:val="center"/>
              <w:rPr>
                <w:rFonts w:hAnsi="游ゴシック"/>
                <w:sz w:val="12"/>
                <w:szCs w:val="12"/>
              </w:rPr>
            </w:pPr>
            <w:r w:rsidRPr="003B6FC8">
              <w:rPr>
                <w:rFonts w:hAnsi="游ゴシック" w:hint="eastAsia"/>
                <w:sz w:val="16"/>
                <w:szCs w:val="16"/>
              </w:rPr>
              <w:t>2010</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w:t>
            </w:r>
            <w:r w:rsidRPr="00B12D07">
              <w:rPr>
                <w:rFonts w:hAnsi="游ゴシック" w:hint="eastAsia"/>
                <w:sz w:val="16"/>
                <w:szCs w:val="16"/>
              </w:rPr>
              <w:t>11</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2012</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2013</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2014</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2015</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2016</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2017</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2018</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2019</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売上高</w:t>
            </w:r>
          </w:p>
        </w:tc>
        <w:tc>
          <w:tcPr>
            <w:tcW w:w="823" w:type="dxa"/>
          </w:tcPr>
          <w:p w:rsidR="007B4C2C" w:rsidRPr="00F46B56" w:rsidRDefault="007B4C2C" w:rsidP="00C92FB8">
            <w:pPr>
              <w:jc w:val="right"/>
              <w:rPr>
                <w:rFonts w:hAnsi="游ゴシック"/>
                <w:sz w:val="14"/>
                <w:szCs w:val="14"/>
              </w:rPr>
            </w:pPr>
            <w:r w:rsidRPr="00F46B56">
              <w:rPr>
                <w:rFonts w:hAnsi="游ゴシック"/>
                <w:sz w:val="14"/>
                <w:szCs w:val="14"/>
              </w:rPr>
              <w:t>-</w:t>
            </w:r>
            <w:r w:rsidRPr="00F46B56">
              <w:rPr>
                <w:rFonts w:hAnsi="游ゴシック" w:hint="eastAsia"/>
                <w:sz w:val="14"/>
                <w:szCs w:val="14"/>
              </w:rPr>
              <w:t>18.19％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w:t>
            </w:r>
            <w:r w:rsidRPr="00F46B56">
              <w:rPr>
                <w:rFonts w:hAnsi="游ゴシック"/>
                <w:sz w:val="14"/>
                <w:szCs w:val="14"/>
              </w:rPr>
              <w:t>5.82%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3.23%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1.69%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4.86%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.39%</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0.7%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5.42%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0.44%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8.02%</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売上原価</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-23.60％</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-68.06％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-0.83％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-1.14％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14.96％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15.24％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-5.85％</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A</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w:t>
            </w:r>
            <w:r w:rsidRPr="00F46B56">
              <w:rPr>
                <w:rFonts w:hAnsi="游ゴシック"/>
                <w:sz w:val="14"/>
                <w:szCs w:val="14"/>
              </w:rPr>
              <w:t>.41</w:t>
            </w:r>
            <w:r w:rsidRPr="00F46B56">
              <w:rPr>
                <w:rFonts w:hAnsi="游ゴシック" w:hint="eastAsia"/>
                <w:sz w:val="14"/>
                <w:szCs w:val="14"/>
              </w:rPr>
              <w:t>%</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2.23%</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2.40%</w:t>
            </w:r>
          </w:p>
        </w:tc>
        <w:tc>
          <w:tcPr>
            <w:tcW w:w="823"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0.54%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0.10%</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2.13%</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4.55%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.15%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.29%</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2.17%</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販管費</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-27.57％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25.32％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11.12％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-9.02％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8.46％</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-0.41％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10.45％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-4.22％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2.06％</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B</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w:t>
            </w:r>
            <w:r w:rsidRPr="00F46B56">
              <w:rPr>
                <w:rFonts w:hAnsi="游ゴシック"/>
                <w:sz w:val="14"/>
                <w:szCs w:val="14"/>
              </w:rPr>
              <w:t>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0.50%</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shd w:val="clear" w:color="auto" w:fill="C0504D" w:themeFill="accent2"/>
              </w:rPr>
              <w:t>-</w:t>
            </w:r>
            <w:r w:rsidRPr="00F46B56">
              <w:rPr>
                <w:rFonts w:hAnsi="游ゴシック"/>
                <w:sz w:val="14"/>
                <w:szCs w:val="14"/>
                <w:shd w:val="clear" w:color="auto" w:fill="C0504D" w:themeFill="accent2"/>
              </w:rPr>
              <w:t>14.34</w:t>
            </w:r>
            <w:r w:rsidRPr="00F46B56">
              <w:rPr>
                <w:rFonts w:hAnsi="游ゴシック"/>
                <w:sz w:val="14"/>
                <w:szCs w:val="14"/>
              </w:rPr>
              <w:t>%</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7.24%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1.07%</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1.11%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15.87%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3</w:t>
            </w:r>
            <w:r w:rsidRPr="00F46B56">
              <w:rPr>
                <w:rFonts w:hAnsi="游ゴシック"/>
                <w:sz w:val="14"/>
                <w:szCs w:val="14"/>
              </w:rPr>
              <w:t>.78%</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10.08%</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C</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5.91％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2.91％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-3.50％</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0.26％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1.55％</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-2.05％</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-3.28％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-2.83％</w:t>
            </w:r>
          </w:p>
        </w:tc>
      </w:tr>
    </w:tbl>
    <w:p w:rsidR="007B4C2C" w:rsidRDefault="007B4C2C" w:rsidP="007B4C2C">
      <w:pPr>
        <w:rPr>
          <w:rFonts w:hAnsi="游ゴシック"/>
        </w:rPr>
      </w:pPr>
      <w:r>
        <w:rPr>
          <w:rFonts w:hAnsi="游ゴシック" w:hint="eastAsia"/>
        </w:rPr>
        <w:t>図8</w:t>
      </w:r>
    </w:p>
    <w:p w:rsidR="007B4C2C" w:rsidRDefault="007B4C2C" w:rsidP="007B4C2C">
      <w:pPr>
        <w:rPr>
          <w:rFonts w:hAnsi="游ゴシック"/>
        </w:rPr>
      </w:pPr>
      <w:r>
        <w:rPr>
          <w:rFonts w:hAnsi="游ゴシック" w:hint="eastAsia"/>
        </w:rPr>
        <w:t>A</w:t>
      </w:r>
      <w:r>
        <w:rPr>
          <w:rFonts w:hAnsi="游ゴシック"/>
        </w:rPr>
        <w:t>:</w:t>
      </w:r>
      <w:r>
        <w:rPr>
          <w:rFonts w:hAnsi="游ゴシック" w:hint="eastAsia"/>
        </w:rPr>
        <w:t>売上高増減比率-売上原価増減比率</w:t>
      </w:r>
    </w:p>
    <w:p w:rsidR="007B4C2C" w:rsidRDefault="007B4C2C" w:rsidP="007B4C2C">
      <w:pPr>
        <w:rPr>
          <w:rFonts w:hAnsi="游ゴシック"/>
        </w:rPr>
      </w:pPr>
      <w:r>
        <w:rPr>
          <w:rFonts w:hAnsi="游ゴシック" w:hint="eastAsia"/>
        </w:rPr>
        <w:t>B</w:t>
      </w:r>
      <w:r>
        <w:rPr>
          <w:rFonts w:hAnsi="游ゴシック"/>
        </w:rPr>
        <w:t>:</w:t>
      </w:r>
      <w:r>
        <w:rPr>
          <w:rFonts w:hAnsi="游ゴシック" w:hint="eastAsia"/>
        </w:rPr>
        <w:t>売上高増減比率-販売費及び一般管理費増減比率</w:t>
      </w:r>
    </w:p>
    <w:p w:rsidR="003B6FC8" w:rsidRDefault="007B4C2C">
      <w:pPr>
        <w:rPr>
          <w:rFonts w:hAnsi="游ゴシック"/>
        </w:rPr>
      </w:pPr>
      <w:r>
        <w:rPr>
          <w:rFonts w:hAnsi="游ゴシック" w:hint="eastAsia"/>
        </w:rPr>
        <w:t>C</w:t>
      </w:r>
      <w:r>
        <w:rPr>
          <w:rFonts w:hAnsi="游ゴシック"/>
        </w:rPr>
        <w:t>:</w:t>
      </w:r>
      <w:r>
        <w:rPr>
          <w:rFonts w:hAnsi="游ゴシック" w:hint="eastAsia"/>
        </w:rPr>
        <w:t>売上高増減比率-売上原価・販管費増減比率</w:t>
      </w:r>
    </w:p>
    <w:p w:rsidR="00D30F95" w:rsidRDefault="00103C29">
      <w:pPr>
        <w:rPr>
          <w:rFonts w:hAnsi="游ゴシック"/>
        </w:rPr>
      </w:pPr>
      <w:r>
        <w:rPr>
          <w:rFonts w:hAnsi="游ゴシック" w:hint="eastAsia"/>
        </w:rPr>
        <w:lastRenderedPageBreak/>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C9012F" w:rsidRDefault="00C9012F">
      <w:pPr>
        <w:rPr>
          <w:rFonts w:hAnsi="游ゴシック"/>
        </w:rPr>
      </w:pP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Default="004C3612" w:rsidP="00A433A0">
      <w:pPr>
        <w:jc w:val="left"/>
        <w:rPr>
          <w:rFonts w:hAnsi="游ゴシック"/>
        </w:rPr>
      </w:pPr>
    </w:p>
    <w:p w:rsidR="00622C5F" w:rsidRDefault="00622C5F" w:rsidP="00A433A0">
      <w:pPr>
        <w:jc w:val="left"/>
        <w:rPr>
          <w:rFonts w:hAnsi="游ゴシック"/>
        </w:rPr>
      </w:pPr>
      <w:r>
        <w:rPr>
          <w:rFonts w:hAnsi="游ゴシック" w:hint="eastAsia"/>
        </w:rPr>
        <w:t>ここまで北米市場を中心に分析を進めたが、次に曙ブレーキ工業全体の投資施策とキャッシュフローの状況についてみていく。前提として、営利企業において事業投資を行うにあたっては、市場における競争力やCFの状況を勘案して将来十分なリターンが得られるようにしなければならない。そこでまず、曙ブレーキ工業の研究開発費と設備投資額を確認する。</w:t>
      </w:r>
    </w:p>
    <w:p w:rsidR="00622C5F" w:rsidRDefault="00622C5F" w:rsidP="00A433A0">
      <w:pPr>
        <w:jc w:val="left"/>
        <w:rPr>
          <w:rFonts w:hAnsi="游ゴシック"/>
        </w:rPr>
      </w:pPr>
    </w:p>
    <w:p w:rsidR="00936EE1" w:rsidRPr="00622C5F" w:rsidRDefault="00936EE1" w:rsidP="00A433A0">
      <w:pPr>
        <w:jc w:val="left"/>
        <w:rPr>
          <w:rFonts w:hAnsi="游ゴシック"/>
        </w:rPr>
      </w:pPr>
    </w:p>
    <w:p w:rsidR="00936EE1" w:rsidRDefault="00622C5F" w:rsidP="00A433A0">
      <w:pPr>
        <w:jc w:val="left"/>
        <w:rPr>
          <w:rFonts w:hAnsi="游ゴシック"/>
        </w:rPr>
      </w:pPr>
      <w:r>
        <w:rPr>
          <w:noProof/>
        </w:rPr>
        <w:lastRenderedPageBreak/>
        <w:drawing>
          <wp:inline distT="0" distB="0" distL="0" distR="0" wp14:anchorId="0EE10C2E" wp14:editId="250847D0">
            <wp:extent cx="5302250" cy="2961640"/>
            <wp:effectExtent l="0" t="0" r="12700" b="10160"/>
            <wp:docPr id="12" name="グラフ 12">
              <a:extLst xmlns:a="http://schemas.openxmlformats.org/drawingml/2006/main">
                <a:ext uri="{FF2B5EF4-FFF2-40B4-BE49-F238E27FC236}">
                  <a16:creationId xmlns:a16="http://schemas.microsoft.com/office/drawing/2014/main" id="{BF615563-801E-4AA7-9B05-A9E9137E2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2748" w:rsidRDefault="00972748" w:rsidP="00A433A0">
      <w:pPr>
        <w:jc w:val="left"/>
        <w:rPr>
          <w:rFonts w:hAnsi="游ゴシック"/>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551FE0" w:rsidTr="00D62E42">
        <w:tc>
          <w:tcPr>
            <w:tcW w:w="2123" w:type="dxa"/>
          </w:tcPr>
          <w:p w:rsidR="00551FE0" w:rsidRDefault="00551FE0" w:rsidP="00D62E42">
            <w:pPr>
              <w:jc w:val="left"/>
              <w:rPr>
                <w:rFonts w:hAnsi="游ゴシック"/>
              </w:rPr>
            </w:pPr>
            <w:r>
              <w:rPr>
                <w:rFonts w:hAnsi="游ゴシック" w:hint="eastAsia"/>
              </w:rPr>
              <w:t>研究開発費</w:t>
            </w:r>
          </w:p>
        </w:tc>
        <w:tc>
          <w:tcPr>
            <w:tcW w:w="2123" w:type="dxa"/>
          </w:tcPr>
          <w:p w:rsidR="00551FE0" w:rsidRDefault="00551FE0" w:rsidP="00D62E42">
            <w:pPr>
              <w:jc w:val="left"/>
              <w:rPr>
                <w:rFonts w:hAnsi="游ゴシック"/>
              </w:rPr>
            </w:pPr>
            <w:r>
              <w:rPr>
                <w:rFonts w:hAnsi="游ゴシック" w:hint="eastAsia"/>
              </w:rPr>
              <w:t>曙ブレーキ工業</w:t>
            </w:r>
          </w:p>
        </w:tc>
        <w:tc>
          <w:tcPr>
            <w:tcW w:w="2124" w:type="dxa"/>
          </w:tcPr>
          <w:p w:rsidR="00551FE0" w:rsidRDefault="00551FE0" w:rsidP="00D62E42">
            <w:pPr>
              <w:jc w:val="left"/>
              <w:rPr>
                <w:rFonts w:hAnsi="游ゴシック"/>
              </w:rPr>
            </w:pPr>
            <w:r>
              <w:rPr>
                <w:rFonts w:hAnsi="游ゴシック" w:hint="eastAsia"/>
              </w:rPr>
              <w:t>日信工業</w:t>
            </w:r>
          </w:p>
        </w:tc>
        <w:tc>
          <w:tcPr>
            <w:tcW w:w="2124" w:type="dxa"/>
          </w:tcPr>
          <w:p w:rsidR="00551FE0" w:rsidRDefault="00551FE0" w:rsidP="00D62E42">
            <w:pPr>
              <w:jc w:val="left"/>
              <w:rPr>
                <w:rFonts w:hAnsi="游ゴシック"/>
              </w:rPr>
            </w:pPr>
            <w:r>
              <w:rPr>
                <w:rFonts w:hAnsi="游ゴシック" w:hint="eastAsia"/>
              </w:rPr>
              <w:t>業種平均</w:t>
            </w:r>
          </w:p>
        </w:tc>
      </w:tr>
      <w:tr w:rsidR="00551FE0" w:rsidTr="00D62E42">
        <w:tc>
          <w:tcPr>
            <w:tcW w:w="2123" w:type="dxa"/>
          </w:tcPr>
          <w:p w:rsidR="00551FE0" w:rsidRDefault="00551FE0" w:rsidP="00D62E42">
            <w:pPr>
              <w:jc w:val="left"/>
              <w:rPr>
                <w:rFonts w:hAnsi="游ゴシック"/>
              </w:rPr>
            </w:pPr>
            <w:r>
              <w:rPr>
                <w:rFonts w:hAnsi="游ゴシック" w:hint="eastAsia"/>
              </w:rPr>
              <w:t>平均値</w:t>
            </w:r>
          </w:p>
        </w:tc>
        <w:tc>
          <w:tcPr>
            <w:tcW w:w="2123" w:type="dxa"/>
          </w:tcPr>
          <w:p w:rsidR="00551FE0" w:rsidRPr="005640ED" w:rsidRDefault="00551FE0" w:rsidP="00D62E42">
            <w:pPr>
              <w:widowControl/>
              <w:jc w:val="left"/>
              <w:rPr>
                <w:rFonts w:hAnsi="游ゴシック" w:cs="Arial"/>
                <w:szCs w:val="21"/>
              </w:rPr>
            </w:pPr>
            <w:r w:rsidRPr="005640ED">
              <w:rPr>
                <w:rFonts w:hAnsi="游ゴシック" w:cs="Arial"/>
                <w:szCs w:val="21"/>
              </w:rPr>
              <w:t>4.7</w:t>
            </w:r>
            <w:r>
              <w:rPr>
                <w:rFonts w:hAnsi="游ゴシック" w:cs="Arial" w:hint="eastAsia"/>
                <w:szCs w:val="21"/>
              </w:rPr>
              <w:t>0</w:t>
            </w:r>
            <w:r w:rsidRPr="005640ED">
              <w:rPr>
                <w:rFonts w:hAnsi="游ゴシック" w:cs="Arial" w:hint="eastAsia"/>
                <w:szCs w:val="21"/>
              </w:rPr>
              <w:t>％</w:t>
            </w:r>
          </w:p>
        </w:tc>
        <w:tc>
          <w:tcPr>
            <w:tcW w:w="2124" w:type="dxa"/>
          </w:tcPr>
          <w:p w:rsidR="00551FE0" w:rsidRDefault="00551FE0" w:rsidP="00D62E42">
            <w:pPr>
              <w:jc w:val="left"/>
              <w:rPr>
                <w:rFonts w:hAnsi="游ゴシック"/>
              </w:rPr>
            </w:pPr>
            <w:r>
              <w:rPr>
                <w:rFonts w:hAnsi="游ゴシック" w:hint="eastAsia"/>
              </w:rPr>
              <w:t>3.53％</w:t>
            </w:r>
          </w:p>
        </w:tc>
        <w:tc>
          <w:tcPr>
            <w:tcW w:w="2124" w:type="dxa"/>
          </w:tcPr>
          <w:p w:rsidR="00551FE0" w:rsidRDefault="00551FE0" w:rsidP="00D62E42">
            <w:pPr>
              <w:jc w:val="left"/>
              <w:rPr>
                <w:rFonts w:hAnsi="游ゴシック"/>
              </w:rPr>
            </w:pPr>
            <w:r>
              <w:rPr>
                <w:rFonts w:hAnsi="游ゴシック" w:hint="eastAsia"/>
              </w:rPr>
              <w:t>6.187％</w:t>
            </w:r>
          </w:p>
        </w:tc>
      </w:tr>
    </w:tbl>
    <w:p w:rsidR="00FD7F27" w:rsidRDefault="006D5691" w:rsidP="00A433A0">
      <w:pPr>
        <w:jc w:val="left"/>
        <w:rPr>
          <w:rFonts w:hAnsi="游ゴシック"/>
        </w:rPr>
      </w:pPr>
      <w:r>
        <w:rPr>
          <w:rFonts w:hAnsi="游ゴシック" w:hint="eastAsia"/>
        </w:rPr>
        <w:t>自動車部品</w:t>
      </w:r>
      <w:r w:rsidR="00D35374">
        <w:rPr>
          <w:rFonts w:hAnsi="游ゴシック" w:hint="eastAsia"/>
        </w:rPr>
        <w:t>業界は完成車メーカーの系列企業である場合とそうでない独立系とに分類されるが、曙ブレーキ工業は独立系に分類され</w:t>
      </w:r>
      <w:r w:rsidR="00551FE0">
        <w:rPr>
          <w:rFonts w:hAnsi="游ゴシック" w:hint="eastAsia"/>
        </w:rPr>
        <w:t>、日信工業は</w:t>
      </w:r>
      <w:r w:rsidR="00551FE0">
        <w:t>本田技研工業</w:t>
      </w:r>
      <w:r w:rsidR="00551FE0">
        <w:rPr>
          <w:rFonts w:hint="eastAsia"/>
        </w:rPr>
        <w:t>(以下</w:t>
      </w:r>
      <w:r w:rsidR="00551FE0">
        <w:rPr>
          <w:rFonts w:hAnsi="游ゴシック" w:hint="eastAsia"/>
        </w:rPr>
        <w:t>ホンダ)の系列企業である</w:t>
      </w:r>
      <w:r w:rsidR="00D35374">
        <w:rPr>
          <w:rFonts w:hAnsi="游ゴシック" w:hint="eastAsia"/>
        </w:rPr>
        <w:t>。独立系の部品メーカーの特徴</w:t>
      </w:r>
      <w:r w:rsidR="00D35374">
        <w:rPr>
          <w:rFonts w:hAnsi="游ゴシック"/>
        </w:rPr>
        <w:t>(</w:t>
      </w:r>
      <w:r w:rsidR="00D35374">
        <w:rPr>
          <w:rFonts w:hAnsi="游ゴシック" w:hint="eastAsia"/>
        </w:rPr>
        <w:t>強み)としては、系列系の部品メーカーとは異なり多くの自動車メーカーと取引ができるため、親会社の自動車メーカー1社の売上にだけより業績が左右されにくいということがある。しかしながら、自らの技術力やコスト競争力を生かして自動車メーカーに売り込む必要がある他、いざと言う時に自動車メーカーの援助が得られにくいというデメリットが存在</w:t>
      </w:r>
      <w:r w:rsidR="00551FE0">
        <w:rPr>
          <w:rFonts w:hAnsi="游ゴシック" w:hint="eastAsia"/>
        </w:rPr>
        <w:t>する。曙ブレーキ工業の売上高研究開発費比率は生産混乱が発生した2</w:t>
      </w:r>
      <w:r w:rsidR="00551FE0">
        <w:rPr>
          <w:rFonts w:hAnsi="游ゴシック"/>
        </w:rPr>
        <w:t>014</w:t>
      </w:r>
      <w:r w:rsidR="00551FE0">
        <w:rPr>
          <w:rFonts w:hAnsi="游ゴシック" w:hint="eastAsia"/>
        </w:rPr>
        <w:t>年以降若干低下はしているものの概ね一定水準を保って</w:t>
      </w:r>
    </w:p>
    <w:p w:rsidR="00FD7F27" w:rsidRPr="00FD7F27" w:rsidRDefault="00FD7F27" w:rsidP="00A433A0">
      <w:pPr>
        <w:jc w:val="left"/>
        <w:rPr>
          <w:rFonts w:hAnsi="游ゴシック"/>
        </w:rPr>
      </w:pPr>
      <w:r>
        <w:rPr>
          <w:rFonts w:hAnsi="游ゴシック" w:hint="eastAsia"/>
        </w:rPr>
        <w:t>いる。具体的な研究としては主力製品であるブレーキパッドの摩擦材について、今後使用が制限される銅等を使用しない摩擦材の開発を行っている。また、今後生産が拡大すると予測される電気自動車向けのブレーキやブレーキパッドの押し付けを電動化した電動ブレーキの開発を進めている。</w:t>
      </w:r>
    </w:p>
    <w:p w:rsidR="00FD7F27" w:rsidRPr="00FD7F27" w:rsidRDefault="009A47BB" w:rsidP="00A433A0">
      <w:pPr>
        <w:jc w:val="left"/>
        <w:rPr>
          <w:rFonts w:hAnsi="游ゴシック"/>
        </w:rPr>
      </w:pPr>
      <w:r>
        <w:rPr>
          <w:noProof/>
        </w:rPr>
        <w:lastRenderedPageBreak/>
        <w:drawing>
          <wp:inline distT="0" distB="0" distL="0" distR="0" wp14:anchorId="29E2A032" wp14:editId="76287288">
            <wp:extent cx="4954905" cy="2743200"/>
            <wp:effectExtent l="0" t="0" r="17145" b="0"/>
            <wp:docPr id="13" name="グラフ 13">
              <a:extLst xmlns:a="http://schemas.openxmlformats.org/drawingml/2006/main">
                <a:ext uri="{FF2B5EF4-FFF2-40B4-BE49-F238E27FC236}">
                  <a16:creationId xmlns:a16="http://schemas.microsoft.com/office/drawing/2014/main" id="{707BE6AD-7464-442F-BA87-B04592EB1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72748" w:rsidRDefault="00972748" w:rsidP="00A433A0">
      <w:pPr>
        <w:jc w:val="left"/>
        <w:rPr>
          <w:rFonts w:hAnsi="游ゴシック"/>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184291" w:rsidTr="00184291">
        <w:tc>
          <w:tcPr>
            <w:tcW w:w="2123" w:type="dxa"/>
          </w:tcPr>
          <w:p w:rsidR="00184291" w:rsidRDefault="00184291" w:rsidP="00A433A0">
            <w:pPr>
              <w:jc w:val="left"/>
              <w:rPr>
                <w:rFonts w:hAnsi="游ゴシック"/>
              </w:rPr>
            </w:pPr>
            <w:r>
              <w:rPr>
                <w:rFonts w:hAnsi="游ゴシック" w:hint="eastAsia"/>
              </w:rPr>
              <w:t>設備投資額</w:t>
            </w:r>
          </w:p>
        </w:tc>
        <w:tc>
          <w:tcPr>
            <w:tcW w:w="2123" w:type="dxa"/>
          </w:tcPr>
          <w:p w:rsidR="00184291" w:rsidRDefault="00184291" w:rsidP="00A433A0">
            <w:pPr>
              <w:jc w:val="left"/>
              <w:rPr>
                <w:rFonts w:hAnsi="游ゴシック"/>
              </w:rPr>
            </w:pPr>
            <w:r>
              <w:rPr>
                <w:rFonts w:hAnsi="游ゴシック" w:hint="eastAsia"/>
              </w:rPr>
              <w:t>曙ブレーキ工業</w:t>
            </w:r>
          </w:p>
        </w:tc>
        <w:tc>
          <w:tcPr>
            <w:tcW w:w="2124" w:type="dxa"/>
          </w:tcPr>
          <w:p w:rsidR="00184291" w:rsidRDefault="00184291" w:rsidP="00A433A0">
            <w:pPr>
              <w:jc w:val="left"/>
              <w:rPr>
                <w:rFonts w:hAnsi="游ゴシック"/>
              </w:rPr>
            </w:pPr>
            <w:r>
              <w:rPr>
                <w:rFonts w:hAnsi="游ゴシック" w:hint="eastAsia"/>
              </w:rPr>
              <w:t>日信工業</w:t>
            </w:r>
          </w:p>
        </w:tc>
        <w:tc>
          <w:tcPr>
            <w:tcW w:w="2124" w:type="dxa"/>
          </w:tcPr>
          <w:p w:rsidR="00184291" w:rsidRDefault="00184291" w:rsidP="00A433A0">
            <w:pPr>
              <w:jc w:val="left"/>
              <w:rPr>
                <w:rFonts w:hAnsi="游ゴシック"/>
              </w:rPr>
            </w:pPr>
            <w:r>
              <w:rPr>
                <w:rFonts w:hAnsi="游ゴシック" w:hint="eastAsia"/>
              </w:rPr>
              <w:t>業種平均</w:t>
            </w:r>
          </w:p>
        </w:tc>
      </w:tr>
      <w:tr w:rsidR="00184291" w:rsidTr="00184291">
        <w:tc>
          <w:tcPr>
            <w:tcW w:w="2123" w:type="dxa"/>
          </w:tcPr>
          <w:p w:rsidR="00184291" w:rsidRDefault="00184291" w:rsidP="00A433A0">
            <w:pPr>
              <w:jc w:val="left"/>
              <w:rPr>
                <w:rFonts w:hAnsi="游ゴシック"/>
              </w:rPr>
            </w:pPr>
            <w:r>
              <w:rPr>
                <w:rFonts w:hAnsi="游ゴシック" w:hint="eastAsia"/>
              </w:rPr>
              <w:t>平均値</w:t>
            </w:r>
          </w:p>
        </w:tc>
        <w:tc>
          <w:tcPr>
            <w:tcW w:w="2123" w:type="dxa"/>
          </w:tcPr>
          <w:p w:rsidR="00184291" w:rsidRPr="00184291" w:rsidRDefault="00184291" w:rsidP="00A433A0">
            <w:pPr>
              <w:jc w:val="left"/>
              <w:rPr>
                <w:rFonts w:hAnsi="游ゴシック"/>
              </w:rPr>
            </w:pPr>
            <w:r>
              <w:rPr>
                <w:rFonts w:hAnsi="游ゴシック" w:hint="eastAsia"/>
              </w:rPr>
              <w:t>6.80％</w:t>
            </w:r>
          </w:p>
        </w:tc>
        <w:tc>
          <w:tcPr>
            <w:tcW w:w="2124" w:type="dxa"/>
          </w:tcPr>
          <w:p w:rsidR="00184291" w:rsidRPr="00184291" w:rsidRDefault="00184291" w:rsidP="00184291">
            <w:pPr>
              <w:widowControl/>
              <w:jc w:val="left"/>
              <w:rPr>
                <w:rFonts w:hAnsi="游ゴシック"/>
                <w:szCs w:val="21"/>
              </w:rPr>
            </w:pPr>
            <w:r w:rsidRPr="00184291">
              <w:rPr>
                <w:rFonts w:hAnsi="游ゴシック" w:hint="eastAsia"/>
                <w:szCs w:val="21"/>
              </w:rPr>
              <w:t>5.90％</w:t>
            </w:r>
          </w:p>
        </w:tc>
        <w:tc>
          <w:tcPr>
            <w:tcW w:w="2124" w:type="dxa"/>
          </w:tcPr>
          <w:p w:rsidR="00184291" w:rsidRPr="00184291" w:rsidRDefault="00C8196B" w:rsidP="00A433A0">
            <w:pPr>
              <w:jc w:val="left"/>
              <w:rPr>
                <w:rFonts w:hAnsi="游ゴシック"/>
              </w:rPr>
            </w:pPr>
            <w:r>
              <w:rPr>
                <w:rFonts w:hAnsi="游ゴシック" w:hint="eastAsia"/>
              </w:rPr>
              <w:t>2.89％</w:t>
            </w:r>
          </w:p>
        </w:tc>
      </w:tr>
    </w:tbl>
    <w:p w:rsidR="002767B8" w:rsidRPr="00831A68" w:rsidRDefault="002767B8" w:rsidP="00A433A0">
      <w:pPr>
        <w:jc w:val="left"/>
        <w:rPr>
          <w:rFonts w:hAnsi="游ゴシック"/>
        </w:rPr>
      </w:pPr>
      <w:r>
        <w:rPr>
          <w:rFonts w:hAnsi="游ゴシック" w:hint="eastAsia"/>
        </w:rPr>
        <w:t>次に</w:t>
      </w:r>
      <w:r w:rsidR="007D6C3D">
        <w:rPr>
          <w:rFonts w:hAnsi="游ゴシック" w:hint="eastAsia"/>
        </w:rPr>
        <w:t>、設備投資額についてみていく。設備投資については</w:t>
      </w:r>
      <w:r w:rsidR="00C0375F">
        <w:rPr>
          <w:rFonts w:hAnsi="游ゴシック" w:hint="eastAsia"/>
        </w:rPr>
        <w:t>一度に多額の支出を伴う場合もある。曙ブレーキ工業においても</w:t>
      </w:r>
      <w:r w:rsidR="007D6C3D">
        <w:rPr>
          <w:rFonts w:hAnsi="游ゴシック" w:hint="eastAsia"/>
        </w:rPr>
        <w:t>年度によって大きな開きががあり、2</w:t>
      </w:r>
      <w:r w:rsidR="007D6C3D">
        <w:rPr>
          <w:rFonts w:hAnsi="游ゴシック"/>
        </w:rPr>
        <w:t>01</w:t>
      </w:r>
      <w:r w:rsidR="007D6C3D">
        <w:rPr>
          <w:rFonts w:hAnsi="游ゴシック" w:hint="eastAsia"/>
        </w:rPr>
        <w:t>0年度、2</w:t>
      </w:r>
      <w:r w:rsidR="007D6C3D">
        <w:rPr>
          <w:rFonts w:hAnsi="游ゴシック"/>
        </w:rPr>
        <w:t>01</w:t>
      </w:r>
      <w:r w:rsidR="007D6C3D">
        <w:rPr>
          <w:rFonts w:hAnsi="游ゴシック" w:hint="eastAsia"/>
        </w:rPr>
        <w:t>1年度は低額となっているがその後急増し経営状況の悪化に伴って減少している。曙ブレーキ工業の売上高設備投資額比率は業種平均、日信工業と比較しても高い水準とな</w:t>
      </w:r>
      <w:r w:rsidR="00B36C25">
        <w:rPr>
          <w:rFonts w:hAnsi="游ゴシック" w:hint="eastAsia"/>
        </w:rPr>
        <w:t>っており積極的な設備投資が伺える。しかし、その投資計画が適切であったかには疑問がある。次の地域別減損損失内訳を見ると、毎年いずれかの地域で減損損失を計上している。日本の減損損失については人口減少に伴う市場規模の縮小</w:t>
      </w:r>
      <w:r w:rsidR="00831A68">
        <w:rPr>
          <w:rFonts w:hAnsi="游ゴシック" w:hint="eastAsia"/>
        </w:rPr>
        <w:t>による生産体制の適正化のために断続的に工場・施設の閉鎖による減損損失が発生している。また、アメリカにおいても、2</w:t>
      </w:r>
      <w:r w:rsidR="00831A68">
        <w:rPr>
          <w:rFonts w:hAnsi="游ゴシック"/>
        </w:rPr>
        <w:t>009</w:t>
      </w:r>
      <w:r w:rsidR="00831A68">
        <w:rPr>
          <w:rFonts w:hAnsi="游ゴシック" w:hint="eastAsia"/>
        </w:rPr>
        <w:t>年3月期の生産拠点の2拠点化に伴う3</w:t>
      </w:r>
      <w:r w:rsidR="00831A68">
        <w:rPr>
          <w:rFonts w:hAnsi="游ゴシック"/>
        </w:rPr>
        <w:t>2</w:t>
      </w:r>
      <w:r w:rsidR="00831A68">
        <w:rPr>
          <w:rFonts w:hAnsi="游ゴシック" w:hint="eastAsia"/>
        </w:rPr>
        <w:t>億円の減損損失を始め、2</w:t>
      </w:r>
      <w:r w:rsidR="00831A68">
        <w:rPr>
          <w:rFonts w:hAnsi="游ゴシック"/>
        </w:rPr>
        <w:t xml:space="preserve">012 </w:t>
      </w:r>
      <w:r w:rsidR="00831A68">
        <w:rPr>
          <w:rFonts w:hAnsi="游ゴシック" w:hint="eastAsia"/>
        </w:rPr>
        <w:t>年３月期の1</w:t>
      </w:r>
      <w:r w:rsidR="00831A68">
        <w:rPr>
          <w:rFonts w:hAnsi="游ゴシック"/>
        </w:rPr>
        <w:t>4</w:t>
      </w:r>
      <w:r w:rsidR="00831A68">
        <w:rPr>
          <w:rFonts w:hAnsi="游ゴシック" w:hint="eastAsia"/>
        </w:rPr>
        <w:t>億円、</w:t>
      </w:r>
      <w:r w:rsidR="00831A68">
        <w:rPr>
          <w:rFonts w:hAnsi="游ゴシック"/>
        </w:rPr>
        <w:t>2016</w:t>
      </w:r>
      <w:r w:rsidR="00831A68">
        <w:rPr>
          <w:rFonts w:hAnsi="游ゴシック" w:hint="eastAsia"/>
        </w:rPr>
        <w:t>年3月期の</w:t>
      </w:r>
      <w:r w:rsidR="00831A68">
        <w:rPr>
          <w:rFonts w:hAnsi="游ゴシック"/>
        </w:rPr>
        <w:t>114</w:t>
      </w:r>
      <w:r w:rsidR="00831A68">
        <w:rPr>
          <w:rFonts w:hAnsi="游ゴシック" w:hint="eastAsia"/>
        </w:rPr>
        <w:t>億円、2</w:t>
      </w:r>
      <w:r w:rsidR="00831A68">
        <w:rPr>
          <w:rFonts w:hAnsi="游ゴシック"/>
        </w:rPr>
        <w:t>019</w:t>
      </w:r>
      <w:r w:rsidR="00831A68">
        <w:rPr>
          <w:rFonts w:hAnsi="游ゴシック" w:hint="eastAsia"/>
        </w:rPr>
        <w:t>年の1</w:t>
      </w:r>
      <w:r w:rsidR="00831A68">
        <w:rPr>
          <w:rFonts w:hAnsi="游ゴシック"/>
        </w:rPr>
        <w:t>36</w:t>
      </w:r>
      <w:r w:rsidR="00831A68">
        <w:rPr>
          <w:rFonts w:hAnsi="游ゴシック" w:hint="eastAsia"/>
        </w:rPr>
        <w:t>億円という多額の減損損失が発生しており、過剰投資や非効率な設備投資がなされたことが伺える。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2"/>
        <w:gridCol w:w="694"/>
        <w:gridCol w:w="696"/>
        <w:gridCol w:w="694"/>
        <w:gridCol w:w="697"/>
        <w:gridCol w:w="697"/>
        <w:gridCol w:w="695"/>
        <w:gridCol w:w="697"/>
        <w:gridCol w:w="697"/>
        <w:gridCol w:w="695"/>
        <w:gridCol w:w="697"/>
        <w:gridCol w:w="693"/>
      </w:tblGrid>
      <w:tr w:rsidR="000D0291" w:rsidRPr="00D62E42" w:rsidTr="000D0291">
        <w:trPr>
          <w:trHeight w:val="285"/>
        </w:trPr>
        <w:tc>
          <w:tcPr>
            <w:tcW w:w="496" w:type="pct"/>
            <w:shd w:val="clear" w:color="auto" w:fill="auto"/>
            <w:noWrap/>
            <w:vAlign w:val="center"/>
            <w:hideMark/>
          </w:tcPr>
          <w:p w:rsidR="000D0291" w:rsidRPr="00831A68" w:rsidRDefault="000D0291" w:rsidP="000D0291">
            <w:pPr>
              <w:widowControl/>
              <w:jc w:val="center"/>
              <w:rPr>
                <w:rFonts w:hAnsi="游ゴシック" w:cs="ＭＳ Ｐゴシック"/>
                <w:kern w:val="0"/>
                <w:sz w:val="16"/>
                <w:szCs w:val="16"/>
              </w:rPr>
            </w:pPr>
          </w:p>
        </w:tc>
        <w:tc>
          <w:tcPr>
            <w:tcW w:w="409"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2009</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2010</w:t>
            </w:r>
          </w:p>
        </w:tc>
        <w:tc>
          <w:tcPr>
            <w:tcW w:w="409"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2011</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2012</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2013</w:t>
            </w:r>
          </w:p>
        </w:tc>
        <w:tc>
          <w:tcPr>
            <w:tcW w:w="409"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2014</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2015</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2016</w:t>
            </w:r>
          </w:p>
        </w:tc>
        <w:tc>
          <w:tcPr>
            <w:tcW w:w="409"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2017</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2018</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2019</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日本</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5</w:t>
            </w:r>
            <w:r>
              <w:rPr>
                <w:rFonts w:hAnsi="游ゴシック" w:cs="Arial"/>
                <w:kern w:val="0"/>
                <w:sz w:val="16"/>
                <w:szCs w:val="16"/>
              </w:rPr>
              <w:t>,</w:t>
            </w:r>
            <w:r w:rsidRPr="000D0291">
              <w:rPr>
                <w:rFonts w:hAnsi="游ゴシック" w:cs="Arial"/>
                <w:kern w:val="0"/>
                <w:sz w:val="16"/>
                <w:szCs w:val="16"/>
              </w:rPr>
              <w:t>964</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117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436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アメリカ</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237</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224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sidR="00831A68">
              <w:rPr>
                <w:rFonts w:hAnsi="游ゴシック" w:cs="Arial"/>
                <w:kern w:val="0"/>
                <w:sz w:val="16"/>
                <w:szCs w:val="16"/>
              </w:rPr>
              <w:t>,</w:t>
            </w:r>
            <w:r w:rsidRPr="000D0291">
              <w:rPr>
                <w:rFonts w:hAnsi="游ゴシック" w:cs="Arial"/>
                <w:kern w:val="0"/>
                <w:sz w:val="16"/>
                <w:szCs w:val="16"/>
              </w:rPr>
              <w:t xml:space="preserve">466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404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13</w:t>
            </w:r>
            <w:r>
              <w:rPr>
                <w:rFonts w:hAnsi="游ゴシック" w:cs="Arial"/>
                <w:kern w:val="0"/>
                <w:sz w:val="16"/>
                <w:szCs w:val="16"/>
              </w:rPr>
              <w:t>,</w:t>
            </w:r>
            <w:r w:rsidRPr="000D0291">
              <w:rPr>
                <w:rFonts w:hAnsi="游ゴシック" w:cs="Arial"/>
                <w:kern w:val="0"/>
                <w:sz w:val="16"/>
                <w:szCs w:val="16"/>
              </w:rPr>
              <w:t xml:space="preserve">628 </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欧州</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109</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146</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002</w:t>
            </w:r>
          </w:p>
        </w:tc>
      </w:tr>
      <w:tr w:rsidR="000D0291" w:rsidRPr="00D62E42" w:rsidTr="002767B8">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アジア</w:t>
            </w: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492</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不明</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181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35</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21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 </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left"/>
              <w:rPr>
                <w:rFonts w:hAnsi="游ゴシック" w:cs="Arial"/>
                <w:kern w:val="0"/>
                <w:sz w:val="16"/>
                <w:szCs w:val="16"/>
              </w:rPr>
            </w:pPr>
            <w:r w:rsidRPr="000D0291">
              <w:rPr>
                <w:rFonts w:hAnsi="游ゴシック" w:cs="Arial"/>
                <w:kern w:val="0"/>
                <w:sz w:val="16"/>
                <w:szCs w:val="16"/>
              </w:rPr>
              <w:t xml:space="preserve">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9</w:t>
            </w:r>
            <w:r>
              <w:rPr>
                <w:rFonts w:hAnsi="游ゴシック" w:cs="Arial"/>
                <w:kern w:val="0"/>
                <w:sz w:val="16"/>
                <w:szCs w:val="16"/>
              </w:rPr>
              <w:t>,</w:t>
            </w:r>
            <w:r w:rsidRPr="000D0291">
              <w:rPr>
                <w:rFonts w:hAnsi="游ゴシック" w:cs="Arial"/>
                <w:kern w:val="0"/>
                <w:sz w:val="16"/>
                <w:szCs w:val="16"/>
              </w:rPr>
              <w:t>491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376</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487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840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146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15</w:t>
            </w:r>
            <w:r>
              <w:rPr>
                <w:rFonts w:hAnsi="游ゴシック" w:cs="Arial"/>
                <w:kern w:val="0"/>
                <w:sz w:val="16"/>
                <w:szCs w:val="16"/>
              </w:rPr>
              <w:t>,</w:t>
            </w:r>
            <w:r w:rsidRPr="000D0291">
              <w:rPr>
                <w:rFonts w:hAnsi="游ゴシック" w:cs="Arial"/>
                <w:kern w:val="0"/>
                <w:sz w:val="16"/>
                <w:szCs w:val="16"/>
              </w:rPr>
              <w:t xml:space="preserve">123 </w:t>
            </w:r>
          </w:p>
        </w:tc>
      </w:tr>
    </w:tbl>
    <w:p w:rsidR="00D62E42" w:rsidRDefault="000D0291" w:rsidP="00A433A0">
      <w:pPr>
        <w:jc w:val="left"/>
        <w:rPr>
          <w:rFonts w:hAnsi="游ゴシック"/>
        </w:rPr>
      </w:pPr>
      <w:r>
        <w:rPr>
          <w:rFonts w:hAnsi="游ゴシック" w:hint="eastAsia"/>
        </w:rPr>
        <w:t>図地域別減損損失内訳</w:t>
      </w:r>
    </w:p>
    <w:p w:rsidR="00D62E42" w:rsidRDefault="00D62E42" w:rsidP="00A433A0">
      <w:pPr>
        <w:jc w:val="left"/>
        <w:rPr>
          <w:rFonts w:hAnsi="游ゴシック"/>
        </w:rPr>
      </w:pPr>
    </w:p>
    <w:p w:rsidR="00D62E42" w:rsidRDefault="00D62E42" w:rsidP="00A433A0">
      <w:pPr>
        <w:jc w:val="left"/>
        <w:rPr>
          <w:rFonts w:hAnsi="游ゴシック"/>
        </w:rPr>
      </w:pPr>
    </w:p>
    <w:p w:rsidR="00D62E42" w:rsidRDefault="00D62E42" w:rsidP="00A433A0">
      <w:pPr>
        <w:jc w:val="left"/>
        <w:rPr>
          <w:rFonts w:hAnsi="游ゴシック"/>
        </w:rPr>
      </w:pPr>
    </w:p>
    <w:p w:rsidR="009377BD" w:rsidRDefault="00013DAA" w:rsidP="00A433A0">
      <w:pPr>
        <w:jc w:val="left"/>
        <w:rPr>
          <w:rFonts w:hAnsi="游ゴシック"/>
        </w:rPr>
      </w:pPr>
      <w:r>
        <w:rPr>
          <w:noProof/>
        </w:rPr>
        <w:drawing>
          <wp:inline distT="0" distB="0" distL="0" distR="0" wp14:anchorId="6869C27A" wp14:editId="412C546B">
            <wp:extent cx="5400040" cy="3060700"/>
            <wp:effectExtent l="0" t="0" r="10160" b="6350"/>
            <wp:docPr id="19" name="グラフ 19">
              <a:extLst xmlns:a="http://schemas.openxmlformats.org/drawingml/2006/main">
                <a:ext uri="{FF2B5EF4-FFF2-40B4-BE49-F238E27FC236}">
                  <a16:creationId xmlns:a16="http://schemas.microsoft.com/office/drawing/2014/main" id="{AF3CFCC3-9AD7-413E-B8A4-299ABD5EB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bl>
      <w:tblPr>
        <w:tblStyle w:val="a4"/>
        <w:tblW w:w="8500" w:type="dxa"/>
        <w:tblLook w:val="04A0" w:firstRow="1" w:lastRow="0" w:firstColumn="1" w:lastColumn="0" w:noHBand="0" w:noVBand="1"/>
      </w:tblPr>
      <w:tblGrid>
        <w:gridCol w:w="1700"/>
        <w:gridCol w:w="1700"/>
        <w:gridCol w:w="1700"/>
        <w:gridCol w:w="1700"/>
        <w:gridCol w:w="1700"/>
      </w:tblGrid>
      <w:tr w:rsidR="00B448CE" w:rsidTr="00013DAA">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2009年</w:t>
            </w:r>
          </w:p>
        </w:tc>
        <w:tc>
          <w:tcPr>
            <w:tcW w:w="1700" w:type="dxa"/>
          </w:tcPr>
          <w:p w:rsidR="00B448CE" w:rsidRDefault="00B448CE" w:rsidP="00B448CE">
            <w:pPr>
              <w:jc w:val="center"/>
              <w:rPr>
                <w:rFonts w:hAnsi="游ゴシック"/>
              </w:rPr>
            </w:pPr>
            <w:r>
              <w:rPr>
                <w:rFonts w:hAnsi="游ゴシック" w:hint="eastAsia"/>
              </w:rPr>
              <w:t>2010年</w:t>
            </w:r>
          </w:p>
        </w:tc>
        <w:tc>
          <w:tcPr>
            <w:tcW w:w="1700" w:type="dxa"/>
          </w:tcPr>
          <w:p w:rsidR="00B448CE" w:rsidRDefault="00B448CE" w:rsidP="00B448CE">
            <w:pPr>
              <w:jc w:val="center"/>
              <w:rPr>
                <w:rFonts w:hAnsi="游ゴシック"/>
              </w:rPr>
            </w:pPr>
            <w:r>
              <w:rPr>
                <w:rFonts w:hAnsi="游ゴシック" w:hint="eastAsia"/>
              </w:rPr>
              <w:t>2011年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2</w:t>
            </w:r>
            <w:r>
              <w:rPr>
                <w:rFonts w:hAnsi="游ゴシック" w:hint="eastAsia"/>
              </w:rPr>
              <w:t>年</w:t>
            </w:r>
          </w:p>
        </w:tc>
      </w:tr>
      <w:tr w:rsidR="00B448CE" w:rsidTr="00013DAA">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200</w:t>
            </w:r>
          </w:p>
        </w:tc>
        <w:tc>
          <w:tcPr>
            <w:tcW w:w="1700" w:type="dxa"/>
          </w:tcPr>
          <w:p w:rsidR="00B448CE" w:rsidRDefault="00B448CE" w:rsidP="00B448CE">
            <w:pPr>
              <w:jc w:val="right"/>
              <w:rPr>
                <w:rFonts w:hAnsi="游ゴシック"/>
              </w:rPr>
            </w:pPr>
            <w:r>
              <w:rPr>
                <w:rFonts w:hAnsi="游ゴシック" w:hint="eastAsia"/>
              </w:rPr>
              <w:t>3</w:t>
            </w:r>
            <w:r>
              <w:rPr>
                <w:rFonts w:hAnsi="游ゴシック"/>
              </w:rPr>
              <w:t>,</w:t>
            </w:r>
            <w:r>
              <w:rPr>
                <w:rFonts w:hAnsi="游ゴシック" w:hint="eastAsia"/>
              </w:rPr>
              <w:t>187</w:t>
            </w:r>
          </w:p>
        </w:tc>
        <w:tc>
          <w:tcPr>
            <w:tcW w:w="1700" w:type="dxa"/>
          </w:tcPr>
          <w:p w:rsidR="00B448CE" w:rsidRDefault="00B448CE" w:rsidP="00B448CE">
            <w:pPr>
              <w:jc w:val="right"/>
              <w:rPr>
                <w:rFonts w:hAnsi="游ゴシック"/>
              </w:rPr>
            </w:pPr>
            <w:r>
              <w:rPr>
                <w:rFonts w:hAnsi="游ゴシック" w:hint="eastAsia"/>
              </w:rPr>
              <w:t>7</w:t>
            </w:r>
            <w:r>
              <w:rPr>
                <w:rFonts w:hAnsi="游ゴシック"/>
              </w:rPr>
              <w:t>,</w:t>
            </w:r>
            <w:r>
              <w:rPr>
                <w:rFonts w:hAnsi="游ゴシック" w:hint="eastAsia"/>
              </w:rPr>
              <w:t>433</w:t>
            </w:r>
          </w:p>
        </w:tc>
        <w:tc>
          <w:tcPr>
            <w:tcW w:w="1700" w:type="dxa"/>
          </w:tcPr>
          <w:p w:rsidR="00B448CE" w:rsidRDefault="00B448CE" w:rsidP="00B448CE">
            <w:pPr>
              <w:jc w:val="right"/>
              <w:rPr>
                <w:rFonts w:hAnsi="游ゴシック"/>
              </w:rPr>
            </w:pPr>
            <w:r>
              <w:rPr>
                <w:rFonts w:hAnsi="游ゴシック" w:hint="eastAsia"/>
              </w:rPr>
              <w:t>2</w:t>
            </w:r>
            <w:r>
              <w:rPr>
                <w:rFonts w:hAnsi="游ゴシック"/>
              </w:rPr>
              <w:t>,916</w:t>
            </w:r>
          </w:p>
        </w:tc>
      </w:tr>
      <w:tr w:rsidR="00B448CE" w:rsidTr="00013DAA">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-13</w:t>
            </w:r>
            <w:r>
              <w:rPr>
                <w:rFonts w:hAnsi="游ゴシック"/>
              </w:rPr>
              <w:t>,</w:t>
            </w:r>
            <w:r>
              <w:rPr>
                <w:rFonts w:hAnsi="游ゴシック" w:hint="eastAsia"/>
              </w:rPr>
              <w:t>563</w:t>
            </w:r>
          </w:p>
        </w:tc>
        <w:tc>
          <w:tcPr>
            <w:tcW w:w="1700" w:type="dxa"/>
          </w:tcPr>
          <w:p w:rsidR="00B448CE" w:rsidRDefault="00B448CE" w:rsidP="00B448CE">
            <w:pPr>
              <w:jc w:val="right"/>
              <w:rPr>
                <w:rFonts w:hAnsi="游ゴシック"/>
              </w:rPr>
            </w:pPr>
            <w:r>
              <w:rPr>
                <w:rFonts w:hAnsi="游ゴシック" w:hint="eastAsia"/>
              </w:rPr>
              <w:t>-13</w:t>
            </w:r>
            <w:r>
              <w:rPr>
                <w:rFonts w:hAnsi="游ゴシック"/>
              </w:rPr>
              <w:t>,</w:t>
            </w:r>
            <w:r>
              <w:rPr>
                <w:rFonts w:hAnsi="游ゴシック" w:hint="eastAsia"/>
              </w:rPr>
              <w:t>374</w:t>
            </w:r>
          </w:p>
        </w:tc>
        <w:tc>
          <w:tcPr>
            <w:tcW w:w="1700" w:type="dxa"/>
          </w:tcPr>
          <w:p w:rsidR="00B448CE" w:rsidRDefault="00B448CE" w:rsidP="00B448CE">
            <w:pPr>
              <w:jc w:val="right"/>
              <w:rPr>
                <w:rFonts w:hAnsi="游ゴシック"/>
              </w:rPr>
            </w:pPr>
            <w:r>
              <w:rPr>
                <w:rFonts w:hAnsi="游ゴシック" w:hint="eastAsia"/>
              </w:rPr>
              <w:t>-8</w:t>
            </w:r>
            <w:r>
              <w:rPr>
                <w:rFonts w:hAnsi="游ゴシック"/>
              </w:rPr>
              <w:t>,</w:t>
            </w:r>
            <w:r>
              <w:rPr>
                <w:rFonts w:hAnsi="游ゴシック" w:hint="eastAsia"/>
              </w:rPr>
              <w:t>555</w:t>
            </w:r>
          </w:p>
        </w:tc>
        <w:tc>
          <w:tcPr>
            <w:tcW w:w="1700" w:type="dxa"/>
          </w:tcPr>
          <w:p w:rsidR="00B448CE" w:rsidRDefault="00B448CE" w:rsidP="00B448CE">
            <w:pPr>
              <w:jc w:val="right"/>
              <w:rPr>
                <w:rFonts w:hAnsi="游ゴシック"/>
              </w:rPr>
            </w:pPr>
            <w:r>
              <w:rPr>
                <w:rFonts w:hAnsi="游ゴシック"/>
              </w:rPr>
              <w:t>-</w:t>
            </w:r>
            <w:r>
              <w:rPr>
                <w:rFonts w:hAnsi="游ゴシック" w:hint="eastAsia"/>
              </w:rPr>
              <w:t>2</w:t>
            </w:r>
            <w:r>
              <w:rPr>
                <w:rFonts w:hAnsi="游ゴシック"/>
              </w:rPr>
              <w:t>3,810</w:t>
            </w:r>
          </w:p>
        </w:tc>
      </w:tr>
      <w:tr w:rsidR="00B448CE" w:rsidTr="00013DAA">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B448CE" w:rsidP="00B448CE">
            <w:pPr>
              <w:jc w:val="right"/>
              <w:rPr>
                <w:rFonts w:hAnsi="游ゴシック"/>
              </w:rPr>
            </w:pPr>
            <w:r>
              <w:rPr>
                <w:rFonts w:hAnsi="游ゴシック" w:hint="eastAsia"/>
              </w:rPr>
              <w:t>38</w:t>
            </w:r>
            <w:r>
              <w:rPr>
                <w:rFonts w:hAnsi="游ゴシック"/>
              </w:rPr>
              <w:t>,</w:t>
            </w:r>
            <w:r>
              <w:rPr>
                <w:rFonts w:hAnsi="游ゴシック" w:hint="eastAsia"/>
              </w:rPr>
              <w:t>629</w:t>
            </w:r>
          </w:p>
        </w:tc>
        <w:tc>
          <w:tcPr>
            <w:tcW w:w="1700" w:type="dxa"/>
          </w:tcPr>
          <w:p w:rsidR="00B448CE" w:rsidRDefault="00B448CE" w:rsidP="00B448CE">
            <w:pPr>
              <w:jc w:val="right"/>
              <w:rPr>
                <w:rFonts w:hAnsi="游ゴシック"/>
              </w:rPr>
            </w:pPr>
            <w:r>
              <w:rPr>
                <w:rFonts w:hAnsi="游ゴシック" w:hint="eastAsia"/>
              </w:rPr>
              <w:t>-32</w:t>
            </w:r>
          </w:p>
        </w:tc>
        <w:tc>
          <w:tcPr>
            <w:tcW w:w="1700" w:type="dxa"/>
          </w:tcPr>
          <w:p w:rsidR="00B448CE" w:rsidRDefault="00B448CE" w:rsidP="00B448CE">
            <w:pPr>
              <w:jc w:val="right"/>
              <w:rPr>
                <w:rFonts w:hAnsi="游ゴシック"/>
              </w:rPr>
            </w:pPr>
            <w:r>
              <w:rPr>
                <w:rFonts w:hAnsi="游ゴシック" w:hint="eastAsia"/>
              </w:rPr>
              <w:t>18</w:t>
            </w:r>
            <w:r>
              <w:rPr>
                <w:rFonts w:hAnsi="游ゴシック"/>
              </w:rPr>
              <w:t>,</w:t>
            </w:r>
            <w:r>
              <w:rPr>
                <w:rFonts w:hAnsi="游ゴシック" w:hint="eastAsia"/>
              </w:rPr>
              <w:t>203</w:t>
            </w:r>
          </w:p>
        </w:tc>
        <w:tc>
          <w:tcPr>
            <w:tcW w:w="1700" w:type="dxa"/>
          </w:tcPr>
          <w:p w:rsidR="00B448CE" w:rsidRDefault="00D05204" w:rsidP="00B448CE">
            <w:pPr>
              <w:jc w:val="right"/>
              <w:rPr>
                <w:rFonts w:hAnsi="游ゴシック"/>
              </w:rPr>
            </w:pPr>
            <w:r>
              <w:rPr>
                <w:rFonts w:hAnsi="游ゴシック" w:hint="eastAsia"/>
              </w:rPr>
              <w:t>1</w:t>
            </w:r>
            <w:r>
              <w:rPr>
                <w:rFonts w:hAnsi="游ゴシック"/>
              </w:rPr>
              <w:t>,432</w:t>
            </w:r>
          </w:p>
        </w:tc>
      </w:tr>
      <w:tr w:rsidR="00B448CE" w:rsidTr="00013DAA">
        <w:tc>
          <w:tcPr>
            <w:tcW w:w="1700" w:type="dxa"/>
          </w:tcPr>
          <w:p w:rsidR="00B448CE" w:rsidRDefault="00B448CE" w:rsidP="00B448CE">
            <w:pPr>
              <w:jc w:val="left"/>
              <w:rPr>
                <w:rFonts w:hAnsi="游ゴシック"/>
              </w:rPr>
            </w:pPr>
            <w:r>
              <w:rPr>
                <w:rFonts w:hAnsi="游ゴシック" w:hint="eastAsia"/>
              </w:rPr>
              <w:t>NET</w:t>
            </w:r>
          </w:p>
        </w:tc>
        <w:tc>
          <w:tcPr>
            <w:tcW w:w="1700" w:type="dxa"/>
          </w:tcPr>
          <w:p w:rsidR="00B448CE" w:rsidRDefault="00B448CE" w:rsidP="00B448CE">
            <w:pPr>
              <w:jc w:val="right"/>
              <w:rPr>
                <w:rFonts w:hAnsi="游ゴシック"/>
              </w:rPr>
            </w:pPr>
            <w:r w:rsidRPr="00B448CE">
              <w:rPr>
                <w:rFonts w:hAnsi="游ゴシック"/>
              </w:rPr>
              <w:t>28,665</w:t>
            </w:r>
          </w:p>
        </w:tc>
        <w:tc>
          <w:tcPr>
            <w:tcW w:w="1700" w:type="dxa"/>
          </w:tcPr>
          <w:p w:rsidR="00B448CE" w:rsidRDefault="00B448CE" w:rsidP="00B448CE">
            <w:pPr>
              <w:jc w:val="right"/>
              <w:rPr>
                <w:rFonts w:hAnsi="游ゴシック"/>
              </w:rPr>
            </w:pPr>
            <w:r>
              <w:rPr>
                <w:rFonts w:hAnsi="游ゴシック"/>
              </w:rPr>
              <w:t>-10,073</w:t>
            </w:r>
          </w:p>
        </w:tc>
        <w:tc>
          <w:tcPr>
            <w:tcW w:w="1700" w:type="dxa"/>
          </w:tcPr>
          <w:p w:rsidR="00B448CE" w:rsidRDefault="00B448CE" w:rsidP="00B448CE">
            <w:pPr>
              <w:jc w:val="right"/>
              <w:rPr>
                <w:rFonts w:hAnsi="游ゴシック"/>
              </w:rPr>
            </w:pPr>
            <w:r>
              <w:rPr>
                <w:rFonts w:hAnsi="游ゴシック"/>
              </w:rPr>
              <w:t>16,909</w:t>
            </w:r>
          </w:p>
        </w:tc>
        <w:tc>
          <w:tcPr>
            <w:tcW w:w="1700" w:type="dxa"/>
          </w:tcPr>
          <w:p w:rsidR="00B448CE" w:rsidRDefault="00B448CE" w:rsidP="00B448CE">
            <w:pPr>
              <w:jc w:val="right"/>
              <w:rPr>
                <w:rFonts w:hAnsi="游ゴシック"/>
              </w:rPr>
            </w:pPr>
            <w:r>
              <w:rPr>
                <w:rFonts w:hAnsi="游ゴシック"/>
              </w:rPr>
              <w:t>-19,646</w:t>
            </w:r>
          </w:p>
        </w:tc>
      </w:tr>
      <w:tr w:rsidR="00B448CE" w:rsidTr="00013DAA">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3</w:t>
            </w: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2014年</w:t>
            </w:r>
          </w:p>
        </w:tc>
        <w:tc>
          <w:tcPr>
            <w:tcW w:w="1700" w:type="dxa"/>
          </w:tcPr>
          <w:p w:rsidR="00B448CE" w:rsidRDefault="00B448CE" w:rsidP="00B448CE">
            <w:pPr>
              <w:jc w:val="center"/>
              <w:rPr>
                <w:rFonts w:hAnsi="游ゴシック"/>
              </w:rPr>
            </w:pPr>
            <w:r>
              <w:rPr>
                <w:rFonts w:hAnsi="游ゴシック" w:hint="eastAsia"/>
              </w:rPr>
              <w:t>2015年</w:t>
            </w:r>
          </w:p>
        </w:tc>
        <w:tc>
          <w:tcPr>
            <w:tcW w:w="1700" w:type="dxa"/>
          </w:tcPr>
          <w:p w:rsidR="00B448CE" w:rsidRDefault="00B448CE" w:rsidP="00B448CE">
            <w:pPr>
              <w:jc w:val="center"/>
              <w:rPr>
                <w:rFonts w:hAnsi="游ゴシック"/>
              </w:rPr>
            </w:pPr>
            <w:r>
              <w:rPr>
                <w:rFonts w:hAnsi="游ゴシック" w:hint="eastAsia"/>
              </w:rPr>
              <w:t>2016年</w:t>
            </w:r>
          </w:p>
        </w:tc>
      </w:tr>
      <w:tr w:rsidR="00B448CE" w:rsidTr="00013DAA">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7</w:t>
            </w:r>
            <w:r>
              <w:rPr>
                <w:rFonts w:hAnsi="游ゴシック"/>
              </w:rPr>
              <w:t>,</w:t>
            </w:r>
            <w:r>
              <w:rPr>
                <w:rFonts w:hAnsi="游ゴシック" w:hint="eastAsia"/>
              </w:rPr>
              <w:t>585</w:t>
            </w:r>
          </w:p>
        </w:tc>
        <w:tc>
          <w:tcPr>
            <w:tcW w:w="1700" w:type="dxa"/>
          </w:tcPr>
          <w:p w:rsidR="00B448CE" w:rsidRDefault="00B448CE" w:rsidP="00B448CE">
            <w:pPr>
              <w:jc w:val="right"/>
              <w:rPr>
                <w:rFonts w:hAnsi="游ゴシック"/>
              </w:rPr>
            </w:pPr>
            <w:r>
              <w:rPr>
                <w:rFonts w:hAnsi="游ゴシック"/>
              </w:rPr>
              <w:t>18,872</w:t>
            </w:r>
          </w:p>
        </w:tc>
        <w:tc>
          <w:tcPr>
            <w:tcW w:w="1700" w:type="dxa"/>
          </w:tcPr>
          <w:p w:rsidR="00B448CE" w:rsidRDefault="00B448CE" w:rsidP="00B448CE">
            <w:pPr>
              <w:jc w:val="right"/>
              <w:rPr>
                <w:rFonts w:hAnsi="游ゴシック"/>
              </w:rPr>
            </w:pPr>
            <w:r>
              <w:rPr>
                <w:rFonts w:hAnsi="游ゴシック"/>
              </w:rPr>
              <w:t>10,120</w:t>
            </w:r>
          </w:p>
        </w:tc>
        <w:tc>
          <w:tcPr>
            <w:tcW w:w="1700" w:type="dxa"/>
          </w:tcPr>
          <w:p w:rsidR="00B448CE" w:rsidRDefault="00B448CE" w:rsidP="00B448CE">
            <w:pPr>
              <w:jc w:val="right"/>
              <w:rPr>
                <w:rFonts w:hAnsi="游ゴシック"/>
              </w:rPr>
            </w:pPr>
            <w:r>
              <w:rPr>
                <w:rFonts w:hAnsi="游ゴシック"/>
              </w:rPr>
              <w:t>7,516</w:t>
            </w:r>
          </w:p>
        </w:tc>
      </w:tr>
      <w:tr w:rsidR="00B448CE" w:rsidTr="00013DAA">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055</w:t>
            </w:r>
          </w:p>
        </w:tc>
        <w:tc>
          <w:tcPr>
            <w:tcW w:w="1700" w:type="dxa"/>
          </w:tcPr>
          <w:p w:rsidR="00B448CE" w:rsidRDefault="00B448CE" w:rsidP="00B448CE">
            <w:pPr>
              <w:jc w:val="right"/>
              <w:rPr>
                <w:rFonts w:hAnsi="游ゴシック"/>
              </w:rPr>
            </w:pPr>
            <w:r>
              <w:rPr>
                <w:rFonts w:hAnsi="游ゴシック" w:hint="eastAsia"/>
              </w:rPr>
              <w:t>-20</w:t>
            </w:r>
            <w:r>
              <w:rPr>
                <w:rFonts w:hAnsi="游ゴシック"/>
              </w:rPr>
              <w:t>,</w:t>
            </w:r>
            <w:r>
              <w:rPr>
                <w:rFonts w:hAnsi="游ゴシック" w:hint="eastAsia"/>
              </w:rPr>
              <w:t>346</w:t>
            </w:r>
          </w:p>
        </w:tc>
        <w:tc>
          <w:tcPr>
            <w:tcW w:w="1700" w:type="dxa"/>
          </w:tcPr>
          <w:p w:rsidR="00B448CE" w:rsidRDefault="00B448CE" w:rsidP="00B448CE">
            <w:pPr>
              <w:jc w:val="right"/>
              <w:rPr>
                <w:rFonts w:hAnsi="游ゴシック"/>
              </w:rPr>
            </w:pPr>
            <w:r>
              <w:rPr>
                <w:rFonts w:hAnsi="游ゴシック" w:hint="eastAsia"/>
              </w:rPr>
              <w:t>-17</w:t>
            </w:r>
            <w:r>
              <w:rPr>
                <w:rFonts w:hAnsi="游ゴシック"/>
              </w:rPr>
              <w:t>,</w:t>
            </w:r>
            <w:r>
              <w:rPr>
                <w:rFonts w:hAnsi="游ゴシック" w:hint="eastAsia"/>
              </w:rPr>
              <w:t>708</w:t>
            </w:r>
          </w:p>
        </w:tc>
        <w:tc>
          <w:tcPr>
            <w:tcW w:w="1700" w:type="dxa"/>
          </w:tcPr>
          <w:p w:rsidR="00B448CE" w:rsidRDefault="00B448CE" w:rsidP="00B448CE">
            <w:pPr>
              <w:jc w:val="right"/>
              <w:rPr>
                <w:rFonts w:hAnsi="游ゴシック"/>
              </w:rPr>
            </w:pPr>
            <w:r>
              <w:rPr>
                <w:rFonts w:hAnsi="游ゴシック"/>
              </w:rPr>
              <w:t>-10,082</w:t>
            </w:r>
          </w:p>
        </w:tc>
      </w:tr>
      <w:tr w:rsidR="00B448CE" w:rsidTr="00915222">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D05204" w:rsidP="00D05204">
            <w:pPr>
              <w:ind w:right="105"/>
              <w:jc w:val="right"/>
              <w:rPr>
                <w:rFonts w:hAnsi="游ゴシック"/>
              </w:rPr>
            </w:pPr>
            <w:r>
              <w:rPr>
                <w:rFonts w:hAnsi="游ゴシック" w:hint="eastAsia"/>
              </w:rPr>
              <w:t>-</w:t>
            </w:r>
            <w:r>
              <w:rPr>
                <w:rFonts w:hAnsi="游ゴシック"/>
              </w:rPr>
              <w:t>2,037</w:t>
            </w:r>
          </w:p>
        </w:tc>
        <w:tc>
          <w:tcPr>
            <w:tcW w:w="1700" w:type="dxa"/>
          </w:tcPr>
          <w:p w:rsidR="00B448CE" w:rsidRDefault="00D05204" w:rsidP="00D05204">
            <w:pPr>
              <w:ind w:right="210"/>
              <w:jc w:val="right"/>
              <w:rPr>
                <w:rFonts w:hAnsi="游ゴシック"/>
              </w:rPr>
            </w:pPr>
            <w:r>
              <w:rPr>
                <w:rFonts w:hAnsi="游ゴシック" w:hint="eastAsia"/>
              </w:rPr>
              <w:t>6</w:t>
            </w:r>
            <w:r>
              <w:rPr>
                <w:rFonts w:hAnsi="游ゴシック"/>
              </w:rPr>
              <w:t>,220</w:t>
            </w:r>
          </w:p>
        </w:tc>
        <w:tc>
          <w:tcPr>
            <w:tcW w:w="1700" w:type="dxa"/>
            <w:tcBorders>
              <w:bottom w:val="single" w:sz="4" w:space="0" w:color="auto"/>
            </w:tcBorders>
          </w:tcPr>
          <w:p w:rsidR="00B448CE" w:rsidRDefault="00D05204" w:rsidP="00D05204">
            <w:pPr>
              <w:ind w:right="105"/>
              <w:jc w:val="right"/>
              <w:rPr>
                <w:rFonts w:hAnsi="游ゴシック"/>
              </w:rPr>
            </w:pPr>
            <w:r>
              <w:rPr>
                <w:rFonts w:hAnsi="游ゴシック" w:hint="eastAsia"/>
              </w:rPr>
              <w:t>5</w:t>
            </w:r>
            <w:r>
              <w:rPr>
                <w:rFonts w:hAnsi="游ゴシック"/>
              </w:rPr>
              <w:t>,812</w:t>
            </w:r>
          </w:p>
        </w:tc>
        <w:tc>
          <w:tcPr>
            <w:tcW w:w="1700" w:type="dxa"/>
            <w:tcBorders>
              <w:bottom w:val="single" w:sz="4" w:space="0" w:color="auto"/>
            </w:tcBorders>
          </w:tcPr>
          <w:p w:rsidR="00B448CE" w:rsidRDefault="00D05204" w:rsidP="00B448CE">
            <w:pPr>
              <w:jc w:val="right"/>
              <w:rPr>
                <w:rFonts w:hAnsi="游ゴシック"/>
              </w:rPr>
            </w:pPr>
            <w:r>
              <w:rPr>
                <w:rFonts w:hAnsi="游ゴシック" w:hint="eastAsia"/>
              </w:rPr>
              <w:t>1</w:t>
            </w:r>
            <w:r>
              <w:rPr>
                <w:rFonts w:hAnsi="游ゴシック"/>
              </w:rPr>
              <w:t>1,222</w:t>
            </w:r>
          </w:p>
        </w:tc>
      </w:tr>
      <w:tr w:rsidR="00B448CE" w:rsidTr="00B448CE">
        <w:tc>
          <w:tcPr>
            <w:tcW w:w="1700" w:type="dxa"/>
          </w:tcPr>
          <w:p w:rsidR="00B448CE" w:rsidRDefault="00B448CE" w:rsidP="00B448CE">
            <w:pPr>
              <w:jc w:val="left"/>
              <w:rPr>
                <w:rFonts w:hAnsi="游ゴシック"/>
              </w:rPr>
            </w:pPr>
            <w:r>
              <w:rPr>
                <w:rFonts w:hAnsi="游ゴシック" w:hint="eastAsia"/>
              </w:rPr>
              <w:t>N</w:t>
            </w:r>
            <w:r>
              <w:rPr>
                <w:rFonts w:hAnsi="游ゴシック"/>
              </w:rPr>
              <w:t>ET</w:t>
            </w:r>
          </w:p>
        </w:tc>
        <w:tc>
          <w:tcPr>
            <w:tcW w:w="1700" w:type="dxa"/>
          </w:tcPr>
          <w:p w:rsidR="00B448CE" w:rsidRDefault="00B448CE" w:rsidP="00B448CE">
            <w:pPr>
              <w:jc w:val="right"/>
              <w:rPr>
                <w:rFonts w:hAnsi="游ゴシック"/>
              </w:rPr>
            </w:pPr>
            <w:r>
              <w:rPr>
                <w:rFonts w:hAnsi="游ゴシック"/>
              </w:rPr>
              <w:t>1,916</w:t>
            </w:r>
          </w:p>
        </w:tc>
        <w:tc>
          <w:tcPr>
            <w:tcW w:w="1700" w:type="dxa"/>
          </w:tcPr>
          <w:p w:rsidR="00B448CE" w:rsidRDefault="00B448CE" w:rsidP="00B448CE">
            <w:pPr>
              <w:jc w:val="right"/>
              <w:rPr>
                <w:rFonts w:hAnsi="游ゴシック"/>
              </w:rPr>
            </w:pPr>
            <w:r>
              <w:rPr>
                <w:rFonts w:hAnsi="游ゴシック" w:hint="eastAsia"/>
              </w:rPr>
              <w:t>-</w:t>
            </w:r>
            <w:r>
              <w:rPr>
                <w:rFonts w:hAnsi="游ゴシック"/>
              </w:rPr>
              <w:t>7,199</w:t>
            </w:r>
          </w:p>
        </w:tc>
        <w:tc>
          <w:tcPr>
            <w:tcW w:w="1700" w:type="dxa"/>
            <w:tcBorders>
              <w:bottom w:val="single" w:sz="4" w:space="0" w:color="auto"/>
            </w:tcBorders>
          </w:tcPr>
          <w:p w:rsidR="00B448CE" w:rsidRDefault="00B448CE" w:rsidP="00B448CE">
            <w:pPr>
              <w:jc w:val="right"/>
              <w:rPr>
                <w:rFonts w:hAnsi="游ゴシック"/>
              </w:rPr>
            </w:pPr>
            <w:r>
              <w:rPr>
                <w:rFonts w:hAnsi="游ゴシック" w:hint="eastAsia"/>
              </w:rPr>
              <w:t>-</w:t>
            </w:r>
            <w:r>
              <w:rPr>
                <w:rFonts w:hAnsi="游ゴシック"/>
              </w:rPr>
              <w:t>1,167</w:t>
            </w:r>
          </w:p>
        </w:tc>
        <w:tc>
          <w:tcPr>
            <w:tcW w:w="1700" w:type="dxa"/>
            <w:tcBorders>
              <w:bottom w:val="single" w:sz="4" w:space="0" w:color="auto"/>
            </w:tcBorders>
          </w:tcPr>
          <w:p w:rsidR="00B448CE" w:rsidRDefault="00B448CE" w:rsidP="00B448CE">
            <w:pPr>
              <w:jc w:val="right"/>
              <w:rPr>
                <w:rFonts w:hAnsi="游ゴシック"/>
              </w:rPr>
            </w:pPr>
            <w:r>
              <w:rPr>
                <w:rFonts w:hAnsi="游ゴシック" w:hint="eastAsia"/>
              </w:rPr>
              <w:t>8</w:t>
            </w:r>
            <w:r>
              <w:rPr>
                <w:rFonts w:hAnsi="游ゴシック"/>
              </w:rPr>
              <w:t>,038</w:t>
            </w:r>
          </w:p>
        </w:tc>
      </w:tr>
      <w:tr w:rsidR="00B448CE" w:rsidTr="00B448CE">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7</w:t>
            </w:r>
            <w:r>
              <w:rPr>
                <w:rFonts w:hAnsi="游ゴシック" w:hint="eastAsia"/>
              </w:rPr>
              <w:t>年</w:t>
            </w:r>
          </w:p>
        </w:tc>
        <w:tc>
          <w:tcPr>
            <w:tcW w:w="1700" w:type="dxa"/>
            <w:tcBorders>
              <w:right w:val="single" w:sz="4" w:space="0" w:color="auto"/>
            </w:tcBorders>
          </w:tcPr>
          <w:p w:rsidR="00B448CE" w:rsidRDefault="00B448CE" w:rsidP="00B448CE">
            <w:pPr>
              <w:jc w:val="center"/>
              <w:rPr>
                <w:rFonts w:hAnsi="游ゴシック"/>
              </w:rPr>
            </w:pPr>
            <w:r>
              <w:rPr>
                <w:rFonts w:hAnsi="游ゴシック" w:hint="eastAsia"/>
              </w:rPr>
              <w:t>201</w:t>
            </w:r>
            <w:r>
              <w:rPr>
                <w:rFonts w:hAnsi="游ゴシック"/>
              </w:rPr>
              <w:t>8</w:t>
            </w:r>
            <w:r>
              <w:rPr>
                <w:rFonts w:hAnsi="游ゴシック" w:hint="eastAsia"/>
              </w:rPr>
              <w:t>年</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center"/>
              <w:rPr>
                <w:rFonts w:hAnsi="游ゴシック"/>
              </w:rPr>
            </w:pPr>
            <w:r>
              <w:rPr>
                <w:rFonts w:hAnsi="游ゴシック"/>
              </w:rPr>
              <w:t>2019</w:t>
            </w:r>
            <w:r>
              <w:rPr>
                <w:rFonts w:hAnsi="游ゴシック" w:hint="eastAsia"/>
              </w:rPr>
              <w:t>年</w:t>
            </w:r>
          </w:p>
        </w:tc>
        <w:tc>
          <w:tcPr>
            <w:tcW w:w="1700" w:type="dxa"/>
            <w:tcBorders>
              <w:top w:val="single" w:sz="4" w:space="0" w:color="auto"/>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1</w:t>
            </w:r>
            <w:r>
              <w:rPr>
                <w:rFonts w:hAnsi="游ゴシック"/>
              </w:rPr>
              <w:t>4,138</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19</w:t>
            </w:r>
            <w:r>
              <w:rPr>
                <w:rFonts w:hAnsi="游ゴシック"/>
              </w:rPr>
              <w:t>,</w:t>
            </w:r>
            <w:r>
              <w:rPr>
                <w:rFonts w:hAnsi="游ゴシック" w:hint="eastAsia"/>
              </w:rPr>
              <w:t>354</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5</w:t>
            </w:r>
            <w:r>
              <w:rPr>
                <w:rFonts w:hAnsi="游ゴシック"/>
              </w:rPr>
              <w:t>,2</w:t>
            </w:r>
            <w:r>
              <w:rPr>
                <w:rFonts w:hAnsi="游ゴシック" w:hint="eastAsia"/>
              </w:rPr>
              <w:t>37</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1</w:t>
            </w:r>
            <w:r>
              <w:rPr>
                <w:rFonts w:hAnsi="游ゴシック"/>
              </w:rPr>
              <w:t>5,887</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-11</w:t>
            </w:r>
            <w:r>
              <w:rPr>
                <w:rFonts w:hAnsi="游ゴシック"/>
              </w:rPr>
              <w:t>,</w:t>
            </w:r>
            <w:r>
              <w:rPr>
                <w:rFonts w:hAnsi="游ゴシック" w:hint="eastAsia"/>
              </w:rPr>
              <w:t>101</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-3</w:t>
            </w:r>
            <w:r>
              <w:rPr>
                <w:rFonts w:hAnsi="游ゴシック"/>
              </w:rPr>
              <w:t>,</w:t>
            </w:r>
            <w:r>
              <w:rPr>
                <w:rFonts w:hAnsi="游ゴシック" w:hint="eastAsia"/>
              </w:rPr>
              <w:t>326</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B448CE" w:rsidP="00B448CE">
            <w:pPr>
              <w:jc w:val="right"/>
              <w:rPr>
                <w:rFonts w:hAnsi="游ゴシック"/>
              </w:rPr>
            </w:pPr>
            <w:r>
              <w:rPr>
                <w:rFonts w:hAnsi="游ゴシック"/>
              </w:rPr>
              <w:t>-2,796</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-11</w:t>
            </w:r>
            <w:r>
              <w:rPr>
                <w:rFonts w:hAnsi="游ゴシック"/>
              </w:rPr>
              <w:t>,</w:t>
            </w:r>
            <w:r>
              <w:rPr>
                <w:rFonts w:hAnsi="游ゴシック" w:hint="eastAsia"/>
              </w:rPr>
              <w:t>276</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369</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N</w:t>
            </w:r>
            <w:r>
              <w:rPr>
                <w:rFonts w:hAnsi="游ゴシック"/>
              </w:rPr>
              <w:t>ET</w:t>
            </w:r>
          </w:p>
        </w:tc>
        <w:tc>
          <w:tcPr>
            <w:tcW w:w="1700" w:type="dxa"/>
          </w:tcPr>
          <w:p w:rsidR="00B448CE" w:rsidRDefault="00B448CE" w:rsidP="00B448CE">
            <w:pPr>
              <w:jc w:val="right"/>
              <w:rPr>
                <w:rFonts w:hAnsi="游ゴシック"/>
              </w:rPr>
            </w:pPr>
            <w:r>
              <w:rPr>
                <w:rFonts w:hAnsi="游ゴシック"/>
              </w:rPr>
              <w:t>-4,839</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w:t>
            </w:r>
            <w:r>
              <w:rPr>
                <w:rFonts w:hAnsi="游ゴシック"/>
              </w:rPr>
              <w:t>2,882</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6</w:t>
            </w:r>
            <w:r>
              <w:rPr>
                <w:rFonts w:hAnsi="游ゴシック"/>
              </w:rPr>
              <w:t>,112</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bl>
    <w:p w:rsidR="009377BD" w:rsidRDefault="009377BD" w:rsidP="00A433A0">
      <w:pPr>
        <w:jc w:val="left"/>
        <w:rPr>
          <w:rFonts w:hAnsi="游ゴシック"/>
        </w:rPr>
      </w:pPr>
      <w:r>
        <w:rPr>
          <w:rFonts w:hAnsi="游ゴシック" w:hint="eastAsia"/>
        </w:rPr>
        <w:t>※NETは「現金及び現金同等物に係る換算差額</w:t>
      </w:r>
      <w:r>
        <w:rPr>
          <w:rFonts w:hAnsi="游ゴシック"/>
        </w:rPr>
        <w:t>」</w:t>
      </w:r>
      <w:r>
        <w:rPr>
          <w:rFonts w:hAnsi="游ゴシック" w:hint="eastAsia"/>
        </w:rPr>
        <w:t>を含む</w:t>
      </w:r>
    </w:p>
    <w:p w:rsidR="00C0375F" w:rsidRDefault="00C0375F" w:rsidP="00C0375F">
      <w:pPr>
        <w:jc w:val="left"/>
        <w:rPr>
          <w:rFonts w:hAnsi="游ゴシック"/>
        </w:rPr>
      </w:pPr>
      <w:r>
        <w:rPr>
          <w:rFonts w:hAnsi="游ゴシック" w:hint="eastAsia"/>
        </w:rPr>
        <w:t>次に過剰投資について詳しくみるために、キャッシュフロー計算書の分析を行う。</w:t>
      </w:r>
    </w:p>
    <w:p w:rsidR="00D62E42" w:rsidRDefault="00C0375F" w:rsidP="00A433A0">
      <w:pPr>
        <w:jc w:val="left"/>
        <w:rPr>
          <w:rFonts w:hAnsi="游ゴシック"/>
        </w:rPr>
      </w:pPr>
      <w:r>
        <w:rPr>
          <w:rFonts w:hAnsi="游ゴシック" w:hint="eastAsia"/>
        </w:rPr>
        <w:t>キャッシュフローの推移は以上の通りである。設備投資については、投資キャッシュフローの額に含まれる。</w:t>
      </w:r>
      <w:r w:rsidR="00BE024B">
        <w:rPr>
          <w:rFonts w:hAnsi="游ゴシック" w:hint="eastAsia"/>
        </w:rPr>
        <w:t>投資額の適切性については、フリーキャッシュフローの額でおそよの把握が可能である。</w:t>
      </w:r>
      <w:r w:rsidR="00D05204" w:rsidRPr="00D05204">
        <w:rPr>
          <w:rFonts w:hAnsi="游ゴシック" w:hint="eastAsia"/>
          <w:color w:val="FF0000"/>
        </w:rPr>
        <w:t>（図</w:t>
      </w:r>
      <w:r w:rsidR="00BE024B">
        <w:rPr>
          <w:rFonts w:hAnsi="游ゴシック" w:hint="eastAsia"/>
        </w:rPr>
        <w:t>ここでのフリーキャッシュフローとは、(フリーキャッシュフロー＝営業キャッシュフロー</w:t>
      </w:r>
      <w:r w:rsidR="00BE024B">
        <w:rPr>
          <w:rFonts w:hAnsi="游ゴシック"/>
        </w:rPr>
        <w:t xml:space="preserve"> - </w:t>
      </w:r>
      <w:r w:rsidR="00BE024B">
        <w:rPr>
          <w:rFonts w:hAnsi="游ゴシック" w:hint="eastAsia"/>
        </w:rPr>
        <w:t>投資キャッシュフロー)という算式で求められるものである。</w:t>
      </w:r>
      <w:r w:rsidR="00BE024B">
        <w:rPr>
          <w:rFonts w:hAnsi="游ゴシック" w:hint="eastAsia"/>
        </w:rPr>
        <w:lastRenderedPageBreak/>
        <w:t>投資に用いられたキャッシュフローが営業キャッシュフローにより賄われるものであれば、企業は借り入れの必要はなく資金不足を起こしにくくなる。</w:t>
      </w:r>
    </w:p>
    <w:p w:rsidR="00071601" w:rsidRDefault="00071601" w:rsidP="00A433A0">
      <w:pPr>
        <w:jc w:val="left"/>
        <w:rPr>
          <w:rFonts w:hAnsi="游ゴシック"/>
        </w:rPr>
      </w:pPr>
      <w:r>
        <w:rPr>
          <w:rFonts w:hAnsi="游ゴシック" w:hint="eastAsia"/>
        </w:rPr>
        <w:t>曙ブレーキ工業のフリーキャッシュフローは平均</w:t>
      </w:r>
      <w:r>
        <w:rPr>
          <w:rFonts w:hAnsi="游ゴシック"/>
        </w:rPr>
        <w:t>-3,734</w:t>
      </w:r>
      <w:r>
        <w:rPr>
          <w:rFonts w:hAnsi="游ゴシック" w:hint="eastAsia"/>
        </w:rPr>
        <w:t>と</w:t>
      </w:r>
      <w:r w:rsidR="0018796E">
        <w:rPr>
          <w:rFonts w:hAnsi="游ゴシック" w:hint="eastAsia"/>
        </w:rPr>
        <w:t>営業キャッシュフロー以上の投資を行っていることが分かる。</w:t>
      </w:r>
    </w:p>
    <w:tbl>
      <w:tblPr>
        <w:tblStyle w:val="a4"/>
        <w:tblW w:w="8610" w:type="dxa"/>
        <w:tblLayout w:type="fixed"/>
        <w:tblLook w:val="04A0" w:firstRow="1" w:lastRow="0" w:firstColumn="1" w:lastColumn="0" w:noHBand="0" w:noVBand="1"/>
      </w:tblPr>
      <w:tblGrid>
        <w:gridCol w:w="846"/>
        <w:gridCol w:w="705"/>
        <w:gridCol w:w="706"/>
        <w:gridCol w:w="706"/>
        <w:gridCol w:w="706"/>
        <w:gridCol w:w="706"/>
        <w:gridCol w:w="705"/>
        <w:gridCol w:w="706"/>
        <w:gridCol w:w="706"/>
        <w:gridCol w:w="706"/>
        <w:gridCol w:w="706"/>
        <w:gridCol w:w="706"/>
      </w:tblGrid>
      <w:tr w:rsidR="00D05204" w:rsidTr="00940278">
        <w:tc>
          <w:tcPr>
            <w:tcW w:w="846" w:type="dxa"/>
          </w:tcPr>
          <w:p w:rsidR="00D05204" w:rsidRPr="00D05204" w:rsidRDefault="00D05204" w:rsidP="00A433A0">
            <w:pPr>
              <w:jc w:val="left"/>
              <w:rPr>
                <w:rFonts w:hAnsi="游ゴシック"/>
                <w:sz w:val="18"/>
                <w:szCs w:val="18"/>
              </w:rPr>
            </w:pPr>
          </w:p>
        </w:tc>
        <w:tc>
          <w:tcPr>
            <w:tcW w:w="705"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009</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2010</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011</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012</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013</w:t>
            </w:r>
          </w:p>
        </w:tc>
        <w:tc>
          <w:tcPr>
            <w:tcW w:w="705"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014</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015</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016</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017</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018</w:t>
            </w:r>
          </w:p>
        </w:tc>
        <w:tc>
          <w:tcPr>
            <w:tcW w:w="706" w:type="dxa"/>
          </w:tcPr>
          <w:p w:rsidR="00D05204" w:rsidRPr="00D05204" w:rsidRDefault="00D05204" w:rsidP="00D05204">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019</w:t>
            </w:r>
          </w:p>
        </w:tc>
      </w:tr>
      <w:tr w:rsidR="00940278" w:rsidRPr="00D05204" w:rsidTr="00C3284D">
        <w:tc>
          <w:tcPr>
            <w:tcW w:w="846" w:type="dxa"/>
          </w:tcPr>
          <w:p w:rsidR="00D05204" w:rsidRPr="00D05204" w:rsidRDefault="00D05204" w:rsidP="00D05204">
            <w:pPr>
              <w:jc w:val="left"/>
              <w:rPr>
                <w:rFonts w:hAnsi="游ゴシック"/>
                <w:sz w:val="16"/>
                <w:szCs w:val="16"/>
              </w:rPr>
            </w:pPr>
            <w:r w:rsidRPr="00D05204">
              <w:rPr>
                <w:rFonts w:hAnsi="游ゴシック" w:hint="eastAsia"/>
                <w:sz w:val="16"/>
                <w:szCs w:val="16"/>
              </w:rPr>
              <w:t>FCF</w:t>
            </w:r>
          </w:p>
        </w:tc>
        <w:tc>
          <w:tcPr>
            <w:tcW w:w="705"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-9,363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-10,187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-1,122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-20,894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3,530 </w:t>
            </w:r>
          </w:p>
        </w:tc>
        <w:tc>
          <w:tcPr>
            <w:tcW w:w="705"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-1,474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-7,498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C3284D">
              <w:rPr>
                <w:rFonts w:hAnsi="游ゴシック" w:cs="Arial"/>
                <w:color w:val="000000"/>
                <w:sz w:val="14"/>
                <w:szCs w:val="14"/>
              </w:rPr>
              <w:t>-2,566</w:t>
            </w:r>
            <w:r w:rsidRPr="00D05204">
              <w:rPr>
                <w:rFonts w:hAnsi="游ゴシック" w:cs="Arial"/>
                <w:color w:val="000000"/>
                <w:sz w:val="14"/>
                <w:szCs w:val="14"/>
              </w:rPr>
              <w:t xml:space="preserve">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-1,749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8,253 </w:t>
            </w:r>
          </w:p>
        </w:tc>
        <w:tc>
          <w:tcPr>
            <w:tcW w:w="706" w:type="dxa"/>
            <w:shd w:val="clear" w:color="auto" w:fill="auto"/>
          </w:tcPr>
          <w:p w:rsidR="00D05204" w:rsidRPr="00D05204" w:rsidRDefault="00D05204" w:rsidP="00D05204">
            <w:pPr>
              <w:widowControl/>
              <w:jc w:val="right"/>
              <w:rPr>
                <w:rFonts w:hAnsi="游ゴシック" w:cs="Arial"/>
                <w:color w:val="000000"/>
                <w:sz w:val="14"/>
                <w:szCs w:val="14"/>
              </w:rPr>
            </w:pPr>
            <w:r w:rsidRPr="00D05204">
              <w:rPr>
                <w:rFonts w:hAnsi="游ゴシック" w:cs="Arial"/>
                <w:color w:val="000000"/>
                <w:sz w:val="14"/>
                <w:szCs w:val="14"/>
              </w:rPr>
              <w:t xml:space="preserve">1,991 </w:t>
            </w:r>
          </w:p>
        </w:tc>
      </w:tr>
    </w:tbl>
    <w:p w:rsidR="00D1385C" w:rsidRPr="00940278" w:rsidRDefault="00071601" w:rsidP="00A433A0">
      <w:pPr>
        <w:jc w:val="left"/>
        <w:rPr>
          <w:rFonts w:hAnsi="游ゴシック"/>
        </w:rPr>
      </w:pPr>
      <w:r>
        <w:rPr>
          <w:rFonts w:hAnsi="游ゴシック" w:hint="eastAsia"/>
        </w:rPr>
        <w:t>図</w:t>
      </w:r>
    </w:p>
    <w:tbl>
      <w:tblPr>
        <w:tblW w:w="8642" w:type="dxa"/>
        <w:tblLayout w:type="fixed"/>
        <w:tblCellMar>
          <w:left w:w="99" w:type="dxa"/>
          <w:right w:w="99" w:type="dxa"/>
        </w:tblCellMar>
        <w:tblLook w:val="04A0" w:firstRow="1" w:lastRow="0" w:firstColumn="1" w:lastColumn="0" w:noHBand="0" w:noVBand="1"/>
      </w:tblPr>
      <w:tblGrid>
        <w:gridCol w:w="846"/>
        <w:gridCol w:w="695"/>
        <w:gridCol w:w="696"/>
        <w:gridCol w:w="696"/>
        <w:gridCol w:w="696"/>
        <w:gridCol w:w="761"/>
        <w:gridCol w:w="708"/>
        <w:gridCol w:w="709"/>
        <w:gridCol w:w="709"/>
        <w:gridCol w:w="709"/>
        <w:gridCol w:w="708"/>
        <w:gridCol w:w="709"/>
      </w:tblGrid>
      <w:tr w:rsidR="00940278" w:rsidRPr="00940278" w:rsidTr="00C3284D">
        <w:trPr>
          <w:trHeight w:val="28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 xml:space="preserve">　</w:t>
            </w:r>
          </w:p>
          <w:p w:rsidR="00940278" w:rsidRPr="00940278" w:rsidRDefault="00940278" w:rsidP="00940278">
            <w:pPr>
              <w:widowControl/>
              <w:jc w:val="left"/>
              <w:rPr>
                <w:rFonts w:hAnsi="游ゴシック" w:cs="ＭＳ Ｐゴシック"/>
                <w:kern w:val="0"/>
                <w:sz w:val="14"/>
                <w:szCs w:val="14"/>
              </w:rPr>
            </w:pP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2009</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2010</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2011</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2012</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2013</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2017</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2019</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短期借入</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7,877</w:t>
            </w:r>
          </w:p>
        </w:tc>
        <w:tc>
          <w:tcPr>
            <w:tcW w:w="696" w:type="dxa"/>
            <w:tcBorders>
              <w:top w:val="nil"/>
              <w:left w:val="nil"/>
              <w:bottom w:val="nil"/>
              <w:right w:val="nil"/>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-10,146</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2,090</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6,303</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-4,804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5,447</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1,044</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465</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784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-3,426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13,781</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短期社債</w:t>
            </w:r>
          </w:p>
        </w:tc>
        <w:tc>
          <w:tcPr>
            <w:tcW w:w="695" w:type="dxa"/>
            <w:tcBorders>
              <w:top w:val="nil"/>
              <w:left w:val="nil"/>
              <w:bottom w:val="single" w:sz="4" w:space="0" w:color="auto"/>
              <w:right w:val="single" w:sz="4" w:space="0" w:color="auto"/>
            </w:tcBorders>
            <w:shd w:val="clear" w:color="auto" w:fill="auto"/>
            <w:vAlign w:val="center"/>
            <w:hideMark/>
          </w:tcPr>
          <w:p w:rsidR="00940278" w:rsidRPr="00940278" w:rsidRDefault="00940278" w:rsidP="00940278">
            <w:pPr>
              <w:widowControl/>
              <w:jc w:val="right"/>
              <w:rPr>
                <w:rFonts w:hAnsi="游ゴシック" w:cs="Arial"/>
                <w:color w:val="000000"/>
                <w:kern w:val="0"/>
                <w:sz w:val="14"/>
                <w:szCs w:val="14"/>
              </w:rPr>
            </w:pPr>
            <w:r w:rsidRPr="00940278">
              <w:rPr>
                <w:rFonts w:hAnsi="游ゴシック" w:cs="Arial"/>
                <w:color w:val="000000"/>
                <w:kern w:val="0"/>
                <w:sz w:val="14"/>
                <w:szCs w:val="14"/>
              </w:rPr>
              <w:t>7,987</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-9,984</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C3284D" w:rsidP="00940278">
            <w:pPr>
              <w:widowControl/>
              <w:jc w:val="left"/>
              <w:rPr>
                <w:rFonts w:hAnsi="游ゴシック" w:cs="ＭＳ Ｐゴシック"/>
                <w:kern w:val="0"/>
                <w:sz w:val="14"/>
                <w:szCs w:val="14"/>
              </w:rPr>
            </w:pPr>
            <w:r>
              <w:rPr>
                <w:rFonts w:hAnsi="游ゴシック" w:cs="ＭＳ Ｐゴシック" w:hint="eastAsia"/>
                <w:kern w:val="0"/>
                <w:sz w:val="14"/>
                <w:szCs w:val="14"/>
              </w:rPr>
              <w:t>長期借入</w:t>
            </w:r>
          </w:p>
        </w:tc>
        <w:tc>
          <w:tcPr>
            <w:tcW w:w="695" w:type="dxa"/>
            <w:tcBorders>
              <w:top w:val="nil"/>
              <w:left w:val="nil"/>
              <w:bottom w:val="single" w:sz="4" w:space="0" w:color="auto"/>
              <w:right w:val="single" w:sz="4" w:space="0" w:color="auto"/>
            </w:tcBorders>
            <w:shd w:val="clear" w:color="auto" w:fill="auto"/>
            <w:vAlign w:val="center"/>
            <w:hideMark/>
          </w:tcPr>
          <w:p w:rsidR="00940278" w:rsidRPr="00940278" w:rsidRDefault="00940278" w:rsidP="00940278">
            <w:pPr>
              <w:widowControl/>
              <w:jc w:val="right"/>
              <w:rPr>
                <w:rFonts w:hAnsi="游ゴシック" w:cs="Arial"/>
                <w:color w:val="000000"/>
                <w:kern w:val="0"/>
                <w:sz w:val="14"/>
                <w:szCs w:val="14"/>
              </w:rPr>
            </w:pPr>
            <w:r w:rsidRPr="00940278">
              <w:rPr>
                <w:rFonts w:hAnsi="游ゴシック" w:cs="Arial"/>
                <w:color w:val="000000"/>
                <w:kern w:val="0"/>
                <w:sz w:val="14"/>
                <w:szCs w:val="14"/>
              </w:rPr>
              <w:t>29,667</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12,313</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6,154</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12,425</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20,359</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1,967</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20,019</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43,051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14,700</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19,193</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1,501</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長期返済</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-2,803</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-4,490</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-4,607</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-15,479</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-15,584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-15,006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B84A35" w:rsidP="00940278">
            <w:pPr>
              <w:widowControl/>
              <w:jc w:val="right"/>
              <w:rPr>
                <w:rFonts w:hAnsi="游ゴシック" w:cs="Arial"/>
                <w:kern w:val="0"/>
                <w:sz w:val="14"/>
                <w:szCs w:val="14"/>
              </w:rPr>
            </w:pPr>
            <w:r>
              <w:rPr>
                <w:rFonts w:hAnsi="游ゴシック" w:cs="Arial" w:hint="eastAsia"/>
                <w:kern w:val="0"/>
                <w:sz w:val="14"/>
                <w:szCs w:val="14"/>
              </w:rPr>
              <w:t>-</w:t>
            </w:r>
            <w:r w:rsidR="00940278" w:rsidRPr="00940278">
              <w:rPr>
                <w:rFonts w:hAnsi="游ゴシック" w:cs="Arial"/>
                <w:kern w:val="0"/>
                <w:sz w:val="14"/>
                <w:szCs w:val="14"/>
              </w:rPr>
              <w:t>9,761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-16,599</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-16,124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-25,286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-10,274</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株式</w:t>
            </w:r>
            <w:r w:rsidR="008F2961">
              <w:rPr>
                <w:rFonts w:hAnsi="游ゴシック" w:cs="ＭＳ Ｐゴシック"/>
                <w:kern w:val="0"/>
                <w:sz w:val="14"/>
                <w:szCs w:val="14"/>
              </w:rPr>
              <w:t>CI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12,656</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社債</w:t>
            </w:r>
            <w:r w:rsidR="008F2961">
              <w:rPr>
                <w:rFonts w:hAnsi="游ゴシック" w:cs="ＭＳ Ｐゴシック" w:hint="eastAsia"/>
                <w:kern w:val="0"/>
                <w:sz w:val="14"/>
                <w:szCs w:val="14"/>
              </w:rPr>
              <w:t>C</w:t>
            </w:r>
            <w:r w:rsidR="008F2961">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14,928</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1,979</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リース</w:t>
            </w:r>
          </w:p>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バック</w:t>
            </w:r>
            <w:r w:rsidR="008F2961">
              <w:rPr>
                <w:rFonts w:hAnsi="游ゴシック" w:cs="ＭＳ Ｐゴシック" w:hint="eastAsia"/>
                <w:kern w:val="0"/>
                <w:sz w:val="14"/>
                <w:szCs w:val="14"/>
              </w:rPr>
              <w:t>C</w:t>
            </w:r>
            <w:r w:rsidR="008F2961">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3,321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1,082</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798</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874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2,083</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1,091</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42,728</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10,495</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18,565</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3,249</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-29</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-4,271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31,906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27,715</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234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-7,436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8,078</w:t>
            </w:r>
          </w:p>
        </w:tc>
      </w:tr>
    </w:tbl>
    <w:p w:rsidR="00C3284D" w:rsidRDefault="00C3284D" w:rsidP="00A433A0">
      <w:pPr>
        <w:jc w:val="left"/>
        <w:rPr>
          <w:rFonts w:hAnsi="游ゴシック"/>
          <w:szCs w:val="21"/>
        </w:rPr>
      </w:pPr>
    </w:p>
    <w:tbl>
      <w:tblPr>
        <w:tblStyle w:val="a4"/>
        <w:tblW w:w="8642" w:type="dxa"/>
        <w:tblLayout w:type="fixed"/>
        <w:tblLook w:val="04A0" w:firstRow="1" w:lastRow="0" w:firstColumn="1" w:lastColumn="0" w:noHBand="0" w:noVBand="1"/>
      </w:tblPr>
      <w:tblGrid>
        <w:gridCol w:w="846"/>
        <w:gridCol w:w="708"/>
        <w:gridCol w:w="709"/>
        <w:gridCol w:w="709"/>
        <w:gridCol w:w="708"/>
        <w:gridCol w:w="709"/>
        <w:gridCol w:w="709"/>
        <w:gridCol w:w="709"/>
        <w:gridCol w:w="708"/>
        <w:gridCol w:w="709"/>
        <w:gridCol w:w="709"/>
        <w:gridCol w:w="709"/>
      </w:tblGrid>
      <w:tr w:rsidR="00C3284D" w:rsidTr="00C3284D">
        <w:tc>
          <w:tcPr>
            <w:tcW w:w="846" w:type="dxa"/>
          </w:tcPr>
          <w:p w:rsidR="00C3284D" w:rsidRDefault="00C3284D" w:rsidP="00C3284D">
            <w:pPr>
              <w:jc w:val="left"/>
              <w:rPr>
                <w:rFonts w:hAnsi="游ゴシック"/>
                <w:szCs w:val="21"/>
              </w:rPr>
            </w:pPr>
          </w:p>
        </w:tc>
        <w:tc>
          <w:tcPr>
            <w:tcW w:w="708" w:type="dxa"/>
            <w:vAlign w:val="center"/>
          </w:tcPr>
          <w:p w:rsidR="00C3284D" w:rsidRPr="00940278" w:rsidRDefault="00C3284D" w:rsidP="00C3284D">
            <w:pPr>
              <w:widowControl/>
              <w:jc w:val="center"/>
              <w:rPr>
                <w:rFonts w:hAnsi="游ゴシック" w:cs="Arial"/>
                <w:kern w:val="0"/>
                <w:sz w:val="14"/>
                <w:szCs w:val="14"/>
              </w:rPr>
            </w:pPr>
            <w:r>
              <w:rPr>
                <w:rFonts w:hAnsi="游ゴシック" w:cs="Arial" w:hint="eastAsia"/>
                <w:kern w:val="0"/>
                <w:sz w:val="14"/>
                <w:szCs w:val="14"/>
              </w:rPr>
              <w:t>2009</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2010</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2011</w:t>
            </w:r>
          </w:p>
        </w:tc>
        <w:tc>
          <w:tcPr>
            <w:tcW w:w="708"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2012</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2013</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2014</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2015</w:t>
            </w:r>
          </w:p>
        </w:tc>
        <w:tc>
          <w:tcPr>
            <w:tcW w:w="708"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2016</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2017</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2018</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2019</w:t>
            </w:r>
          </w:p>
        </w:tc>
      </w:tr>
      <w:tr w:rsidR="00C3284D" w:rsidTr="00C3284D">
        <w:tc>
          <w:tcPr>
            <w:tcW w:w="846" w:type="dxa"/>
          </w:tcPr>
          <w:p w:rsidR="00C3284D" w:rsidRDefault="008F2961" w:rsidP="00C3284D">
            <w:pPr>
              <w:jc w:val="left"/>
              <w:rPr>
                <w:rFonts w:hAnsi="游ゴシック"/>
                <w:szCs w:val="21"/>
              </w:rPr>
            </w:pPr>
            <w:r w:rsidRPr="008F2961">
              <w:rPr>
                <w:rFonts w:hAnsi="游ゴシック" w:hint="eastAsia"/>
                <w:sz w:val="10"/>
                <w:szCs w:val="10"/>
              </w:rPr>
              <w:t>投資有価証券</w:t>
            </w:r>
          </w:p>
        </w:tc>
        <w:tc>
          <w:tcPr>
            <w:tcW w:w="708" w:type="dxa"/>
            <w:vAlign w:val="center"/>
          </w:tcPr>
          <w:p w:rsidR="00C3284D"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8"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8F2961" w:rsidP="00C3284D">
            <w:pPr>
              <w:widowControl/>
              <w:jc w:val="center"/>
              <w:rPr>
                <w:rFonts w:hAnsi="游ゴシック" w:cs="Arial"/>
                <w:kern w:val="0"/>
                <w:sz w:val="14"/>
                <w:szCs w:val="14"/>
              </w:rPr>
            </w:pPr>
            <w:r>
              <w:rPr>
                <w:rFonts w:hAnsi="游ゴシック" w:cs="Arial" w:hint="eastAsia"/>
                <w:kern w:val="0"/>
                <w:sz w:val="14"/>
                <w:szCs w:val="14"/>
              </w:rPr>
              <w:t>869</w:t>
            </w:r>
          </w:p>
        </w:tc>
        <w:tc>
          <w:tcPr>
            <w:tcW w:w="708" w:type="dxa"/>
            <w:vAlign w:val="center"/>
          </w:tcPr>
          <w:p w:rsidR="00C3284D" w:rsidRPr="00940278" w:rsidRDefault="008F2961" w:rsidP="00C3284D">
            <w:pPr>
              <w:widowControl/>
              <w:jc w:val="center"/>
              <w:rPr>
                <w:rFonts w:hAnsi="游ゴシック" w:cs="Arial"/>
                <w:kern w:val="0"/>
                <w:sz w:val="14"/>
                <w:szCs w:val="14"/>
              </w:rPr>
            </w:pPr>
            <w:r>
              <w:rPr>
                <w:rFonts w:hAnsi="游ゴシック" w:cs="Arial" w:hint="eastAsia"/>
                <w:kern w:val="0"/>
                <w:sz w:val="14"/>
                <w:szCs w:val="14"/>
              </w:rPr>
              <w:t>1,016</w:t>
            </w: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r>
              <w:rPr>
                <w:rFonts w:hAnsi="游ゴシック" w:cs="Arial" w:hint="eastAsia"/>
                <w:kern w:val="0"/>
                <w:sz w:val="14"/>
                <w:szCs w:val="14"/>
              </w:rPr>
              <w:t>8,570</w:t>
            </w:r>
          </w:p>
        </w:tc>
        <w:tc>
          <w:tcPr>
            <w:tcW w:w="709" w:type="dxa"/>
            <w:vAlign w:val="center"/>
          </w:tcPr>
          <w:p w:rsidR="00C3284D" w:rsidRPr="00940278" w:rsidRDefault="00C3284D" w:rsidP="00C3284D">
            <w:pPr>
              <w:widowControl/>
              <w:jc w:val="center"/>
              <w:rPr>
                <w:rFonts w:hAnsi="游ゴシック" w:cs="Arial"/>
                <w:kern w:val="0"/>
                <w:sz w:val="14"/>
                <w:szCs w:val="14"/>
              </w:rPr>
            </w:pPr>
            <w:r>
              <w:rPr>
                <w:rFonts w:hAnsi="游ゴシック" w:cs="Arial" w:hint="eastAsia"/>
                <w:kern w:val="0"/>
                <w:sz w:val="14"/>
                <w:szCs w:val="14"/>
              </w:rPr>
              <w:t>1,057</w:t>
            </w:r>
          </w:p>
        </w:tc>
      </w:tr>
    </w:tbl>
    <w:p w:rsidR="00CD5108" w:rsidRDefault="00C3284D" w:rsidP="00A433A0">
      <w:pPr>
        <w:jc w:val="left"/>
        <w:rPr>
          <w:rFonts w:hAnsi="游ゴシック"/>
          <w:szCs w:val="21"/>
        </w:rPr>
      </w:pPr>
      <w:r>
        <w:rPr>
          <w:rFonts w:hAnsi="游ゴシック" w:hint="eastAsia"/>
          <w:szCs w:val="21"/>
        </w:rPr>
        <w:t>営業キャッシュフローでカバーできないマイナス分については、財務キャッシュフローにより賄うこととなる。財務キャッシュフローを構成する項目をみていくと、</w:t>
      </w:r>
      <w:r w:rsidR="008F2961">
        <w:rPr>
          <w:rFonts w:hAnsi="游ゴシック" w:hint="eastAsia"/>
          <w:szCs w:val="21"/>
        </w:rPr>
        <w:t>2</w:t>
      </w:r>
      <w:r w:rsidR="008F2961">
        <w:rPr>
          <w:rFonts w:hAnsi="游ゴシック"/>
          <w:szCs w:val="21"/>
        </w:rPr>
        <w:t>013</w:t>
      </w:r>
      <w:r w:rsidR="008F2961">
        <w:rPr>
          <w:rFonts w:hAnsi="游ゴシック" w:hint="eastAsia"/>
          <w:szCs w:val="21"/>
        </w:rPr>
        <w:t>年までは、短期借入金・短期社債を</w:t>
      </w:r>
      <w:r w:rsidR="00B84A35">
        <w:rPr>
          <w:rFonts w:hAnsi="游ゴシック" w:hint="eastAsia"/>
          <w:szCs w:val="21"/>
        </w:rPr>
        <w:t>主として</w:t>
      </w:r>
      <w:r w:rsidR="008F2961">
        <w:rPr>
          <w:rFonts w:hAnsi="游ゴシック" w:hint="eastAsia"/>
          <w:szCs w:val="21"/>
        </w:rPr>
        <w:t>株式や社債を</w:t>
      </w:r>
      <w:r w:rsidR="00B84A35">
        <w:rPr>
          <w:rFonts w:hAnsi="游ゴシック" w:hint="eastAsia"/>
          <w:szCs w:val="21"/>
        </w:rPr>
        <w:t>も併用して資金を調達している。しかし2014年以降、短期借入は減少し同時に長期借入金による返済と同額以上の借入を行っている他、リースバックによる保有資産のキャッシュの獲得をおここなっている。なお、リースバックについては、固定資産をオフバランス(貸借対照表に載せない)することにより自己資本比率を高める狙いもあったと考えられる。その他、2</w:t>
      </w:r>
      <w:r w:rsidR="00B84A35">
        <w:rPr>
          <w:rFonts w:hAnsi="游ゴシック"/>
          <w:szCs w:val="21"/>
        </w:rPr>
        <w:t>01</w:t>
      </w:r>
      <w:r w:rsidR="00B84A35">
        <w:rPr>
          <w:rFonts w:hAnsi="游ゴシック" w:hint="eastAsia"/>
          <w:szCs w:val="21"/>
        </w:rPr>
        <w:t>4年以降は投資有価証券の売却による収入により投資キャッシュフローの額のマイナスの減少も図っている</w:t>
      </w:r>
      <w:r w:rsidR="004C2EE3">
        <w:rPr>
          <w:rFonts w:hAnsi="游ゴシック" w:hint="eastAsia"/>
          <w:szCs w:val="21"/>
        </w:rPr>
        <w:t>。しかし、これらは</w:t>
      </w:r>
      <w:r w:rsidR="00A55F26">
        <w:rPr>
          <w:rFonts w:hAnsi="游ゴシック" w:hint="eastAsia"/>
          <w:szCs w:val="21"/>
        </w:rPr>
        <w:t>一時的</w:t>
      </w:r>
      <w:r w:rsidR="004C2EE3">
        <w:rPr>
          <w:rFonts w:hAnsi="游ゴシック" w:hint="eastAsia"/>
          <w:szCs w:val="21"/>
        </w:rPr>
        <w:t>ものであり</w:t>
      </w:r>
      <w:r w:rsidR="00A55F26">
        <w:rPr>
          <w:rFonts w:hAnsi="游ゴシック" w:hint="eastAsia"/>
          <w:szCs w:val="21"/>
        </w:rPr>
        <w:t>毎期</w:t>
      </w:r>
      <w:r w:rsidR="004C2EE3">
        <w:rPr>
          <w:rFonts w:hAnsi="游ゴシック" w:hint="eastAsia"/>
          <w:szCs w:val="21"/>
        </w:rPr>
        <w:t>できることではない。</w:t>
      </w:r>
      <w:r w:rsidR="00A55F26">
        <w:rPr>
          <w:rFonts w:hAnsi="游ゴシック" w:hint="eastAsia"/>
          <w:szCs w:val="21"/>
        </w:rPr>
        <w:t>根本的な解決のためには、本業でのキャッシュフローの改善が必要となるが、曙ブレーキ工業の場合立て直しを図る途中で米国での失注が重なったことで今後の長期借入金の返済計画が破綻したと考えられる。</w:t>
      </w:r>
    </w:p>
    <w:p w:rsidR="004C2EE3" w:rsidRDefault="004C2EE3" w:rsidP="00A433A0">
      <w:pPr>
        <w:jc w:val="left"/>
        <w:rPr>
          <w:rFonts w:hAnsi="游ゴシック"/>
          <w:szCs w:val="21"/>
        </w:rPr>
      </w:pPr>
    </w:p>
    <w:p w:rsidR="004C2EE3" w:rsidRDefault="004C2EE3" w:rsidP="00A433A0">
      <w:pPr>
        <w:jc w:val="left"/>
        <w:rPr>
          <w:rFonts w:hAnsi="游ゴシック"/>
          <w:szCs w:val="21"/>
        </w:rPr>
      </w:pPr>
      <w:r>
        <w:rPr>
          <w:rFonts w:hAnsi="游ゴシック" w:hint="eastAsia"/>
          <w:szCs w:val="21"/>
        </w:rPr>
        <w:t>最後に</w:t>
      </w:r>
    </w:p>
    <w:p w:rsidR="00CD5108" w:rsidRDefault="004C2EE3" w:rsidP="00A433A0">
      <w:pPr>
        <w:jc w:val="left"/>
        <w:rPr>
          <w:rFonts w:hAnsi="游ゴシック"/>
          <w:szCs w:val="21"/>
        </w:rPr>
      </w:pPr>
      <w:r>
        <w:rPr>
          <w:rFonts w:hAnsi="游ゴシック" w:hint="eastAsia"/>
          <w:szCs w:val="21"/>
        </w:rPr>
        <w:t>曙ブレーキ工業のADRの申請は、ニュースリリースでは最初に示した通り「</w:t>
      </w:r>
      <w:r w:rsidRPr="00E30BA2">
        <w:rPr>
          <w:rFonts w:hAnsi="游ゴシック" w:hint="eastAsia"/>
        </w:rPr>
        <w:t>米国メーカーの乗用車生産からの撤退や、生産混乱に起因して次期モデル用ブレーキ製品の受注を逃した</w:t>
      </w:r>
      <w:r>
        <w:rPr>
          <w:rFonts w:hAnsi="游ゴシック" w:hint="eastAsia"/>
        </w:rPr>
        <w:t>」ことが原因であるとされている。分析の結果、確かに曙ブレーキ工業の2</w:t>
      </w:r>
      <w:r>
        <w:rPr>
          <w:rFonts w:hAnsi="游ゴシック"/>
        </w:rPr>
        <w:t>014</w:t>
      </w:r>
      <w:r>
        <w:rPr>
          <w:rFonts w:hAnsi="游ゴシック" w:hint="eastAsia"/>
        </w:rPr>
        <w:t>年か</w:t>
      </w:r>
      <w:r>
        <w:rPr>
          <w:rFonts w:hAnsi="游ゴシック" w:hint="eastAsia"/>
        </w:rPr>
        <w:lastRenderedPageBreak/>
        <w:t>らの生産混乱に伴う追加費用の発生やそれに伴う完成車メーカーからの信用低下が原因の失注のダメージは大きかったと考えられる。しかし、それ以前の素因として過剰と思える設備投資と減損の発生、</w:t>
      </w:r>
      <w:r w:rsidR="001712C1">
        <w:rPr>
          <w:rFonts w:hAnsi="游ゴシック" w:hint="eastAsia"/>
        </w:rPr>
        <w:t>ガバナンスの機能不全による</w:t>
      </w:r>
      <w:r>
        <w:rPr>
          <w:rFonts w:hAnsi="游ゴシック" w:hint="eastAsia"/>
        </w:rPr>
        <w:t>グローバル規模での生産設備の適正化</w:t>
      </w:r>
      <w:r w:rsidR="001712C1">
        <w:rPr>
          <w:rFonts w:hAnsi="游ゴシック" w:hint="eastAsia"/>
        </w:rPr>
        <w:t>な</w:t>
      </w:r>
      <w:r>
        <w:rPr>
          <w:rFonts w:hAnsi="游ゴシック" w:hint="eastAsia"/>
        </w:rPr>
        <w:t>がなされていなかったことが大きな要因として</w:t>
      </w:r>
      <w:r w:rsidR="00A55F26">
        <w:rPr>
          <w:rFonts w:hAnsi="游ゴシック" w:hint="eastAsia"/>
          <w:szCs w:val="21"/>
        </w:rPr>
        <w:t>挙げられる</w:t>
      </w:r>
      <w:r w:rsidR="00124557">
        <w:rPr>
          <w:rFonts w:hAnsi="游ゴシック" w:hint="eastAsia"/>
          <w:szCs w:val="21"/>
        </w:rPr>
        <w:t>。その上で曙ブレーキ工業が今後ADRにより再生を図っていくためには、まず早急な欧米工場の大規模な閉鎖が必要であると考える。そして採算のとれる価格設定、適切な資源配分が重要となるだろう。そして、将来的に収益を獲得する為には</w:t>
      </w:r>
      <w:r w:rsidR="001712C1">
        <w:rPr>
          <w:rFonts w:hAnsi="游ゴシック" w:hint="eastAsia"/>
          <w:szCs w:val="21"/>
        </w:rPr>
        <w:t>強力な出資者を味方につけたうえで、</w:t>
      </w:r>
      <w:r w:rsidR="00124557">
        <w:rPr>
          <w:rFonts w:hAnsi="游ゴシック" w:hint="eastAsia"/>
          <w:szCs w:val="21"/>
        </w:rPr>
        <w:t>現在収益率も良く市場も拡大している中国を始めとするアジア市場での販路の拡大や</w:t>
      </w:r>
      <w:r w:rsidR="001712C1">
        <w:rPr>
          <w:rFonts w:hAnsi="游ゴシック" w:hint="eastAsia"/>
          <w:szCs w:val="21"/>
        </w:rPr>
        <w:t>電気自動車向けブレーキの研究に注力する必要があると考える。</w:t>
      </w:r>
    </w:p>
    <w:p w:rsidR="001712C1" w:rsidRDefault="001712C1" w:rsidP="00A433A0">
      <w:pPr>
        <w:jc w:val="left"/>
        <w:rPr>
          <w:rFonts w:hAnsi="游ゴシック"/>
          <w:szCs w:val="21"/>
        </w:rPr>
      </w:pPr>
    </w:p>
    <w:p w:rsidR="00F401F3" w:rsidRPr="00F401F3" w:rsidRDefault="001712C1" w:rsidP="00A433A0">
      <w:pPr>
        <w:jc w:val="left"/>
        <w:rPr>
          <w:rFonts w:hAnsi="游ゴシック" w:hint="eastAsia"/>
          <w:szCs w:val="21"/>
        </w:rPr>
      </w:pPr>
      <w:r>
        <w:rPr>
          <w:rFonts w:hAnsi="游ゴシック" w:hint="eastAsia"/>
          <w:szCs w:val="21"/>
        </w:rPr>
        <w:t>【参考】</w:t>
      </w:r>
    </w:p>
    <w:p w:rsidR="00D23A38" w:rsidRDefault="00F401F3" w:rsidP="00A433A0">
      <w:pPr>
        <w:jc w:val="left"/>
        <w:rPr>
          <w:rFonts w:hAnsi="游ゴシック"/>
        </w:rPr>
      </w:pPr>
      <w:r>
        <w:rPr>
          <w:rFonts w:hint="eastAsia"/>
        </w:rPr>
        <w:t>その後実際の</w:t>
      </w:r>
      <w:r w:rsidR="00FD6634" w:rsidRPr="00FD6634">
        <w:rPr>
          <w:rFonts w:hint="eastAsia"/>
        </w:rPr>
        <w:t>曙ブレーキ工業</w:t>
      </w:r>
      <w:r>
        <w:rPr>
          <w:rFonts w:hint="eastAsia"/>
        </w:rPr>
        <w:t>の事業再生ADRの推移としては、9月</w:t>
      </w:r>
      <w:r w:rsidR="00FD6634" w:rsidRPr="00FD6634">
        <w:rPr>
          <w:rFonts w:hint="eastAsia"/>
        </w:rPr>
        <w:t>18日</w:t>
      </w:r>
      <w:r>
        <w:rPr>
          <w:rFonts w:hAnsi="游ゴシック" w:hint="eastAsia"/>
        </w:rPr>
        <w:t>の</w:t>
      </w:r>
      <w:r w:rsidR="00FD6634" w:rsidRPr="00FD6634">
        <w:rPr>
          <w:rFonts w:hAnsi="游ゴシック" w:hint="eastAsia"/>
        </w:rPr>
        <w:t>債権者会議</w:t>
      </w:r>
      <w:r>
        <w:rPr>
          <w:rFonts w:hAnsi="游ゴシック" w:hint="eastAsia"/>
        </w:rPr>
        <w:t>において</w:t>
      </w:r>
      <w:r w:rsidR="00FD6634" w:rsidRPr="00FD6634">
        <w:rPr>
          <w:rFonts w:hAnsi="游ゴシック" w:hint="eastAsia"/>
        </w:rPr>
        <w:t>日米欧の6工場の閉鎖・売却を含む再建計画案について銀行団から承認を得たと発表</w:t>
      </w:r>
      <w:r>
        <w:rPr>
          <w:rFonts w:hAnsi="游ゴシック" w:hint="eastAsia"/>
        </w:rPr>
        <w:t>し</w:t>
      </w:r>
      <w:r w:rsidR="00521692">
        <w:rPr>
          <w:rFonts w:hAnsi="游ゴシック" w:hint="eastAsia"/>
        </w:rPr>
        <w:t>ている</w:t>
      </w:r>
      <w:r>
        <w:rPr>
          <w:rFonts w:hAnsi="游ゴシック" w:hint="eastAsia"/>
        </w:rPr>
        <w:t>。</w:t>
      </w:r>
      <w:r w:rsidR="00521692">
        <w:rPr>
          <w:rFonts w:hAnsi="游ゴシック" w:hint="eastAsia"/>
        </w:rPr>
        <w:t>これにより</w:t>
      </w:r>
      <w:r w:rsidR="00FD6634" w:rsidRPr="00FD6634">
        <w:rPr>
          <w:rFonts w:hAnsi="游ゴシック" w:hint="eastAsia"/>
        </w:rPr>
        <w:t>銀行団</w:t>
      </w:r>
      <w:r>
        <w:rPr>
          <w:rFonts w:hAnsi="游ゴシック" w:hint="eastAsia"/>
        </w:rPr>
        <w:t>側は</w:t>
      </w:r>
      <w:r w:rsidR="00FD6634" w:rsidRPr="00FD6634">
        <w:rPr>
          <w:rFonts w:hAnsi="游ゴシック" w:hint="eastAsia"/>
        </w:rPr>
        <w:t>借入金の半分に相当する560億円の債権放棄にも応じ</w:t>
      </w:r>
      <w:r>
        <w:rPr>
          <w:rFonts w:hAnsi="游ゴシック" w:hint="eastAsia"/>
        </w:rPr>
        <w:t>、</w:t>
      </w:r>
      <w:r w:rsidR="00FD6634" w:rsidRPr="00FD6634">
        <w:rPr>
          <w:rFonts w:hAnsi="游ゴシック" w:hint="eastAsia"/>
        </w:rPr>
        <w:t>再建の道筋がほぼ整った</w:t>
      </w:r>
      <w:r>
        <w:rPr>
          <w:rFonts w:hAnsi="游ゴシック" w:hint="eastAsia"/>
        </w:rPr>
        <w:t>言える。</w:t>
      </w:r>
    </w:p>
    <w:p w:rsidR="00FD6634" w:rsidRPr="00FD6634" w:rsidRDefault="00FD6634" w:rsidP="00FD6634">
      <w:pPr>
        <w:jc w:val="left"/>
        <w:rPr>
          <w:rFonts w:hAnsi="游ゴシック"/>
        </w:rPr>
      </w:pPr>
      <w:r w:rsidRPr="00FD6634">
        <w:rPr>
          <w:rFonts w:hAnsi="游ゴシック" w:hint="eastAsia"/>
        </w:rPr>
        <w:t>再建計画</w:t>
      </w:r>
      <w:r w:rsidR="00F401F3">
        <w:rPr>
          <w:rFonts w:hAnsi="游ゴシック" w:hint="eastAsia"/>
        </w:rPr>
        <w:t>の具体的な内容としては</w:t>
      </w:r>
      <w:r w:rsidRPr="00FD6634">
        <w:rPr>
          <w:rFonts w:hAnsi="游ゴシック" w:hint="eastAsia"/>
        </w:rPr>
        <w:t>、世界で18カ所ある工場のうち、日本で1カ所、米国で3カ所、欧州で2カ所</w:t>
      </w:r>
      <w:r w:rsidR="00F401F3">
        <w:rPr>
          <w:rFonts w:hAnsi="游ゴシック" w:hint="eastAsia"/>
        </w:rPr>
        <w:t>の向上が売却または閉鎖の対象となった</w:t>
      </w:r>
      <w:r w:rsidRPr="00FD6634">
        <w:rPr>
          <w:rFonts w:hAnsi="游ゴシック" w:hint="eastAsia"/>
        </w:rPr>
        <w:t>。</w:t>
      </w:r>
      <w:r w:rsidR="00F401F3">
        <w:rPr>
          <w:rFonts w:hAnsi="游ゴシック" w:hint="eastAsia"/>
        </w:rPr>
        <w:t>開発拠点についても</w:t>
      </w:r>
      <w:r w:rsidRPr="00FD6634">
        <w:rPr>
          <w:rFonts w:hAnsi="游ゴシック" w:hint="eastAsia"/>
        </w:rPr>
        <w:t>ドイツと英国の開発拠点も閉め、</w:t>
      </w:r>
      <w:r w:rsidR="00F401F3">
        <w:rPr>
          <w:rFonts w:hAnsi="游ゴシック" w:hint="eastAsia"/>
        </w:rPr>
        <w:t>欧州における</w:t>
      </w:r>
      <w:r w:rsidRPr="00FD6634">
        <w:rPr>
          <w:rFonts w:hAnsi="游ゴシック" w:hint="eastAsia"/>
        </w:rPr>
        <w:t>製造・開発は撤退する方針</w:t>
      </w:r>
      <w:r w:rsidR="00521692">
        <w:rPr>
          <w:rFonts w:hAnsi="游ゴシック" w:hint="eastAsia"/>
        </w:rPr>
        <w:t>で、</w:t>
      </w:r>
      <w:r w:rsidRPr="00FD6634">
        <w:rPr>
          <w:rFonts w:hAnsi="游ゴシック" w:hint="eastAsia"/>
        </w:rPr>
        <w:t>世界の1万人の全従業員のうち、3割の3000人規模を整理する</w:t>
      </w:r>
      <w:r w:rsidR="00521692">
        <w:rPr>
          <w:rFonts w:hAnsi="游ゴシック" w:hint="eastAsia"/>
        </w:rPr>
        <w:t>方針となっている。</w:t>
      </w:r>
    </w:p>
    <w:p w:rsidR="00FD6634" w:rsidRDefault="00521692" w:rsidP="00FD6634">
      <w:pPr>
        <w:jc w:val="left"/>
        <w:rPr>
          <w:rFonts w:hAnsi="游ゴシック"/>
        </w:rPr>
      </w:pPr>
      <w:r>
        <w:rPr>
          <w:rFonts w:hAnsi="游ゴシック" w:hint="eastAsia"/>
        </w:rPr>
        <w:t>資金面では、</w:t>
      </w:r>
      <w:r w:rsidR="00FD6634" w:rsidRPr="00FD6634">
        <w:rPr>
          <w:rFonts w:hAnsi="游ゴシック" w:hint="eastAsia"/>
        </w:rPr>
        <w:t>メインバンクや地方銀行など37行の銀行団が有利子負債の半分にあたる債権放棄に応じたことで、資金繰りは大幅に</w:t>
      </w:r>
      <w:r>
        <w:rPr>
          <w:rFonts w:hAnsi="游ゴシック" w:hint="eastAsia"/>
        </w:rPr>
        <w:t>改善した他、</w:t>
      </w:r>
      <w:r w:rsidR="00FD6634" w:rsidRPr="00FD6634">
        <w:rPr>
          <w:rFonts w:hAnsi="游ゴシック" w:hint="eastAsia"/>
        </w:rPr>
        <w:t>事業再生ファンドのジャパン・インダストリアル・ソリューションズ（JIS）から200億円を調達する。</w:t>
      </w:r>
      <w:r>
        <w:rPr>
          <w:rFonts w:hAnsi="游ゴシック" w:hint="eastAsia"/>
        </w:rPr>
        <w:t>調達資金は、</w:t>
      </w:r>
      <w:r w:rsidR="00FD6634" w:rsidRPr="00FD6634">
        <w:rPr>
          <w:rFonts w:hAnsi="游ゴシック" w:hint="eastAsia"/>
        </w:rPr>
        <w:t>一連の構造改革に150億円を投じ、残す50億円を成長に向けた投資に回す</w:t>
      </w:r>
      <w:r>
        <w:rPr>
          <w:rFonts w:hAnsi="游ゴシック" w:hint="eastAsia"/>
        </w:rPr>
        <w:t>予定としている。</w:t>
      </w:r>
    </w:p>
    <w:p w:rsidR="00FD6634" w:rsidRDefault="00FD6634" w:rsidP="00A433A0">
      <w:pPr>
        <w:jc w:val="left"/>
        <w:rPr>
          <w:rFonts w:hAnsi="游ゴシック"/>
        </w:rPr>
      </w:pPr>
      <w:r>
        <w:rPr>
          <w:rFonts w:hAnsi="游ゴシック" w:hint="eastAsia"/>
        </w:rPr>
        <w:t>(</w:t>
      </w:r>
      <w:r>
        <w:rPr>
          <w:rFonts w:hAnsi="游ゴシック"/>
        </w:rPr>
        <w:t>2019</w:t>
      </w:r>
      <w:r>
        <w:rPr>
          <w:rFonts w:hAnsi="游ゴシック" w:hint="eastAsia"/>
        </w:rPr>
        <w:t>年9月1</w:t>
      </w:r>
      <w:r>
        <w:rPr>
          <w:rFonts w:hAnsi="游ゴシック"/>
        </w:rPr>
        <w:t>8</w:t>
      </w:r>
      <w:r>
        <w:rPr>
          <w:rFonts w:hAnsi="游ゴシック" w:hint="eastAsia"/>
        </w:rPr>
        <w:t>日17：19、日経新聞電子版「</w:t>
      </w:r>
      <w:r w:rsidRPr="00FD6634">
        <w:rPr>
          <w:rFonts w:hAnsi="游ゴシック" w:hint="eastAsia"/>
        </w:rPr>
        <w:t>曙ブレーキ、ADR成立　銀行団が560億円債権放棄</w:t>
      </w:r>
      <w:r>
        <w:rPr>
          <w:rFonts w:hAnsi="游ゴシック" w:hint="eastAsia"/>
        </w:rPr>
        <w:t>」より引用</w:t>
      </w:r>
      <w:r w:rsidR="00521692">
        <w:rPr>
          <w:rFonts w:hAnsi="游ゴシック" w:hint="eastAsia"/>
        </w:rPr>
        <w:t>・要約</w:t>
      </w:r>
      <w:r>
        <w:rPr>
          <w:rFonts w:hAnsi="游ゴシック" w:hint="eastAsia"/>
        </w:rPr>
        <w:t>)</w:t>
      </w:r>
    </w:p>
    <w:p w:rsidR="008E255F" w:rsidRDefault="00FD6634" w:rsidP="00936EE1">
      <w:pPr>
        <w:jc w:val="left"/>
        <w:rPr>
          <w:rFonts w:hAnsi="游ゴシック"/>
        </w:rPr>
      </w:pPr>
      <w:r>
        <w:rPr>
          <w:rFonts w:hAnsi="游ゴシック" w:hint="eastAsia"/>
        </w:rPr>
        <w:t>以上の通り、曙ブレーキ工業は</w:t>
      </w:r>
      <w:r w:rsidR="00C92148">
        <w:rPr>
          <w:rFonts w:hAnsi="游ゴシック" w:hint="eastAsia"/>
        </w:rPr>
        <w:t>2</w:t>
      </w:r>
      <w:r w:rsidR="00C92148">
        <w:rPr>
          <w:rFonts w:hAnsi="游ゴシック"/>
        </w:rPr>
        <w:t>01</w:t>
      </w:r>
      <w:r w:rsidR="00C92148">
        <w:rPr>
          <w:rFonts w:hAnsi="游ゴシック" w:hint="eastAsia"/>
        </w:rPr>
        <w:t>9年1月2</w:t>
      </w:r>
      <w:r w:rsidR="00C92148">
        <w:rPr>
          <w:rFonts w:hAnsi="游ゴシック"/>
        </w:rPr>
        <w:t>9</w:t>
      </w:r>
      <w:r w:rsidR="00C92148">
        <w:rPr>
          <w:rFonts w:hAnsi="游ゴシック" w:hint="eastAsia"/>
        </w:rPr>
        <w:t>日の事業再生実務家協会への</w:t>
      </w:r>
      <w:r>
        <w:rPr>
          <w:rFonts w:hAnsi="游ゴシック" w:hint="eastAsia"/>
        </w:rPr>
        <w:t>事業再生ADR申請</w:t>
      </w:r>
      <w:r w:rsidR="00C92148">
        <w:rPr>
          <w:rFonts w:hAnsi="游ゴシック" w:hint="eastAsia"/>
        </w:rPr>
        <w:t>から約8ヶ月で金融機関との再建計画案に合意し、新体制の元で事業の再建を目指すこととなった。</w:t>
      </w:r>
      <w:r w:rsidR="00521692">
        <w:rPr>
          <w:rFonts w:hAnsi="游ゴシック" w:hint="eastAsia"/>
        </w:rPr>
        <w:t>経営陣について</w:t>
      </w:r>
      <w:r w:rsidR="00521692">
        <w:rPr>
          <w:rFonts w:hAnsi="游ゴシック" w:hint="eastAsia"/>
        </w:rPr>
        <w:t>も</w:t>
      </w:r>
      <w:r w:rsidR="00521692">
        <w:rPr>
          <w:rFonts w:hAnsi="游ゴシック"/>
        </w:rPr>
        <w:t>9</w:t>
      </w:r>
      <w:r w:rsidR="00521692">
        <w:rPr>
          <w:rFonts w:hAnsi="游ゴシック" w:hint="eastAsia"/>
        </w:rPr>
        <w:t>月</w:t>
      </w:r>
      <w:r w:rsidR="00521692" w:rsidRPr="00FD6634">
        <w:rPr>
          <w:rFonts w:hAnsi="游ゴシック" w:hint="eastAsia"/>
        </w:rPr>
        <w:t>30日</w:t>
      </w:r>
      <w:r w:rsidR="00521692">
        <w:rPr>
          <w:rFonts w:hAnsi="游ゴシック" w:hint="eastAsia"/>
        </w:rPr>
        <w:t>に開かれた</w:t>
      </w:r>
      <w:r w:rsidR="00521692" w:rsidRPr="00FD6634">
        <w:rPr>
          <w:rFonts w:hAnsi="游ゴシック" w:hint="eastAsia"/>
        </w:rPr>
        <w:t>取締役会</w:t>
      </w:r>
      <w:r w:rsidR="00521692">
        <w:rPr>
          <w:rFonts w:hAnsi="游ゴシック" w:hint="eastAsia"/>
        </w:rPr>
        <w:t>で</w:t>
      </w:r>
      <w:r w:rsidR="00521692" w:rsidRPr="00FD6634">
        <w:rPr>
          <w:rFonts w:hAnsi="游ゴシック" w:hint="eastAsia"/>
        </w:rPr>
        <w:t>現経営陣が退陣し、新たな経営陣が就任する</w:t>
      </w:r>
      <w:r w:rsidR="00521692">
        <w:rPr>
          <w:rFonts w:hAnsi="游ゴシック" w:hint="eastAsia"/>
        </w:rPr>
        <w:t>こととなった</w:t>
      </w:r>
      <w:r w:rsidR="00521692" w:rsidRPr="00FD6634">
        <w:rPr>
          <w:rFonts w:hAnsi="游ゴシック" w:hint="eastAsia"/>
        </w:rPr>
        <w:t>。</w:t>
      </w:r>
      <w:r w:rsidR="00C92148">
        <w:rPr>
          <w:rFonts w:hAnsi="游ゴシック" w:hint="eastAsia"/>
        </w:rPr>
        <w:t>曙ブレーキ工業の新社長に就任する宮地康弘氏は</w:t>
      </w:r>
      <w:r w:rsidR="008E255F" w:rsidRPr="008E255F">
        <w:rPr>
          <w:rFonts w:hAnsi="游ゴシック" w:hint="eastAsia"/>
        </w:rPr>
        <w:t>自動車機器（現ボッシュ）入社</w:t>
      </w:r>
      <w:r w:rsidR="008E255F">
        <w:rPr>
          <w:rFonts w:hAnsi="游ゴシック" w:hint="eastAsia"/>
        </w:rPr>
        <w:t>後、</w:t>
      </w:r>
      <w:r w:rsidR="008E255F" w:rsidRPr="008E255F">
        <w:rPr>
          <w:rFonts w:hAnsi="游ゴシック" w:hint="eastAsia"/>
        </w:rPr>
        <w:t>ボッシュ執行役員</w:t>
      </w:r>
      <w:r w:rsidR="008E255F">
        <w:rPr>
          <w:rFonts w:hAnsi="游ゴシック" w:hint="eastAsia"/>
        </w:rPr>
        <w:t>(その後</w:t>
      </w:r>
      <w:r w:rsidR="008E255F" w:rsidRPr="008E255F">
        <w:rPr>
          <w:rFonts w:hAnsi="游ゴシック" w:hint="eastAsia"/>
        </w:rPr>
        <w:t>専務執行役員</w:t>
      </w:r>
      <w:r w:rsidR="008E255F">
        <w:rPr>
          <w:rFonts w:hAnsi="游ゴシック" w:hint="eastAsia"/>
        </w:rPr>
        <w:t>)、</w:t>
      </w:r>
      <w:r w:rsidR="008E255F" w:rsidRPr="008E255F">
        <w:rPr>
          <w:rFonts w:hAnsi="游ゴシック" w:hint="eastAsia"/>
        </w:rPr>
        <w:t>日本電産常務執行役員</w:t>
      </w:r>
      <w:r w:rsidR="008E255F">
        <w:rPr>
          <w:rFonts w:hAnsi="游ゴシック" w:hint="eastAsia"/>
        </w:rPr>
        <w:t>を歴任したいわゆるプロ経営者であり自動車部品、ブレーキについて造詣が深い</w:t>
      </w:r>
      <w:r w:rsidR="00521692">
        <w:rPr>
          <w:rFonts w:hAnsi="游ゴシック" w:hint="eastAsia"/>
        </w:rPr>
        <w:t>人物である。今後、立て直しへの手腕が試されることとなると考える。</w:t>
      </w:r>
    </w:p>
    <w:p w:rsidR="008E255F" w:rsidRDefault="008E255F" w:rsidP="00936EE1">
      <w:pPr>
        <w:jc w:val="left"/>
        <w:rPr>
          <w:rFonts w:hAnsi="游ゴシック"/>
        </w:rPr>
      </w:pPr>
    </w:p>
    <w:p w:rsidR="00521692" w:rsidRDefault="00521692" w:rsidP="00936EE1">
      <w:pPr>
        <w:jc w:val="left"/>
        <w:rPr>
          <w:rFonts w:hAnsi="游ゴシック"/>
        </w:rPr>
      </w:pPr>
    </w:p>
    <w:p w:rsidR="00521692" w:rsidRDefault="00521692" w:rsidP="00936EE1">
      <w:pPr>
        <w:jc w:val="left"/>
        <w:rPr>
          <w:rFonts w:hAnsi="游ゴシック"/>
        </w:rPr>
      </w:pPr>
    </w:p>
    <w:p w:rsidR="00521692" w:rsidRPr="008E255F" w:rsidRDefault="00521692" w:rsidP="00936EE1">
      <w:pPr>
        <w:jc w:val="left"/>
        <w:rPr>
          <w:rFonts w:hAnsi="游ゴシック" w:hint="eastAsia"/>
        </w:rPr>
      </w:pPr>
    </w:p>
    <w:p w:rsidR="00936EE1" w:rsidRDefault="00936EE1" w:rsidP="00936EE1">
      <w:pPr>
        <w:jc w:val="left"/>
        <w:rPr>
          <w:rFonts w:hAnsi="游ゴシック"/>
        </w:rPr>
      </w:pPr>
      <w:r>
        <w:rPr>
          <w:rFonts w:hAnsi="游ゴシック" w:hint="eastAsia"/>
        </w:rPr>
        <w:lastRenderedPageBreak/>
        <w:t>続いて曙ブレーキ工業が適用した事業再生ADRについてみていく。</w:t>
      </w:r>
    </w:p>
    <w:p w:rsidR="00EE5582" w:rsidRDefault="007718E3" w:rsidP="007718E3">
      <w:pPr>
        <w:jc w:val="left"/>
        <w:rPr>
          <w:rFonts w:hAnsi="游ゴシック"/>
        </w:rPr>
      </w:pPr>
      <w:r w:rsidRPr="007718E3">
        <w:rPr>
          <w:rFonts w:hAnsi="游ゴシック" w:hint="eastAsia"/>
        </w:rPr>
        <w:t>事業再生ADRは、ADR手続の一種であり、「過剰債務に悩む企業」の問題を解決するため、平成19年度産業活力再生特別措置法（産活法）の改正により創設され、平成25年度産業競争力強化法（以下、「強化法」という。）第51条乃至第60条）により引き継がれた制度です。</w:t>
      </w:r>
      <w:r w:rsidR="00374800">
        <w:rPr>
          <w:rFonts w:hAnsi="游ゴシック" w:hint="eastAsia"/>
        </w:rPr>
        <w:t xml:space="preserve"> </w:t>
      </w:r>
      <w:r w:rsidR="00EE5582">
        <w:rPr>
          <w:rFonts w:hAnsi="游ゴシック" w:hint="eastAsia"/>
        </w:rPr>
        <w:t>(</w:t>
      </w:r>
      <w:r>
        <w:rPr>
          <w:rFonts w:hAnsi="游ゴシック" w:hint="eastAsia"/>
        </w:rPr>
        <w:t>一般社団法人事業再生実務家協会HP</w:t>
      </w:r>
      <w:r w:rsidR="00EE5582">
        <w:rPr>
          <w:rFonts w:hAnsi="游ゴシック" w:hint="eastAsia"/>
        </w:rPr>
        <w:t>より)</w:t>
      </w:r>
    </w:p>
    <w:p w:rsidR="007718E3" w:rsidRDefault="007718E3" w:rsidP="007718E3">
      <w:pPr>
        <w:jc w:val="left"/>
        <w:rPr>
          <w:rFonts w:hAnsi="游ゴシック"/>
        </w:rPr>
      </w:pPr>
    </w:p>
    <w:p w:rsidR="0096296C" w:rsidRDefault="00147426" w:rsidP="00936EE1">
      <w:pPr>
        <w:jc w:val="left"/>
        <w:rPr>
          <w:rFonts w:hAnsi="游ゴシック"/>
        </w:rPr>
      </w:pPr>
      <w:r>
        <w:rPr>
          <w:rFonts w:hAnsi="游ゴシック" w:hint="eastAsia"/>
        </w:rPr>
        <w:t>事業再生ADR</w:t>
      </w:r>
      <w:r w:rsidR="008D34EF">
        <w:rPr>
          <w:rFonts w:hAnsi="游ゴシック" w:hint="eastAsia"/>
        </w:rPr>
        <w:t>制度の特徴や長所について知るためには</w:t>
      </w:r>
      <w:r>
        <w:rPr>
          <w:rFonts w:hAnsi="游ゴシック" w:hint="eastAsia"/>
        </w:rPr>
        <w:t>、まず</w:t>
      </w:r>
      <w:r w:rsidR="008D34EF">
        <w:rPr>
          <w:rFonts w:hAnsi="游ゴシック" w:hint="eastAsia"/>
        </w:rPr>
        <w:t>経営が</w:t>
      </w:r>
      <w:r>
        <w:rPr>
          <w:rFonts w:hAnsi="游ゴシック" w:hint="eastAsia"/>
        </w:rPr>
        <w:t>破綻した企業が選択できる</w:t>
      </w:r>
      <w:r w:rsidR="008D34EF">
        <w:rPr>
          <w:rFonts w:hAnsi="游ゴシック" w:hint="eastAsia"/>
        </w:rPr>
        <w:t>既存の</w:t>
      </w:r>
      <w:r>
        <w:rPr>
          <w:rFonts w:hAnsi="游ゴシック" w:hint="eastAsia"/>
        </w:rPr>
        <w:t>債権整理手続きについて</w:t>
      </w:r>
      <w:r w:rsidR="00EE5582">
        <w:rPr>
          <w:rFonts w:hAnsi="游ゴシック" w:hint="eastAsia"/>
        </w:rPr>
        <w:t>触れる必要がある。</w:t>
      </w:r>
    </w:p>
    <w:p w:rsidR="001B3CD3" w:rsidRDefault="0054328D" w:rsidP="00936EE1">
      <w:pPr>
        <w:jc w:val="left"/>
        <w:rPr>
          <w:rFonts w:hAnsi="游ゴシック"/>
        </w:rPr>
      </w:pPr>
      <w:r>
        <w:rPr>
          <w:rFonts w:hAnsi="游ゴシック" w:hint="eastAsia"/>
        </w:rPr>
        <w:t>参考までに、</w:t>
      </w:r>
      <w:r w:rsidR="004D76F2">
        <w:rPr>
          <w:rFonts w:hAnsi="游ゴシック" w:hint="eastAsia"/>
        </w:rPr>
        <w:t>経営の破綻</w:t>
      </w:r>
      <w:r w:rsidR="004D76F2">
        <w:rPr>
          <w:rFonts w:hAnsi="游ゴシック"/>
        </w:rPr>
        <w:t>(</w:t>
      </w:r>
      <w:r w:rsidR="004D76F2">
        <w:rPr>
          <w:rFonts w:hAnsi="游ゴシック" w:hint="eastAsia"/>
        </w:rPr>
        <w:t>倒産)という言葉は専門用語のような語感をもっているが、それ自体は法律用語でも経済・経営用語でもなく、企業が経営に行き詰まっていて</w:t>
      </w:r>
      <w:r w:rsidR="001B3CD3" w:rsidRPr="001B3CD3">
        <w:rPr>
          <w:rFonts w:hAnsi="游ゴシック" w:hint="eastAsia"/>
        </w:rPr>
        <w:t>弁済しなければならない債務が弁済できなくなった状態</w:t>
      </w:r>
      <w:r w:rsidR="001B3CD3">
        <w:rPr>
          <w:rFonts w:hAnsi="游ゴシック" w:hint="eastAsia"/>
        </w:rPr>
        <w:t>を指す</w:t>
      </w:r>
      <w:r w:rsidR="004D76F2">
        <w:rPr>
          <w:rFonts w:hAnsi="游ゴシック" w:hint="eastAsia"/>
        </w:rPr>
        <w:t>一般用語に過ぎない。</w:t>
      </w:r>
    </w:p>
    <w:p w:rsidR="001B3CD3" w:rsidRDefault="0054328D" w:rsidP="00936EE1">
      <w:pPr>
        <w:jc w:val="left"/>
        <w:rPr>
          <w:rFonts w:hAnsi="游ゴシック"/>
        </w:rPr>
      </w:pPr>
      <w:r>
        <w:rPr>
          <w:rFonts w:hAnsi="游ゴシック" w:hint="eastAsia"/>
        </w:rPr>
        <w:t>なお、</w:t>
      </w:r>
      <w:r w:rsidR="004D76F2">
        <w:rPr>
          <w:rFonts w:hAnsi="游ゴシック" w:hint="eastAsia"/>
        </w:rPr>
        <w:t>民間の信用調査会社においては</w:t>
      </w:r>
      <w:r w:rsidR="001B3CD3">
        <w:rPr>
          <w:rFonts w:hAnsi="游ゴシック" w:hint="eastAsia"/>
        </w:rPr>
        <w:t>以下の手続きの申請を行ったり、その状態に陥った</w:t>
      </w:r>
      <w:r w:rsidR="00FB5391">
        <w:rPr>
          <w:rFonts w:hAnsi="游ゴシック" w:hint="eastAsia"/>
        </w:rPr>
        <w:t>りした</w:t>
      </w:r>
      <w:r w:rsidR="001B3CD3">
        <w:rPr>
          <w:rFonts w:hAnsi="游ゴシック" w:hint="eastAsia"/>
        </w:rPr>
        <w:t>会社を倒産として定めている。</w:t>
      </w:r>
    </w:p>
    <w:p w:rsidR="001B3CD3" w:rsidRDefault="001B3CD3" w:rsidP="00936EE1">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1B3CD3" w:rsidRDefault="001B3CD3" w:rsidP="00936EE1">
      <w:pPr>
        <w:jc w:val="left"/>
      </w:pPr>
      <w:r>
        <w:rPr>
          <w:rFonts w:hAnsi="游ゴシック" w:hint="eastAsia"/>
        </w:rPr>
        <w:t>B.</w:t>
      </w:r>
      <w:r w:rsidRPr="001B3CD3">
        <w:t xml:space="preserve"> </w:t>
      </w:r>
      <w:r>
        <w:t>裁判所に特別清算開始を申請する</w:t>
      </w:r>
    </w:p>
    <w:p w:rsidR="001B3CD3" w:rsidRDefault="001B3CD3" w:rsidP="00936EE1">
      <w:pPr>
        <w:jc w:val="left"/>
      </w:pPr>
      <w:r>
        <w:rPr>
          <w:rFonts w:hint="eastAsia"/>
        </w:rPr>
        <w:t>C.</w:t>
      </w:r>
      <w:r w:rsidRPr="001B3CD3">
        <w:t xml:space="preserve"> </w:t>
      </w:r>
      <w:r>
        <w:t>裁判所に民事再生手続開始を申請する</w:t>
      </w:r>
    </w:p>
    <w:p w:rsidR="001B3CD3" w:rsidRDefault="001B3CD3" w:rsidP="00936EE1">
      <w:pPr>
        <w:jc w:val="left"/>
      </w:pPr>
      <w:r>
        <w:rPr>
          <w:rFonts w:hint="eastAsia"/>
        </w:rPr>
        <w:t>D.</w:t>
      </w:r>
      <w:r w:rsidRPr="001B3CD3">
        <w:t xml:space="preserve"> </w:t>
      </w:r>
      <w:r>
        <w:t>裁判所に会社更生手続開始を申請する</w:t>
      </w:r>
    </w:p>
    <w:p w:rsidR="001B3CD3" w:rsidRDefault="001B3CD3" w:rsidP="00936EE1">
      <w:pPr>
        <w:jc w:val="left"/>
      </w:pPr>
      <w:r>
        <w:rPr>
          <w:rFonts w:hint="eastAsia"/>
        </w:rPr>
        <w:t>E.</w:t>
      </w:r>
      <w:r w:rsidRPr="001B3CD3">
        <w:t xml:space="preserve"> </w:t>
      </w:r>
      <w:r>
        <w:t>内整理する（代表が倒産を認めた時）</w:t>
      </w:r>
    </w:p>
    <w:p w:rsidR="00AA1CED" w:rsidRDefault="001B3CD3" w:rsidP="00936EE1">
      <w:pPr>
        <w:jc w:val="left"/>
      </w:pPr>
      <w:r>
        <w:rPr>
          <w:rFonts w:hint="eastAsia"/>
        </w:rPr>
        <w:t>F</w:t>
      </w:r>
      <w:r>
        <w:t>.</w:t>
      </w:r>
      <w:r w:rsidRPr="001B3CD3">
        <w:t xml:space="preserve"> </w:t>
      </w:r>
      <w:r>
        <w:t>銀行取引停止処分を受ける</w:t>
      </w:r>
    </w:p>
    <w:p w:rsidR="00374800" w:rsidRDefault="0054328D" w:rsidP="0077243B">
      <w:r>
        <w:rPr>
          <w:rFonts w:hint="eastAsia"/>
        </w:rPr>
        <w:t>これらが一般に企業が経営の破綻に至った際に選択する手段である。</w:t>
      </w:r>
      <w:r w:rsidR="00DA13C1">
        <w:rPr>
          <w:rFonts w:hint="eastAsia"/>
        </w:rPr>
        <w:t>(図14参照)</w:t>
      </w:r>
      <w:r>
        <w:rPr>
          <w:rFonts w:hint="eastAsia"/>
        </w:rPr>
        <w:t>これらの手段はまず、手続きの過程</w:t>
      </w:r>
      <w:r w:rsidR="0073689F">
        <w:rPr>
          <w:rFonts w:hint="eastAsia"/>
        </w:rPr>
        <w:t>で</w:t>
      </w:r>
      <w:r>
        <w:rPr>
          <w:rFonts w:hint="eastAsia"/>
        </w:rPr>
        <w:t>裁判所を介して行うかどうかで法的倒産と私的倒産に分けられる。</w:t>
      </w:r>
      <w:r w:rsidR="00DA13C1">
        <w:rPr>
          <w:rFonts w:hint="eastAsia"/>
        </w:rPr>
        <w:t>まず裁判所を介して手続きを行う法的倒産では</w:t>
      </w:r>
      <w:r w:rsidR="001B3CD3">
        <w:rPr>
          <w:rFonts w:hint="eastAsia"/>
        </w:rPr>
        <w:t>会社を清算(消滅)させる清算型</w:t>
      </w:r>
      <w:r>
        <w:rPr>
          <w:rFonts w:hint="eastAsia"/>
        </w:rPr>
        <w:t>の破産、特別清算手続き</w:t>
      </w:r>
      <w:r w:rsidR="001B3CD3">
        <w:rPr>
          <w:rFonts w:hint="eastAsia"/>
        </w:rPr>
        <w:t>と事業を継続しながら債務の弁済を目指す</w:t>
      </w:r>
      <w:r w:rsidR="00FB5391">
        <w:rPr>
          <w:rFonts w:hint="eastAsia"/>
        </w:rPr>
        <w:t>再建</w:t>
      </w:r>
      <w:r w:rsidR="001B3CD3">
        <w:rPr>
          <w:rFonts w:hint="eastAsia"/>
        </w:rPr>
        <w:t>型</w:t>
      </w:r>
      <w:r>
        <w:rPr>
          <w:rFonts w:hint="eastAsia"/>
        </w:rPr>
        <w:t>の民事再生、会社更生手続きとに</w:t>
      </w:r>
      <w:r w:rsidR="001B3CD3">
        <w:rPr>
          <w:rFonts w:hint="eastAsia"/>
        </w:rPr>
        <w:t>分けられ</w:t>
      </w:r>
      <w:r>
        <w:rPr>
          <w:rFonts w:hint="eastAsia"/>
        </w:rPr>
        <w:t>る。</w:t>
      </w:r>
      <w:r w:rsidR="00DA13C1">
        <w:rPr>
          <w:rFonts w:hint="eastAsia"/>
        </w:rPr>
        <w:t>このように</w:t>
      </w:r>
      <w:r w:rsidR="007718E3">
        <w:rPr>
          <w:rFonts w:hint="eastAsia"/>
        </w:rPr>
        <w:t>会社を消滅させる清算型の手続きと存続させる再建型の手続き</w:t>
      </w:r>
      <w:r w:rsidR="00DA13C1">
        <w:rPr>
          <w:rFonts w:hint="eastAsia"/>
        </w:rPr>
        <w:t>とで</w:t>
      </w:r>
      <w:r w:rsidR="007718E3">
        <w:rPr>
          <w:rFonts w:hint="eastAsia"/>
        </w:rPr>
        <w:t>は全く反対</w:t>
      </w:r>
      <w:r w:rsidR="00374800">
        <w:rPr>
          <w:rFonts w:hint="eastAsia"/>
        </w:rPr>
        <w:t>性質を持</w:t>
      </w:r>
      <w:r w:rsidR="00DA13C1">
        <w:rPr>
          <w:rFonts w:hint="eastAsia"/>
        </w:rPr>
        <w:t>つ。次に、裁判所を介さず企業と債権者との話し合いによって再建整理を進める方法としては、</w:t>
      </w:r>
      <w:r w:rsidR="00307A02">
        <w:rPr>
          <w:rFonts w:hint="eastAsia"/>
        </w:rPr>
        <w:t>私的倒産私的整理と銀行取引停止処分に分けられ</w:t>
      </w:r>
      <w:r w:rsidR="00374800">
        <w:rPr>
          <w:rFonts w:hint="eastAsia"/>
        </w:rPr>
        <w:t>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AA1CED">
      <w:pPr>
        <w:jc w:val="left"/>
        <w:rPr>
          <w:rFonts w:hAnsi="游ゴシック"/>
        </w:rPr>
      </w:pPr>
      <w:r>
        <w:rPr>
          <w:rFonts w:hAnsi="游ゴシック"/>
          <w:noProof/>
        </w:rPr>
        <w:lastRenderedPageBreak/>
        <w:drawing>
          <wp:inline distT="0" distB="0" distL="0" distR="0" wp14:anchorId="60A31D8D" wp14:editId="6CB18DCD">
            <wp:extent cx="5374618" cy="5014942"/>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8569" cy="5027959"/>
                    </a:xfrm>
                    <a:prstGeom prst="rect">
                      <a:avLst/>
                    </a:prstGeom>
                    <a:noFill/>
                    <a:ln>
                      <a:noFill/>
                    </a:ln>
                  </pic:spPr>
                </pic:pic>
              </a:graphicData>
            </a:graphic>
          </wp:inline>
        </w:drawing>
      </w:r>
    </w:p>
    <w:p w:rsidR="00AA1CED" w:rsidRPr="006F1F65" w:rsidRDefault="00AA1CED" w:rsidP="00AA1CED">
      <w:pPr>
        <w:jc w:val="left"/>
        <w:rPr>
          <w:rFonts w:hAnsi="游ゴシック"/>
        </w:rPr>
      </w:pPr>
      <w:r>
        <w:rPr>
          <w:rFonts w:hAnsi="游ゴシック" w:hint="eastAsia"/>
        </w:rPr>
        <w:t>図1</w:t>
      </w:r>
      <w:r>
        <w:rPr>
          <w:rFonts w:hAnsi="游ゴシック"/>
        </w:rPr>
        <w:t>4.</w:t>
      </w:r>
      <w:r>
        <w:rPr>
          <w:rFonts w:hAnsi="游ゴシック" w:hint="eastAsia"/>
        </w:rPr>
        <w:t>倒産の分類</w:t>
      </w:r>
    </w:p>
    <w:p w:rsidR="00AA1CED" w:rsidRDefault="00AA1CED" w:rsidP="0077243B"/>
    <w:p w:rsidR="00AA1CED" w:rsidRDefault="008E363B" w:rsidP="0077243B">
      <w:r>
        <w:rPr>
          <w:rFonts w:hint="eastAsia"/>
        </w:rPr>
        <w:t>本研究で取り上げる</w:t>
      </w:r>
      <w:r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つまり事業再生ADR制度は事業を継続(再建)しながら債務の弁済を目指す再建型の手続きの性質をもつ私的整理である事がわかる。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r>
        <w:rPr>
          <w:rFonts w:hint="eastAsia"/>
        </w:rPr>
        <w:lastRenderedPageBreak/>
        <w:t>ここからは、事業再生ADRの特徴を詳しく見ていく。まず、事業再生ADR制度の成り立ちをみるために従来の私的整理と再建型の法的倒産手続きを取った場合の特徴や類似点と相違点を整理する。</w:t>
      </w:r>
    </w:p>
    <w:tbl>
      <w:tblPr>
        <w:tblStyle w:val="a4"/>
        <w:tblW w:w="0" w:type="auto"/>
        <w:tblLook w:val="04A0" w:firstRow="1" w:lastRow="0" w:firstColumn="1" w:lastColumn="0" w:noHBand="0" w:noVBand="1"/>
      </w:tblPr>
      <w:tblGrid>
        <w:gridCol w:w="1980"/>
        <w:gridCol w:w="2977"/>
        <w:gridCol w:w="3537"/>
      </w:tblGrid>
      <w:tr w:rsidR="001075AA" w:rsidTr="003936E1">
        <w:tc>
          <w:tcPr>
            <w:tcW w:w="1980" w:type="dxa"/>
          </w:tcPr>
          <w:p w:rsidR="001075AA" w:rsidRDefault="001075AA" w:rsidP="0077243B"/>
        </w:tc>
        <w:tc>
          <w:tcPr>
            <w:tcW w:w="2977" w:type="dxa"/>
          </w:tcPr>
          <w:p w:rsidR="009C5E2B" w:rsidRDefault="00105DA9" w:rsidP="0077243B">
            <w:r>
              <w:rPr>
                <w:rFonts w:hint="eastAsia"/>
              </w:rPr>
              <w:t>純粋な</w:t>
            </w:r>
            <w:r w:rsidR="001075AA">
              <w:rPr>
                <w:rFonts w:hint="eastAsia"/>
              </w:rPr>
              <w:t>私的</w:t>
            </w:r>
            <w:r w:rsidR="00AA1CED">
              <w:rPr>
                <w:rFonts w:hint="eastAsia"/>
              </w:rPr>
              <w:t>倒産</w:t>
            </w:r>
            <w:r w:rsidR="009C5E2B">
              <w:rPr>
                <w:rFonts w:hint="eastAsia"/>
              </w:rPr>
              <w:t>(整理)</w:t>
            </w:r>
          </w:p>
          <w:p w:rsidR="001075AA" w:rsidRDefault="00AA1CED" w:rsidP="0077243B">
            <w:r>
              <w:rPr>
                <w:rFonts w:hint="eastAsia"/>
              </w:rPr>
              <w:t>(私的整理)</w:t>
            </w:r>
          </w:p>
        </w:tc>
        <w:tc>
          <w:tcPr>
            <w:tcW w:w="3537" w:type="dxa"/>
          </w:tcPr>
          <w:p w:rsidR="009C5E2B" w:rsidRDefault="001075AA" w:rsidP="0077243B">
            <w:r>
              <w:rPr>
                <w:rFonts w:hint="eastAsia"/>
              </w:rPr>
              <w:t>法的</w:t>
            </w:r>
            <w:r w:rsidR="00AA1CED">
              <w:rPr>
                <w:rFonts w:hint="eastAsia"/>
              </w:rPr>
              <w:t>倒産</w:t>
            </w:r>
            <w:r w:rsidR="009C5E2B">
              <w:rPr>
                <w:rFonts w:hint="eastAsia"/>
              </w:rPr>
              <w:t>(整理)</w:t>
            </w:r>
          </w:p>
          <w:p w:rsidR="001075AA" w:rsidRDefault="001075AA" w:rsidP="0077243B">
            <w:r>
              <w:rPr>
                <w:rFonts w:hint="eastAsia"/>
              </w:rPr>
              <w:t>(民事再生・会社更生)</w:t>
            </w:r>
          </w:p>
        </w:tc>
      </w:tr>
      <w:tr w:rsidR="00C13113" w:rsidTr="003936E1">
        <w:tc>
          <w:tcPr>
            <w:tcW w:w="1980" w:type="dxa"/>
          </w:tcPr>
          <w:p w:rsidR="00C13113" w:rsidRDefault="00C13113" w:rsidP="0077243B">
            <w:r>
              <w:rPr>
                <w:rFonts w:hint="eastAsia"/>
              </w:rPr>
              <w:t>対象となる債務</w:t>
            </w:r>
          </w:p>
        </w:tc>
        <w:tc>
          <w:tcPr>
            <w:tcW w:w="2977" w:type="dxa"/>
          </w:tcPr>
          <w:p w:rsidR="00C13113" w:rsidRDefault="00C13113" w:rsidP="0077243B">
            <w:r>
              <w:rPr>
                <w:rFonts w:hint="eastAsia"/>
              </w:rPr>
              <w:t>主に金融債務</w:t>
            </w:r>
          </w:p>
        </w:tc>
        <w:tc>
          <w:tcPr>
            <w:tcW w:w="3537" w:type="dxa"/>
          </w:tcPr>
          <w:p w:rsidR="00C13113" w:rsidRDefault="00C13113" w:rsidP="0077243B">
            <w:r>
              <w:rPr>
                <w:rFonts w:hint="eastAsia"/>
              </w:rPr>
              <w:t>すべての債務(金融債務・事業債務・商取引債務)</w:t>
            </w:r>
          </w:p>
        </w:tc>
      </w:tr>
      <w:tr w:rsidR="001075AA" w:rsidTr="003936E1">
        <w:tc>
          <w:tcPr>
            <w:tcW w:w="1980" w:type="dxa"/>
          </w:tcPr>
          <w:p w:rsidR="001075AA" w:rsidRDefault="00D24201" w:rsidP="0077243B">
            <w:r>
              <w:rPr>
                <w:rFonts w:hint="eastAsia"/>
              </w:rPr>
              <w:t>手続き</w:t>
            </w:r>
            <w:r w:rsidR="003936E1">
              <w:rPr>
                <w:rFonts w:hint="eastAsia"/>
              </w:rPr>
              <w:t>の方法</w:t>
            </w:r>
          </w:p>
        </w:tc>
        <w:tc>
          <w:tcPr>
            <w:tcW w:w="2977" w:type="dxa"/>
          </w:tcPr>
          <w:p w:rsidR="001075AA" w:rsidRDefault="003936E1" w:rsidP="0077243B">
            <w:r>
              <w:rPr>
                <w:rFonts w:hint="eastAsia"/>
              </w:rPr>
              <w:t>会社と金融機関の交渉</w:t>
            </w:r>
          </w:p>
        </w:tc>
        <w:tc>
          <w:tcPr>
            <w:tcW w:w="3537" w:type="dxa"/>
          </w:tcPr>
          <w:p w:rsidR="001075AA" w:rsidRDefault="003936E1" w:rsidP="0077243B">
            <w:r>
              <w:rPr>
                <w:rFonts w:hint="eastAsia"/>
              </w:rPr>
              <w:t>裁判所が関与</w:t>
            </w:r>
          </w:p>
        </w:tc>
      </w:tr>
      <w:tr w:rsidR="003936E1" w:rsidTr="003936E1">
        <w:tc>
          <w:tcPr>
            <w:tcW w:w="1980" w:type="dxa"/>
          </w:tcPr>
          <w:p w:rsidR="003936E1" w:rsidRDefault="00105DA9" w:rsidP="0077243B">
            <w:r>
              <w:rPr>
                <w:rFonts w:hint="eastAsia"/>
              </w:rPr>
              <w:t>情報公開</w:t>
            </w:r>
          </w:p>
        </w:tc>
        <w:tc>
          <w:tcPr>
            <w:tcW w:w="2977" w:type="dxa"/>
          </w:tcPr>
          <w:p w:rsidR="003936E1" w:rsidRDefault="003936E1" w:rsidP="0077243B">
            <w:r>
              <w:rPr>
                <w:rFonts w:hint="eastAsia"/>
              </w:rPr>
              <w:t>非公表</w:t>
            </w:r>
          </w:p>
        </w:tc>
        <w:tc>
          <w:tcPr>
            <w:tcW w:w="3537" w:type="dxa"/>
          </w:tcPr>
          <w:p w:rsidR="003936E1" w:rsidRDefault="003936E1" w:rsidP="0077243B">
            <w:r>
              <w:rPr>
                <w:rFonts w:hint="eastAsia"/>
              </w:rPr>
              <w:t>公表</w:t>
            </w:r>
          </w:p>
        </w:tc>
      </w:tr>
      <w:tr w:rsidR="00AA1CED" w:rsidTr="003936E1">
        <w:tc>
          <w:tcPr>
            <w:tcW w:w="1980" w:type="dxa"/>
          </w:tcPr>
          <w:p w:rsidR="00AA1CED" w:rsidRDefault="00AA1CED" w:rsidP="0077243B">
            <w:r>
              <w:rPr>
                <w:rFonts w:hint="eastAsia"/>
              </w:rPr>
              <w:t>メリット</w:t>
            </w:r>
          </w:p>
        </w:tc>
        <w:tc>
          <w:tcPr>
            <w:tcW w:w="2977" w:type="dxa"/>
          </w:tcPr>
          <w:p w:rsidR="00AA1CED" w:rsidRDefault="00AA1CED" w:rsidP="0077243B">
            <w:r>
              <w:rPr>
                <w:rFonts w:hint="eastAsia"/>
              </w:rPr>
              <w:t>柔軟性、迅速性</w:t>
            </w:r>
          </w:p>
          <w:p w:rsidR="00AA1CED" w:rsidRDefault="00AA1CED" w:rsidP="0077243B">
            <w:r>
              <w:rPr>
                <w:rFonts w:hint="eastAsia"/>
              </w:rPr>
              <w:t>商取引の継続</w:t>
            </w:r>
          </w:p>
        </w:tc>
        <w:tc>
          <w:tcPr>
            <w:tcW w:w="3537" w:type="dxa"/>
          </w:tcPr>
          <w:p w:rsidR="00AA1CED" w:rsidRDefault="00AA1CED" w:rsidP="0077243B">
            <w:r>
              <w:rPr>
                <w:rFonts w:hint="eastAsia"/>
              </w:rPr>
              <w:t>手続きの安定性</w:t>
            </w:r>
          </w:p>
          <w:p w:rsidR="00AA1CED" w:rsidRDefault="00AA1CED" w:rsidP="0077243B">
            <w:r>
              <w:rPr>
                <w:rFonts w:hint="eastAsia"/>
              </w:rPr>
              <w:t>債権者間の公平性</w:t>
            </w:r>
          </w:p>
        </w:tc>
      </w:tr>
      <w:tr w:rsidR="003936E1" w:rsidTr="003936E1">
        <w:tc>
          <w:tcPr>
            <w:tcW w:w="1980" w:type="dxa"/>
          </w:tcPr>
          <w:p w:rsidR="003936E1" w:rsidRDefault="003936E1" w:rsidP="0077243B">
            <w:r>
              <w:rPr>
                <w:rFonts w:hint="eastAsia"/>
              </w:rPr>
              <w:t>デメリット</w:t>
            </w:r>
          </w:p>
        </w:tc>
        <w:tc>
          <w:tcPr>
            <w:tcW w:w="2977" w:type="dxa"/>
          </w:tcPr>
          <w:p w:rsidR="003936E1" w:rsidRDefault="003936E1" w:rsidP="0077243B">
            <w:r>
              <w:rPr>
                <w:rFonts w:hint="eastAsia"/>
              </w:rPr>
              <w:t>手続きの不安定性</w:t>
            </w:r>
          </w:p>
        </w:tc>
        <w:tc>
          <w:tcPr>
            <w:tcW w:w="3537" w:type="dxa"/>
          </w:tcPr>
          <w:p w:rsidR="003936E1" w:rsidRDefault="003936E1" w:rsidP="0077243B">
            <w:r>
              <w:rPr>
                <w:rFonts w:hint="eastAsia"/>
              </w:rPr>
              <w:t>事業価値の毀損</w:t>
            </w:r>
          </w:p>
        </w:tc>
      </w:tr>
    </w:tbl>
    <w:p w:rsidR="001075AA" w:rsidRDefault="00C13113" w:rsidP="0077243B">
      <w:r>
        <w:rPr>
          <w:rFonts w:hint="eastAsia"/>
        </w:rPr>
        <w:t>このように、私的整理においては利害調整(債権放棄や弁済期日の猶予など)</w:t>
      </w:r>
      <w:r w:rsidR="002B01AF">
        <w:rPr>
          <w:rFonts w:hint="eastAsia"/>
        </w:rPr>
        <w:t>と手続き</w:t>
      </w:r>
      <w:r>
        <w:rPr>
          <w:rFonts w:hint="eastAsia"/>
        </w:rPr>
        <w:t>行う会社と多数の金融機関の当事者間の交渉と合意によって行われる。そのため、ため交渉や手続きは</w:t>
      </w:r>
      <w:r w:rsidR="002B01AF">
        <w:rPr>
          <w:rFonts w:hint="eastAsia"/>
        </w:rPr>
        <w:t>非公表</w:t>
      </w:r>
      <w:r>
        <w:rPr>
          <w:rFonts w:hint="eastAsia"/>
        </w:rPr>
        <w:t>となり手続きは不安定となる。しかし手続きに決まった方法がなく交渉と合意により整理が進むため、対象となる債務の範囲や額を自由に決めることができる柔軟性や</w:t>
      </w:r>
      <w:r w:rsidR="002B01AF">
        <w:rPr>
          <w:rFonts w:hint="eastAsia"/>
        </w:rPr>
        <w:t>比較的迅速に債務を整理できるというメリットがある。</w:t>
      </w:r>
    </w:p>
    <w:p w:rsidR="002F1271" w:rsidRDefault="002B01AF" w:rsidP="0077243B">
      <w:r>
        <w:rPr>
          <w:rFonts w:hint="eastAsia"/>
        </w:rPr>
        <w:t>一方、法的倒産においては裁判所が関与して全ての債務を対象にして利害調整が行われ</w:t>
      </w:r>
      <w:r w:rsidR="00DD6AAA">
        <w:rPr>
          <w:rFonts w:hint="eastAsia"/>
        </w:rPr>
        <w:t>、事業再生計画に含まれ</w:t>
      </w:r>
      <w:r w:rsidR="007845BB">
        <w:rPr>
          <w:rFonts w:hint="eastAsia"/>
        </w:rPr>
        <w:t>る</w:t>
      </w:r>
      <w:r w:rsidR="00DD6AAA">
        <w:rPr>
          <w:rFonts w:hint="eastAsia"/>
        </w:rPr>
        <w:t>返済計画や弁済期日の猶予は法的拘束力を持つ</w:t>
      </w:r>
      <w:r>
        <w:rPr>
          <w:rFonts w:hint="eastAsia"/>
        </w:rPr>
        <w:t>。そのため、手続きの安定性や債権者間の公平性は高いと言える。しかしながら、全ての債務を対象とするために会社財産の査定や債権放棄の割合などの決定に比較的長い期間を要す上、債権者集会</w:t>
      </w:r>
      <w:r w:rsidR="007845BB">
        <w:rPr>
          <w:rFonts w:hint="eastAsia"/>
        </w:rPr>
        <w:t>で再生計画案に反対が多いときには手続きが思うように進まない場合がある。</w:t>
      </w:r>
      <w:r>
        <w:rPr>
          <w:rFonts w:hint="eastAsia"/>
        </w:rPr>
        <w:t>また、</w:t>
      </w:r>
      <w:r w:rsidR="007845BB">
        <w:rPr>
          <w:rFonts w:hint="eastAsia"/>
        </w:rPr>
        <w:t>全ての債務を対象とすることから</w:t>
      </w:r>
      <w:r>
        <w:rPr>
          <w:rFonts w:hint="eastAsia"/>
        </w:rPr>
        <w:t>手続き開始時(会社財産の保全がなされた時)から手続きを行う会社</w:t>
      </w:r>
      <w:r w:rsidR="007845BB">
        <w:rPr>
          <w:rFonts w:hint="eastAsia"/>
        </w:rPr>
        <w:t>では、</w:t>
      </w:r>
      <w:r>
        <w:rPr>
          <w:rFonts w:hint="eastAsia"/>
        </w:rPr>
        <w:t>商取引</w:t>
      </w:r>
      <w:r w:rsidR="007845BB">
        <w:rPr>
          <w:rFonts w:hint="eastAsia"/>
        </w:rPr>
        <w:t>債務(買掛金)の支払いさえもできなくなり取引先に多大な迷惑をかけることとな</w:t>
      </w:r>
      <w:r w:rsidR="00DD6AAA">
        <w:rPr>
          <w:rFonts w:hint="eastAsia"/>
        </w:rPr>
        <w:t>り、</w:t>
      </w:r>
      <w:r w:rsidR="007845BB">
        <w:rPr>
          <w:rFonts w:hint="eastAsia"/>
        </w:rPr>
        <w:t>例え民事再生手続きや会社更生手続きにより再生や更生が進んだとしても、仕入先の喪失や信用の</w:t>
      </w:r>
      <w:r w:rsidR="00DD6AAA">
        <w:rPr>
          <w:rFonts w:hint="eastAsia"/>
        </w:rPr>
        <w:t>低下により事業の継続が困難となるというデメリットも存在する。</w:t>
      </w:r>
    </w:p>
    <w:p w:rsidR="002F1271" w:rsidRDefault="002F1271" w:rsidP="0077243B">
      <w:r>
        <w:rPr>
          <w:rFonts w:hint="eastAsia"/>
        </w:rPr>
        <w:t>以上が従来の従来の私的整理と再建型の法的倒産の特徴などである。これらの制度を前提とした上で事業再生ADR制度の手続きを見るとその特徴が顕著となる</w:t>
      </w:r>
      <w:r w:rsidR="00D24201">
        <w:rPr>
          <w:rFonts w:hint="eastAsia"/>
        </w:rPr>
        <w:t>。</w:t>
      </w:r>
    </w:p>
    <w:tbl>
      <w:tblPr>
        <w:tblStyle w:val="a4"/>
        <w:tblW w:w="0" w:type="auto"/>
        <w:tblLook w:val="04A0" w:firstRow="1" w:lastRow="0" w:firstColumn="1" w:lastColumn="0" w:noHBand="0" w:noVBand="1"/>
      </w:tblPr>
      <w:tblGrid>
        <w:gridCol w:w="4247"/>
        <w:gridCol w:w="4247"/>
      </w:tblGrid>
      <w:tr w:rsidR="00D24201" w:rsidTr="00D24201">
        <w:tc>
          <w:tcPr>
            <w:tcW w:w="4247" w:type="dxa"/>
          </w:tcPr>
          <w:p w:rsidR="00D24201" w:rsidRDefault="00D24201" w:rsidP="0077243B"/>
        </w:tc>
        <w:tc>
          <w:tcPr>
            <w:tcW w:w="4247" w:type="dxa"/>
          </w:tcPr>
          <w:p w:rsidR="00D24201" w:rsidRDefault="00D24201" w:rsidP="0077243B">
            <w:r>
              <w:rPr>
                <w:rFonts w:hint="eastAsia"/>
              </w:rPr>
              <w:t>事業再生ADR</w:t>
            </w:r>
          </w:p>
        </w:tc>
      </w:tr>
      <w:tr w:rsidR="00D24201" w:rsidTr="00D24201">
        <w:tc>
          <w:tcPr>
            <w:tcW w:w="4247" w:type="dxa"/>
          </w:tcPr>
          <w:p w:rsidR="00D24201" w:rsidRDefault="00D24201" w:rsidP="0077243B">
            <w:r>
              <w:rPr>
                <w:rFonts w:hint="eastAsia"/>
              </w:rPr>
              <w:t>対象となる債務</w:t>
            </w:r>
          </w:p>
        </w:tc>
        <w:tc>
          <w:tcPr>
            <w:tcW w:w="4247" w:type="dxa"/>
          </w:tcPr>
          <w:p w:rsidR="00D24201" w:rsidRDefault="00D24201" w:rsidP="0077243B">
            <w:r>
              <w:rPr>
                <w:rFonts w:hint="eastAsia"/>
              </w:rPr>
              <w:t>主に金融債務</w:t>
            </w:r>
          </w:p>
        </w:tc>
      </w:tr>
      <w:tr w:rsidR="00D24201" w:rsidTr="00D24201">
        <w:tc>
          <w:tcPr>
            <w:tcW w:w="4247" w:type="dxa"/>
          </w:tcPr>
          <w:p w:rsidR="00D24201" w:rsidRDefault="00D24201" w:rsidP="0077243B">
            <w:r>
              <w:rPr>
                <w:rFonts w:hint="eastAsia"/>
              </w:rPr>
              <w:t>手続きの方法</w:t>
            </w:r>
          </w:p>
        </w:tc>
        <w:tc>
          <w:tcPr>
            <w:tcW w:w="4247" w:type="dxa"/>
          </w:tcPr>
          <w:p w:rsidR="00D24201" w:rsidRDefault="00105DA9" w:rsidP="0077243B">
            <w:r>
              <w:rPr>
                <w:rFonts w:hint="eastAsia"/>
              </w:rPr>
              <w:t>認証紛争解決事業者が関与</w:t>
            </w:r>
          </w:p>
        </w:tc>
      </w:tr>
      <w:tr w:rsidR="00105DA9" w:rsidTr="00D24201">
        <w:tc>
          <w:tcPr>
            <w:tcW w:w="4247" w:type="dxa"/>
          </w:tcPr>
          <w:p w:rsidR="00105DA9" w:rsidRDefault="00105DA9" w:rsidP="0077243B"/>
        </w:tc>
        <w:tc>
          <w:tcPr>
            <w:tcW w:w="4247" w:type="dxa"/>
          </w:tcPr>
          <w:p w:rsidR="00105DA9" w:rsidRDefault="00105DA9" w:rsidP="0077243B"/>
        </w:tc>
      </w:tr>
    </w:tbl>
    <w:p w:rsidR="00D24201" w:rsidRDefault="00D24201" w:rsidP="0077243B"/>
    <w:p w:rsidR="00D24201" w:rsidRDefault="00D24201" w:rsidP="0077243B"/>
    <w:p w:rsidR="00D24201" w:rsidRDefault="00D24201" w:rsidP="0077243B"/>
    <w:p w:rsidR="00D24201" w:rsidRPr="002F1271" w:rsidRDefault="00D24201" w:rsidP="0077243B"/>
    <w:tbl>
      <w:tblPr>
        <w:tblStyle w:val="a4"/>
        <w:tblW w:w="8500" w:type="dxa"/>
        <w:tblLook w:val="04A0" w:firstRow="1" w:lastRow="0" w:firstColumn="1" w:lastColumn="0" w:noHBand="0" w:noVBand="1"/>
      </w:tblPr>
      <w:tblGrid>
        <w:gridCol w:w="1722"/>
        <w:gridCol w:w="6778"/>
      </w:tblGrid>
      <w:tr w:rsidR="00ED0B96" w:rsidTr="00F54273">
        <w:tc>
          <w:tcPr>
            <w:tcW w:w="1722" w:type="dxa"/>
          </w:tcPr>
          <w:p w:rsidR="00ED0B96" w:rsidRDefault="00ED0B96" w:rsidP="0077243B"/>
        </w:tc>
        <w:tc>
          <w:tcPr>
            <w:tcW w:w="6778" w:type="dxa"/>
          </w:tcPr>
          <w:p w:rsidR="00ED0B96" w:rsidRDefault="00C308A4" w:rsidP="00D53037">
            <w:pPr>
              <w:jc w:val="center"/>
            </w:pPr>
            <w:r>
              <w:rPr>
                <w:rFonts w:hint="eastAsia"/>
              </w:rPr>
              <w:t>会社</w:t>
            </w:r>
            <w:r w:rsidR="00ED0B96">
              <w:rPr>
                <w:rFonts w:hint="eastAsia"/>
              </w:rPr>
              <w:t>財産や経営の管理</w:t>
            </w:r>
          </w:p>
        </w:tc>
      </w:tr>
      <w:tr w:rsidR="00ED0B96" w:rsidTr="00F54273">
        <w:tc>
          <w:tcPr>
            <w:tcW w:w="1722" w:type="dxa"/>
          </w:tcPr>
          <w:p w:rsidR="00ED0B96" w:rsidRDefault="00ED0B96" w:rsidP="0077243B">
            <w:r>
              <w:rPr>
                <w:rFonts w:hint="eastAsia"/>
              </w:rPr>
              <w:t>民事再生法</w:t>
            </w:r>
          </w:p>
        </w:tc>
        <w:tc>
          <w:tcPr>
            <w:tcW w:w="6778" w:type="dxa"/>
          </w:tcPr>
          <w:p w:rsidR="002A02A9" w:rsidRPr="002A02A9" w:rsidRDefault="002A02A9" w:rsidP="0077243B">
            <w:r>
              <w:rPr>
                <w:rFonts w:hint="eastAsia"/>
              </w:rPr>
              <w:t>原則</w:t>
            </w:r>
            <w:r w:rsidR="000C216F">
              <w:rPr>
                <w:rFonts w:hint="eastAsia"/>
              </w:rPr>
              <w:t>は</w:t>
            </w:r>
            <w:r>
              <w:rPr>
                <w:rFonts w:hint="eastAsia"/>
              </w:rPr>
              <w:t>これまでの経営者が行う</w:t>
            </w:r>
          </w:p>
        </w:tc>
      </w:tr>
      <w:tr w:rsidR="00ED0B96" w:rsidTr="00F54273">
        <w:tc>
          <w:tcPr>
            <w:tcW w:w="1722" w:type="dxa"/>
          </w:tcPr>
          <w:p w:rsidR="00ED0B96" w:rsidRDefault="00ED0B96" w:rsidP="0077243B">
            <w:r>
              <w:rPr>
                <w:rFonts w:hint="eastAsia"/>
              </w:rPr>
              <w:t>会社更生法</w:t>
            </w:r>
          </w:p>
        </w:tc>
        <w:tc>
          <w:tcPr>
            <w:tcW w:w="6778" w:type="dxa"/>
          </w:tcPr>
          <w:p w:rsidR="00ED0B96" w:rsidRDefault="002A02A9" w:rsidP="0077243B">
            <w:r>
              <w:rPr>
                <w:rFonts w:hint="eastAsia"/>
              </w:rPr>
              <w:t>原則</w:t>
            </w:r>
            <w:r w:rsidR="000C216F">
              <w:rPr>
                <w:rFonts w:hint="eastAsia"/>
              </w:rPr>
              <w:t>は</w:t>
            </w:r>
            <w:r>
              <w:rPr>
                <w:rFonts w:hint="eastAsia"/>
              </w:rPr>
              <w:t>裁判所の専任した管財人が行う</w:t>
            </w:r>
            <w:r w:rsidR="005E4AE1">
              <w:rPr>
                <w:rFonts w:hint="eastAsia"/>
              </w:rPr>
              <w:t>(経営者は</w:t>
            </w:r>
            <w:r w:rsidR="000C216F">
              <w:rPr>
                <w:rFonts w:hint="eastAsia"/>
              </w:rPr>
              <w:t>全員退任</w:t>
            </w:r>
            <w:r w:rsidR="005E4AE1">
              <w:rPr>
                <w:rFonts w:hint="eastAsia"/>
              </w:rPr>
              <w:t>)</w:t>
            </w:r>
          </w:p>
        </w:tc>
      </w:tr>
      <w:tr w:rsidR="002A02A9" w:rsidTr="00D53037">
        <w:trPr>
          <w:trHeight w:val="290"/>
        </w:trPr>
        <w:tc>
          <w:tcPr>
            <w:tcW w:w="1722" w:type="dxa"/>
          </w:tcPr>
          <w:p w:rsidR="002A02A9" w:rsidRDefault="002A02A9" w:rsidP="0077243B">
            <w:r>
              <w:rPr>
                <w:rFonts w:hint="eastAsia"/>
              </w:rPr>
              <w:t>事業再生ADR</w:t>
            </w:r>
          </w:p>
        </w:tc>
        <w:tc>
          <w:tcPr>
            <w:tcW w:w="6778" w:type="dxa"/>
            <w:vMerge w:val="restart"/>
          </w:tcPr>
          <w:p w:rsidR="002A02A9" w:rsidRDefault="00D53037" w:rsidP="00D53037">
            <w:pPr>
              <w:spacing w:line="480" w:lineRule="auto"/>
              <w:jc w:val="left"/>
            </w:pPr>
            <w:r>
              <w:rPr>
                <w:rFonts w:hint="eastAsia"/>
              </w:rPr>
              <w:t>原則は</w:t>
            </w:r>
            <w:r w:rsidR="002A02A9">
              <w:rPr>
                <w:rFonts w:hint="eastAsia"/>
              </w:rPr>
              <w:t>これまでの経営者が行</w:t>
            </w:r>
            <w:r>
              <w:rPr>
                <w:rFonts w:hint="eastAsia"/>
              </w:rPr>
              <w:t>う</w:t>
            </w:r>
          </w:p>
        </w:tc>
      </w:tr>
      <w:tr w:rsidR="002A02A9" w:rsidTr="00F54273">
        <w:tc>
          <w:tcPr>
            <w:tcW w:w="1722" w:type="dxa"/>
          </w:tcPr>
          <w:p w:rsidR="002A02A9" w:rsidRDefault="002A02A9" w:rsidP="0077243B">
            <w:r>
              <w:rPr>
                <w:rFonts w:hint="eastAsia"/>
              </w:rPr>
              <w:t>私的整理</w:t>
            </w:r>
          </w:p>
        </w:tc>
        <w:tc>
          <w:tcPr>
            <w:tcW w:w="6778" w:type="dxa"/>
            <w:vMerge/>
          </w:tcPr>
          <w:p w:rsidR="002A02A9" w:rsidRDefault="002A02A9" w:rsidP="0077243B"/>
        </w:tc>
      </w:tr>
    </w:tbl>
    <w:p w:rsidR="008E363B" w:rsidRDefault="008E363B" w:rsidP="0077243B"/>
    <w:tbl>
      <w:tblPr>
        <w:tblStyle w:val="a4"/>
        <w:tblW w:w="0" w:type="auto"/>
        <w:tblLook w:val="04A0" w:firstRow="1" w:lastRow="0" w:firstColumn="1" w:lastColumn="0" w:noHBand="0" w:noVBand="1"/>
      </w:tblPr>
      <w:tblGrid>
        <w:gridCol w:w="1696"/>
        <w:gridCol w:w="6798"/>
      </w:tblGrid>
      <w:tr w:rsidR="00AD3028" w:rsidTr="00F54273">
        <w:tc>
          <w:tcPr>
            <w:tcW w:w="1696" w:type="dxa"/>
          </w:tcPr>
          <w:p w:rsidR="00AD3028" w:rsidRDefault="00AD3028" w:rsidP="00C13113"/>
        </w:tc>
        <w:tc>
          <w:tcPr>
            <w:tcW w:w="6798" w:type="dxa"/>
          </w:tcPr>
          <w:p w:rsidR="00AD3028" w:rsidRDefault="00AD3028" w:rsidP="00D53037">
            <w:pPr>
              <w:jc w:val="center"/>
            </w:pPr>
            <w:r>
              <w:rPr>
                <w:rFonts w:hint="eastAsia"/>
              </w:rPr>
              <w:t>対象となる債務</w:t>
            </w:r>
          </w:p>
        </w:tc>
      </w:tr>
      <w:tr w:rsidR="00AD3028" w:rsidTr="00F54273">
        <w:tc>
          <w:tcPr>
            <w:tcW w:w="1696" w:type="dxa"/>
          </w:tcPr>
          <w:p w:rsidR="00AD3028" w:rsidRDefault="00AD3028" w:rsidP="00C13113">
            <w:r>
              <w:rPr>
                <w:rFonts w:hint="eastAsia"/>
              </w:rPr>
              <w:t>民事再生法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会社更生法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事業再生ADR</w:t>
            </w:r>
          </w:p>
        </w:tc>
        <w:tc>
          <w:tcPr>
            <w:tcW w:w="6798" w:type="dxa"/>
          </w:tcPr>
          <w:p w:rsidR="00AD3028" w:rsidRDefault="00AD3028" w:rsidP="00C13113">
            <w:r>
              <w:rPr>
                <w:rFonts w:hint="eastAsia"/>
              </w:rPr>
              <w:t>基本的に金融債権</w:t>
            </w:r>
          </w:p>
        </w:tc>
      </w:tr>
      <w:tr w:rsidR="00AD3028" w:rsidTr="00F54273">
        <w:tc>
          <w:tcPr>
            <w:tcW w:w="1696" w:type="dxa"/>
          </w:tcPr>
          <w:p w:rsidR="00AD3028" w:rsidRDefault="00AD3028" w:rsidP="00C13113">
            <w:r>
              <w:rPr>
                <w:rFonts w:hint="eastAsia"/>
              </w:rPr>
              <w:t>私的整理</w:t>
            </w:r>
          </w:p>
        </w:tc>
        <w:tc>
          <w:tcPr>
            <w:tcW w:w="6798" w:type="dxa"/>
          </w:tcPr>
          <w:p w:rsidR="00AD3028" w:rsidRDefault="00AD3028" w:rsidP="00C13113">
            <w:r>
              <w:rPr>
                <w:rFonts w:hint="eastAsia"/>
              </w:rPr>
              <w:t>基本的に金融債権</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D53037" w:rsidP="00D53037">
            <w:pPr>
              <w:jc w:val="center"/>
            </w:pPr>
            <w:r>
              <w:rPr>
                <w:rFonts w:hint="eastAsia"/>
              </w:rPr>
              <w:t>手続開始後の融資に対する優先弁済規定</w:t>
            </w:r>
          </w:p>
        </w:tc>
      </w:tr>
      <w:tr w:rsidR="00ED0B96" w:rsidTr="00F54273">
        <w:tc>
          <w:tcPr>
            <w:tcW w:w="1696" w:type="dxa"/>
          </w:tcPr>
          <w:p w:rsidR="00ED0B96" w:rsidRDefault="00ED0B96" w:rsidP="00C13113">
            <w:r>
              <w:rPr>
                <w:rFonts w:hint="eastAsia"/>
              </w:rPr>
              <w:t>民事再生法</w:t>
            </w:r>
          </w:p>
        </w:tc>
        <w:tc>
          <w:tcPr>
            <w:tcW w:w="6798" w:type="dxa"/>
          </w:tcPr>
          <w:p w:rsidR="00AD3028" w:rsidRDefault="00D53037" w:rsidP="00C13113">
            <w:r>
              <w:rPr>
                <w:rFonts w:hint="eastAsia"/>
              </w:rPr>
              <w:t>あり(</w:t>
            </w:r>
            <w:r>
              <w:t>DIP</w:t>
            </w:r>
            <w:r>
              <w:rPr>
                <w:rFonts w:hint="eastAsia"/>
              </w:rPr>
              <w:t>ファイナンス)</w:t>
            </w:r>
          </w:p>
        </w:tc>
      </w:tr>
      <w:tr w:rsidR="00ED0B96" w:rsidTr="00F54273">
        <w:tc>
          <w:tcPr>
            <w:tcW w:w="1696" w:type="dxa"/>
          </w:tcPr>
          <w:p w:rsidR="00ED0B96" w:rsidRDefault="00ED0B96" w:rsidP="00C13113">
            <w:r>
              <w:rPr>
                <w:rFonts w:hint="eastAsia"/>
              </w:rPr>
              <w:t>会社更生法</w:t>
            </w:r>
          </w:p>
        </w:tc>
        <w:tc>
          <w:tcPr>
            <w:tcW w:w="6798" w:type="dxa"/>
          </w:tcPr>
          <w:p w:rsidR="00ED0B96" w:rsidRDefault="00D53037" w:rsidP="00C13113">
            <w:r>
              <w:rPr>
                <w:rFonts w:hint="eastAsia"/>
              </w:rPr>
              <w:t>あり(DIPファイナンス)</w:t>
            </w:r>
          </w:p>
        </w:tc>
      </w:tr>
      <w:tr w:rsidR="00ED0B96" w:rsidTr="00F54273">
        <w:tc>
          <w:tcPr>
            <w:tcW w:w="1696" w:type="dxa"/>
          </w:tcPr>
          <w:p w:rsidR="00ED0B96" w:rsidRDefault="00ED0B96" w:rsidP="00C13113">
            <w:r>
              <w:rPr>
                <w:rFonts w:hint="eastAsia"/>
              </w:rPr>
              <w:t>事業再生ADR</w:t>
            </w:r>
          </w:p>
        </w:tc>
        <w:tc>
          <w:tcPr>
            <w:tcW w:w="6798" w:type="dxa"/>
          </w:tcPr>
          <w:p w:rsidR="00ED0B96" w:rsidRDefault="00D53037" w:rsidP="00C13113">
            <w:r>
              <w:rPr>
                <w:rFonts w:hint="eastAsia"/>
              </w:rPr>
              <w:t>あり(プレDIPファイナンス)</w:t>
            </w:r>
          </w:p>
        </w:tc>
      </w:tr>
      <w:tr w:rsidR="00ED0B96" w:rsidTr="00F54273">
        <w:tc>
          <w:tcPr>
            <w:tcW w:w="1696" w:type="dxa"/>
          </w:tcPr>
          <w:p w:rsidR="00ED0B96" w:rsidRDefault="00ED0B96" w:rsidP="00C13113">
            <w:r>
              <w:rPr>
                <w:rFonts w:hint="eastAsia"/>
              </w:rPr>
              <w:t>私的整理</w:t>
            </w:r>
          </w:p>
        </w:tc>
        <w:tc>
          <w:tcPr>
            <w:tcW w:w="6798" w:type="dxa"/>
          </w:tcPr>
          <w:p w:rsidR="00ED0B96" w:rsidRDefault="00AD3028" w:rsidP="00C13113">
            <w:r>
              <w:rPr>
                <w:rFonts w:hint="eastAsia"/>
              </w:rPr>
              <w:t>なし</w:t>
            </w:r>
          </w:p>
        </w:tc>
      </w:tr>
    </w:tbl>
    <w:p w:rsidR="009C5E2B" w:rsidRDefault="007C48E4" w:rsidP="00ED0B96">
      <w:r>
        <w:rPr>
          <w:rFonts w:hint="eastAsia"/>
        </w:rPr>
        <w:t>先述の通り</w:t>
      </w:r>
      <w:r w:rsidR="009C5E2B">
        <w:rPr>
          <w:rFonts w:hint="eastAsia"/>
        </w:rPr>
        <w:t>法的倒産を行った場合には、</w:t>
      </w:r>
      <w:r>
        <w:rPr>
          <w:rFonts w:hint="eastAsia"/>
        </w:rPr>
        <w:t>資産の保全処分命令が下るため命令が下った後企業は債務の返済が一切できなくなる。しかしながら、再建型の倒産手続きの</w:t>
      </w:r>
      <w:r w:rsidR="008A6B77">
        <w:rPr>
          <w:rFonts w:hint="eastAsia"/>
        </w:rPr>
        <w:t>ため</w:t>
      </w:r>
      <w:r>
        <w:rPr>
          <w:rFonts w:hint="eastAsia"/>
        </w:rPr>
        <w:t>事業は継続して</w:t>
      </w:r>
      <w:r w:rsidR="008A6B77">
        <w:rPr>
          <w:rFonts w:hint="eastAsia"/>
        </w:rPr>
        <w:t>おり</w:t>
      </w:r>
      <w:r>
        <w:rPr>
          <w:rFonts w:hint="eastAsia"/>
        </w:rPr>
        <w:t>当面の運転資金が必要とな</w:t>
      </w:r>
      <w:r w:rsidR="008A6B77">
        <w:rPr>
          <w:rFonts w:hint="eastAsia"/>
        </w:rPr>
        <w:t>る。だが、返済が法律により再生計画や更生計画が認可されるまではできない企業につなぎ融資してくれる金融機関はいるだろうか？実際、</w:t>
      </w:r>
      <w:r w:rsidR="00D57427">
        <w:rPr>
          <w:rFonts w:hint="eastAsia"/>
        </w:rPr>
        <w:t>再建手続きに入っている時点でハイリスクな企業</w:t>
      </w:r>
      <w:r w:rsidR="008A6B77">
        <w:rPr>
          <w:rFonts w:hint="eastAsia"/>
        </w:rPr>
        <w:t>であるのに</w:t>
      </w:r>
      <w:r w:rsidR="00D57427">
        <w:rPr>
          <w:rFonts w:hint="eastAsia"/>
        </w:rPr>
        <w:t>、返済がなされない</w:t>
      </w:r>
      <w:r w:rsidR="008A6B77">
        <w:rPr>
          <w:rFonts w:hint="eastAsia"/>
        </w:rPr>
        <w:t>企業に</w:t>
      </w:r>
      <w:r w:rsidR="00CD225D">
        <w:rPr>
          <w:rFonts w:hint="eastAsia"/>
        </w:rPr>
        <w:t>新規融資を行う金融機関はまず存在しない。</w:t>
      </w:r>
      <w:r w:rsidR="008A6B77">
        <w:rPr>
          <w:rFonts w:hint="eastAsia"/>
        </w:rPr>
        <w:t>そこで、使われるのがDIPファイナンスである。DIPとは</w:t>
      </w:r>
      <w:r w:rsidR="008A6B77">
        <w:t>Debtor in Possession（占有を継続する債務者）の略</w:t>
      </w:r>
      <w:r w:rsidR="008A6B77">
        <w:rPr>
          <w:rFonts w:hint="eastAsia"/>
        </w:rPr>
        <w:t>であり、旧経営陣が残り債権に当たっている企業を指す。DIPファイナンスの特徴としては、</w:t>
      </w:r>
      <w:r w:rsidR="00D57427">
        <w:rPr>
          <w:rFonts w:hint="eastAsia"/>
        </w:rPr>
        <w:t>融資が「共益債権」となり、「再生債権」(民事再生手続きや会社更生手続きの申請を行う前の債権)とは別の債権として扱われる点である。そのため、再生債権に先立って手続外で随時全額支払われる。また、仮に再生計画や更生計画の認可に失敗し破産手続きに移行したとしても、「財団債権」(破産手続き外で優先的に支払われる債権)として優先的に配当が受けられる仕組みになっている。</w:t>
      </w:r>
    </w:p>
    <w:p w:rsidR="007C48E4" w:rsidRDefault="00D57427" w:rsidP="00ED0B96">
      <w:r>
        <w:rPr>
          <w:rFonts w:hint="eastAsia"/>
        </w:rPr>
        <w:t>このような仕組みは資産保全処分命令のない純粋な私的整理の場合にはないが、資産保全処分命令のある事業再生ADRの場合はどうだろうか。</w:t>
      </w:r>
      <w:r w:rsidR="00B637D8">
        <w:rPr>
          <w:rFonts w:hint="eastAsia"/>
        </w:rPr>
        <w:t>事業再生ADRの場合には、まだ私的整理の段階であるが、プレDIPファイナンスという制度が存在する。</w:t>
      </w:r>
    </w:p>
    <w:p w:rsidR="009C5E2B" w:rsidRDefault="00B637D8" w:rsidP="00ED0B96">
      <w:r>
        <w:rPr>
          <w:rFonts w:hint="eastAsia"/>
        </w:rPr>
        <w:t>プレD</w:t>
      </w:r>
      <w:r>
        <w:t>IP</w:t>
      </w:r>
      <w:r>
        <w:rPr>
          <w:rFonts w:hint="eastAsia"/>
        </w:rPr>
        <w:t>ファイナンスでは、</w:t>
      </w:r>
      <w:r w:rsidRPr="00B637D8">
        <w:t>特定認証紛争解決事業者</w:t>
      </w:r>
      <w:r>
        <w:rPr>
          <w:rFonts w:hint="eastAsia"/>
        </w:rPr>
        <w:t>(事業再生実務者協会)がつなぎ融資の必要性をチェックした上で金融機関が融資する仕組みとなっており、事業再生ADR手続きにおいて優先弁済の対象となるほか、仮に事業再生ADR手続きから法的整理手続きに移行した場合でも、裁判所が優先的取り扱いをするよう配慮されるようになっている。また、</w:t>
      </w:r>
      <w:r>
        <w:rPr>
          <w:rFonts w:hint="eastAsia"/>
        </w:rPr>
        <w:lastRenderedPageBreak/>
        <w:t>プレDIPファイナンス円滑化のため、独立行政法人中小企業基盤整備機構が</w:t>
      </w:r>
      <w:r w:rsidR="00CD225D">
        <w:rPr>
          <w:rFonts w:hint="eastAsia"/>
        </w:rPr>
        <w:t>つなぎ融資について</w:t>
      </w:r>
      <w:r>
        <w:rPr>
          <w:rFonts w:hint="eastAsia"/>
        </w:rPr>
        <w:t>審査の上債務保証をする</w:t>
      </w:r>
      <w:r w:rsidR="00CD225D">
        <w:rPr>
          <w:rFonts w:hint="eastAsia"/>
        </w:rPr>
        <w:t>制度が存在する。</w:t>
      </w:r>
    </w:p>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手続きに要する期間</w:t>
            </w:r>
          </w:p>
        </w:tc>
      </w:tr>
      <w:tr w:rsidR="00ED0B96" w:rsidRPr="00275660" w:rsidTr="00F54273">
        <w:tc>
          <w:tcPr>
            <w:tcW w:w="1696" w:type="dxa"/>
          </w:tcPr>
          <w:p w:rsidR="00ED0B96" w:rsidRDefault="00ED0B96" w:rsidP="00C13113">
            <w:r>
              <w:rPr>
                <w:rFonts w:hint="eastAsia"/>
              </w:rPr>
              <w:t>民事再生法</w:t>
            </w:r>
          </w:p>
        </w:tc>
        <w:tc>
          <w:tcPr>
            <w:tcW w:w="6798" w:type="dxa"/>
          </w:tcPr>
          <w:p w:rsidR="005E4AE1" w:rsidRDefault="00275660" w:rsidP="00C13113">
            <w:r>
              <w:rPr>
                <w:rFonts w:hint="eastAsia"/>
              </w:rPr>
              <w:t>比較的早い(</w:t>
            </w:r>
            <w:r w:rsidR="005E4AE1">
              <w:rPr>
                <w:rFonts w:hint="eastAsia"/>
              </w:rPr>
              <w:t>認可まで約</w:t>
            </w:r>
            <w:r w:rsidR="0073689F">
              <w:t>6</w:t>
            </w:r>
            <w:r w:rsidR="0073689F">
              <w:rPr>
                <w:rFonts w:hint="eastAsia"/>
              </w:rPr>
              <w:t>ヶ月</w:t>
            </w:r>
            <w:r>
              <w:rPr>
                <w:rFonts w:hint="eastAsia"/>
              </w:rPr>
              <w:t>)</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75660" w:rsidP="00C13113">
            <w:r>
              <w:rPr>
                <w:rFonts w:hint="eastAsia"/>
              </w:rPr>
              <w:t>比較的遅い(</w:t>
            </w:r>
            <w:r w:rsidR="005E4AE1">
              <w:rPr>
                <w:rFonts w:hint="eastAsia"/>
              </w:rPr>
              <w:t>認可まで約1年～5年</w:t>
            </w:r>
            <w:r>
              <w:rPr>
                <w:rFonts w:hint="eastAsia"/>
              </w:rPr>
              <w:t>)</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75660" w:rsidP="00C13113">
            <w:r>
              <w:rPr>
                <w:rFonts w:hint="eastAsia"/>
              </w:rPr>
              <w:t>早い(</w:t>
            </w:r>
            <w:r w:rsidR="005E4AE1">
              <w:rPr>
                <w:rFonts w:hint="eastAsia"/>
              </w:rPr>
              <w:t>約3ヶ月</w:t>
            </w:r>
            <w:r w:rsidR="001142B2">
              <w:rPr>
                <w:rFonts w:hint="eastAsia"/>
              </w:rPr>
              <w:t>～6ヶ月</w:t>
            </w:r>
            <w:r>
              <w:rPr>
                <w:rFonts w:hint="eastAsia"/>
              </w:rPr>
              <w:t>)</w:t>
            </w:r>
          </w:p>
        </w:tc>
      </w:tr>
      <w:tr w:rsidR="00ED0B96" w:rsidTr="00F54273">
        <w:tc>
          <w:tcPr>
            <w:tcW w:w="1696" w:type="dxa"/>
          </w:tcPr>
          <w:p w:rsidR="00ED0B96" w:rsidRDefault="00ED0B96" w:rsidP="00C13113">
            <w:r>
              <w:rPr>
                <w:rFonts w:hint="eastAsia"/>
              </w:rPr>
              <w:t>私的整理</w:t>
            </w:r>
          </w:p>
        </w:tc>
        <w:tc>
          <w:tcPr>
            <w:tcW w:w="6798" w:type="dxa"/>
          </w:tcPr>
          <w:p w:rsidR="00ED0B96" w:rsidRDefault="00275660" w:rsidP="00C13113">
            <w:r>
              <w:rPr>
                <w:rFonts w:hint="eastAsia"/>
              </w:rPr>
              <w:t>早い(</w:t>
            </w:r>
            <w:r w:rsidR="001142B2">
              <w:rPr>
                <w:rFonts w:hint="eastAsia"/>
              </w:rPr>
              <w:t>約3ヶ月～6ヶ月</w:t>
            </w:r>
            <w:r>
              <w:rPr>
                <w:rFonts w:hint="eastAsia"/>
              </w:rPr>
              <w:t>)</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275660" w:rsidTr="00C13113">
        <w:tc>
          <w:tcPr>
            <w:tcW w:w="1696" w:type="dxa"/>
          </w:tcPr>
          <w:p w:rsidR="00275660" w:rsidRDefault="00275660" w:rsidP="00C13113"/>
        </w:tc>
        <w:tc>
          <w:tcPr>
            <w:tcW w:w="6798" w:type="dxa"/>
          </w:tcPr>
          <w:p w:rsidR="00275660" w:rsidRDefault="00275660" w:rsidP="00D53037">
            <w:pPr>
              <w:jc w:val="center"/>
            </w:pPr>
            <w:r>
              <w:rPr>
                <w:rFonts w:hint="eastAsia"/>
              </w:rPr>
              <w:t>成立要件</w:t>
            </w:r>
          </w:p>
        </w:tc>
      </w:tr>
      <w:tr w:rsidR="00275660" w:rsidTr="00C13113">
        <w:tc>
          <w:tcPr>
            <w:tcW w:w="1696" w:type="dxa"/>
          </w:tcPr>
          <w:p w:rsidR="00275660" w:rsidRDefault="00275660" w:rsidP="00C13113">
            <w:r>
              <w:rPr>
                <w:rFonts w:hint="eastAsia"/>
              </w:rPr>
              <w:t>民事再生法</w:t>
            </w:r>
          </w:p>
        </w:tc>
        <w:tc>
          <w:tcPr>
            <w:tcW w:w="6798" w:type="dxa"/>
          </w:tcPr>
          <w:p w:rsidR="00275660" w:rsidRDefault="000C216F" w:rsidP="00C13113">
            <w:r>
              <w:rPr>
                <w:rFonts w:hint="eastAsia"/>
              </w:rPr>
              <w:t>議決権者の過半数の同意(頭数)、議決権の2分の1超の議決権者の同意(議決権要件)</w:t>
            </w:r>
          </w:p>
        </w:tc>
      </w:tr>
      <w:tr w:rsidR="00275660" w:rsidRPr="00275660" w:rsidTr="00C13113">
        <w:tc>
          <w:tcPr>
            <w:tcW w:w="1696" w:type="dxa"/>
          </w:tcPr>
          <w:p w:rsidR="00275660" w:rsidRDefault="00275660" w:rsidP="00C13113">
            <w:r>
              <w:rPr>
                <w:rFonts w:hint="eastAsia"/>
              </w:rPr>
              <w:t>会社更生法</w:t>
            </w:r>
          </w:p>
        </w:tc>
        <w:tc>
          <w:tcPr>
            <w:tcW w:w="6798" w:type="dxa"/>
          </w:tcPr>
          <w:p w:rsidR="00275660" w:rsidRDefault="00275660" w:rsidP="00C13113">
            <w:r>
              <w:rPr>
                <w:rFonts w:hint="eastAsia"/>
              </w:rPr>
              <w:t>債権については</w:t>
            </w:r>
            <w:r>
              <w:t>総議決債権額の2分の1超の議決権者の同意</w:t>
            </w:r>
          </w:p>
          <w:p w:rsidR="00275660" w:rsidRDefault="00275660" w:rsidP="00C13113">
            <w:r>
              <w:rPr>
                <w:rFonts w:hint="eastAsia"/>
              </w:rPr>
              <w:t>担保権や株主については別途定めあり。</w:t>
            </w:r>
          </w:p>
        </w:tc>
      </w:tr>
      <w:tr w:rsidR="00275660" w:rsidTr="00C13113">
        <w:tc>
          <w:tcPr>
            <w:tcW w:w="1696" w:type="dxa"/>
          </w:tcPr>
          <w:p w:rsidR="00275660" w:rsidRDefault="00275660" w:rsidP="00C13113">
            <w:r>
              <w:rPr>
                <w:rFonts w:hint="eastAsia"/>
              </w:rPr>
              <w:t>事業再生ADR</w:t>
            </w:r>
          </w:p>
        </w:tc>
        <w:tc>
          <w:tcPr>
            <w:tcW w:w="6798" w:type="dxa"/>
          </w:tcPr>
          <w:p w:rsidR="00275660" w:rsidRDefault="00275660" w:rsidP="00C13113">
            <w:r>
              <w:rPr>
                <w:rFonts w:hint="eastAsia"/>
              </w:rPr>
              <w:t>債権者全員の同意</w:t>
            </w:r>
          </w:p>
        </w:tc>
      </w:tr>
      <w:tr w:rsidR="00275660" w:rsidTr="00C13113">
        <w:tc>
          <w:tcPr>
            <w:tcW w:w="1696" w:type="dxa"/>
          </w:tcPr>
          <w:p w:rsidR="00275660" w:rsidRDefault="00275660" w:rsidP="00C13113">
            <w:r>
              <w:rPr>
                <w:rFonts w:hint="eastAsia"/>
              </w:rPr>
              <w:t>私的整理</w:t>
            </w:r>
          </w:p>
        </w:tc>
        <w:tc>
          <w:tcPr>
            <w:tcW w:w="6798" w:type="dxa"/>
          </w:tcPr>
          <w:p w:rsidR="00275660" w:rsidRDefault="00275660" w:rsidP="00C13113">
            <w:r>
              <w:rPr>
                <w:rFonts w:hint="eastAsia"/>
              </w:rPr>
              <w:t>定めなし</w:t>
            </w:r>
            <w:r w:rsidR="000C216F">
              <w:rPr>
                <w:rFonts w:hint="eastAsia"/>
              </w:rPr>
              <w:t>(個別の同意)</w:t>
            </w:r>
          </w:p>
        </w:tc>
      </w:tr>
    </w:tbl>
    <w:p w:rsidR="00D53037" w:rsidRDefault="00D53037"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弁済期間</w:t>
            </w:r>
          </w:p>
        </w:tc>
      </w:tr>
      <w:tr w:rsidR="00ED0B96" w:rsidTr="00F54273">
        <w:tc>
          <w:tcPr>
            <w:tcW w:w="1696" w:type="dxa"/>
          </w:tcPr>
          <w:p w:rsidR="00ED0B96" w:rsidRDefault="00ED0B96" w:rsidP="00C13113">
            <w:r>
              <w:rPr>
                <w:rFonts w:hint="eastAsia"/>
              </w:rPr>
              <w:t>民事再生法</w:t>
            </w:r>
          </w:p>
        </w:tc>
        <w:tc>
          <w:tcPr>
            <w:tcW w:w="6798" w:type="dxa"/>
          </w:tcPr>
          <w:p w:rsidR="00ED0B96" w:rsidRDefault="002A1037" w:rsidP="00C13113">
            <w:r>
              <w:rPr>
                <w:rFonts w:hint="eastAsia"/>
              </w:rPr>
              <w:t>最長1</w:t>
            </w:r>
            <w:r>
              <w:t>0</w:t>
            </w:r>
            <w:r>
              <w:rPr>
                <w:rFonts w:hint="eastAsia"/>
              </w:rPr>
              <w:t>年</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A1037" w:rsidP="00C13113">
            <w:r>
              <w:rPr>
                <w:rFonts w:hint="eastAsia"/>
              </w:rPr>
              <w:t>最長1</w:t>
            </w:r>
            <w:r>
              <w:t>5</w:t>
            </w:r>
            <w:r>
              <w:rPr>
                <w:rFonts w:hint="eastAsia"/>
              </w:rPr>
              <w:t>年</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A1037" w:rsidP="00C13113">
            <w:r>
              <w:rPr>
                <w:rFonts w:hint="eastAsia"/>
              </w:rPr>
              <w:t>定めなし</w:t>
            </w:r>
          </w:p>
        </w:tc>
      </w:tr>
      <w:tr w:rsidR="00ED0B96" w:rsidTr="00F54273">
        <w:tc>
          <w:tcPr>
            <w:tcW w:w="1696" w:type="dxa"/>
          </w:tcPr>
          <w:p w:rsidR="00ED0B96" w:rsidRDefault="00ED0B96" w:rsidP="00C13113">
            <w:r>
              <w:rPr>
                <w:rFonts w:hint="eastAsia"/>
              </w:rPr>
              <w:t>私的整理</w:t>
            </w:r>
          </w:p>
        </w:tc>
        <w:tc>
          <w:tcPr>
            <w:tcW w:w="6798" w:type="dxa"/>
          </w:tcPr>
          <w:p w:rsidR="00ED0B96" w:rsidRDefault="002A1037" w:rsidP="00C13113">
            <w:r>
              <w:rPr>
                <w:rFonts w:hint="eastAsia"/>
              </w:rPr>
              <w:t>定めなし</w:t>
            </w:r>
          </w:p>
        </w:tc>
      </w:tr>
    </w:tbl>
    <w:p w:rsidR="00ED0B96" w:rsidRDefault="00ED0B96" w:rsidP="00ED0B96"/>
    <w:p w:rsidR="009C5E2B" w:rsidRDefault="009C5E2B" w:rsidP="00ED0B96"/>
    <w:p w:rsidR="009C5E2B" w:rsidRDefault="009C5E2B" w:rsidP="00ED0B96"/>
    <w:p w:rsidR="009C5E2B" w:rsidRDefault="009C5E2B" w:rsidP="00ED0B96"/>
    <w:p w:rsidR="009C5E2B" w:rsidRDefault="009C5E2B" w:rsidP="00ED0B96"/>
    <w:p w:rsidR="009C5E2B" w:rsidRDefault="009C5E2B"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C13113">
            <w:r>
              <w:rPr>
                <w:rFonts w:hint="eastAsia"/>
              </w:rPr>
              <w:t>債権放棄時の損金算入</w:t>
            </w:r>
          </w:p>
        </w:tc>
      </w:tr>
      <w:tr w:rsidR="00ED0B96" w:rsidTr="00F54273">
        <w:tc>
          <w:tcPr>
            <w:tcW w:w="1696" w:type="dxa"/>
          </w:tcPr>
          <w:p w:rsidR="00ED0B96" w:rsidRDefault="00ED0B96" w:rsidP="00C13113">
            <w:r>
              <w:rPr>
                <w:rFonts w:hint="eastAsia"/>
              </w:rPr>
              <w:t>民事再生法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会社更生法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事業再生ADR</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私的整理</w:t>
            </w:r>
          </w:p>
        </w:tc>
        <w:tc>
          <w:tcPr>
            <w:tcW w:w="6798" w:type="dxa"/>
          </w:tcPr>
          <w:p w:rsidR="00ED0B96" w:rsidRDefault="0073689F" w:rsidP="00C13113">
            <w:r>
              <w:rPr>
                <w:rFonts w:hint="eastAsia"/>
              </w:rPr>
              <w:t>個別案件ごとに税務当局に損金算入可能化判断を仰ぐ必要がある</w:t>
            </w:r>
          </w:p>
        </w:tc>
      </w:tr>
    </w:tbl>
    <w:p w:rsidR="00ED0B96" w:rsidRDefault="0096238F" w:rsidP="00ED0B96">
      <w:r>
        <w:rPr>
          <w:rFonts w:hint="eastAsia"/>
        </w:rPr>
        <w:t>取引先が経営破綻し再建の回収が不能となった場合、会社会計上では費用(特別損失)として処理することができるが、税法においては損金の算入に条件が存在する。債権の切り捨てがなされた場合であれば、</w:t>
      </w:r>
    </w:p>
    <w:p w:rsidR="0096238F" w:rsidRDefault="0096238F" w:rsidP="0096238F">
      <w:r>
        <w:rPr>
          <w:rFonts w:hint="eastAsia"/>
        </w:rPr>
        <w:lastRenderedPageBreak/>
        <w:t>①会社更生法、金融機関等の更生手続の特例等に関する法律、会社法、民事再生法の規定により切り捨てられた金額</w:t>
      </w:r>
    </w:p>
    <w:p w:rsidR="0096238F" w:rsidRDefault="0096238F" w:rsidP="0096238F">
      <w:r>
        <w:rPr>
          <w:rFonts w:hint="eastAsia"/>
        </w:rPr>
        <w:t>②</w:t>
      </w:r>
      <w:r>
        <w:t> </w:t>
      </w:r>
      <w:r>
        <w:rPr>
          <w:rFonts w:hint="eastAsia"/>
        </w:rPr>
        <w:t>法令の規定による整理手続によらない債権者集会の協議決定及び行政機関や金融機関などのあっせんによる協議で、</w:t>
      </w:r>
      <w:r w:rsidRPr="0096238F">
        <w:rPr>
          <w:rFonts w:hint="eastAsia"/>
          <w:u w:val="single"/>
        </w:rPr>
        <w:t>合理的な基準</w:t>
      </w:r>
      <w:r>
        <w:rPr>
          <w:rFonts w:hint="eastAsia"/>
        </w:rPr>
        <w:t>によって切り捨てられた金額</w:t>
      </w:r>
    </w:p>
    <w:p w:rsidR="0096238F" w:rsidRDefault="0096238F" w:rsidP="0096238F">
      <w:r>
        <w:rPr>
          <w:rFonts w:hint="eastAsia"/>
        </w:rPr>
        <w:t>③債務者の債務超過の状態が相当期間継続し、その金銭債権の弁済を受けることができない場合に、その債務者に対して、書面で明らかにした債務免除額</w:t>
      </w:r>
    </w:p>
    <w:p w:rsidR="0096238F" w:rsidRDefault="0096238F" w:rsidP="00ED0B96">
      <w:r>
        <w:rPr>
          <w:rFonts w:hint="eastAsia"/>
        </w:rPr>
        <w:t>のいずれかに該当すれば損金の算入が可能である。</w:t>
      </w:r>
    </w:p>
    <w:p w:rsidR="0096238F" w:rsidRDefault="0096238F" w:rsidP="00ED0B96">
      <w:r>
        <w:rPr>
          <w:rFonts w:hint="eastAsia"/>
        </w:rPr>
        <w:t>民事再生・会社更生手続きにより債権の切り捨てがなされた場合には①に該当するのでそのまま</w:t>
      </w:r>
      <w:r w:rsidR="009C5E2B">
        <w:rPr>
          <w:rFonts w:hint="eastAsia"/>
        </w:rPr>
        <w:t>税務上</w:t>
      </w:r>
      <w:r>
        <w:rPr>
          <w:rFonts w:hint="eastAsia"/>
        </w:rPr>
        <w:t>損金に算入することが可能である。しかし、純粋な私的整理の場合には②に該当するため、協議によって</w:t>
      </w:r>
      <w:r w:rsidR="009C5E2B">
        <w:rPr>
          <w:rFonts w:hint="eastAsia"/>
        </w:rPr>
        <w:t>決定した切り捨ての基準が「合理的な基準」であるか税務当局に判断を仰ぐ必要がある。そして、仮に税務当局が合理的な基準でないと判断した場合にはその分は損金に算入されないこととなる。その点事業再生ADRについては、事業再生ADR手続きに従って再建計画が策定され、債権放棄が行われた場合、「合理的な基準」に基づいた債権放棄であるとして税務上損金算入が可能である。</w:t>
      </w:r>
    </w:p>
    <w:p w:rsidR="0096238F" w:rsidRDefault="0096238F" w:rsidP="00ED0B96"/>
    <w:tbl>
      <w:tblPr>
        <w:tblStyle w:val="a4"/>
        <w:tblW w:w="0" w:type="auto"/>
        <w:tblLook w:val="04A0" w:firstRow="1" w:lastRow="0" w:firstColumn="1" w:lastColumn="0" w:noHBand="0" w:noVBand="1"/>
      </w:tblPr>
      <w:tblGrid>
        <w:gridCol w:w="1696"/>
        <w:gridCol w:w="6798"/>
      </w:tblGrid>
      <w:tr w:rsidR="000C216F" w:rsidTr="00C13113">
        <w:tc>
          <w:tcPr>
            <w:tcW w:w="1696" w:type="dxa"/>
          </w:tcPr>
          <w:p w:rsidR="000C216F" w:rsidRDefault="000C216F" w:rsidP="00C13113"/>
        </w:tc>
        <w:tc>
          <w:tcPr>
            <w:tcW w:w="6798" w:type="dxa"/>
          </w:tcPr>
          <w:p w:rsidR="000C216F" w:rsidRDefault="000C216F" w:rsidP="00C13113">
            <w:r>
              <w:rPr>
                <w:rFonts w:hint="eastAsia"/>
              </w:rPr>
              <w:t>株式上場の継続</w:t>
            </w:r>
          </w:p>
        </w:tc>
      </w:tr>
      <w:tr w:rsidR="000C216F" w:rsidTr="00C13113">
        <w:tc>
          <w:tcPr>
            <w:tcW w:w="1696" w:type="dxa"/>
          </w:tcPr>
          <w:p w:rsidR="000C216F" w:rsidRDefault="000C216F" w:rsidP="00C13113">
            <w:r>
              <w:rPr>
                <w:rFonts w:hint="eastAsia"/>
              </w:rPr>
              <w:t>民事再生法</w:t>
            </w:r>
          </w:p>
        </w:tc>
        <w:tc>
          <w:tcPr>
            <w:tcW w:w="6798" w:type="dxa"/>
          </w:tcPr>
          <w:p w:rsidR="000C216F" w:rsidRDefault="000C216F" w:rsidP="00C13113">
            <w:r>
              <w:rPr>
                <w:rFonts w:hint="eastAsia"/>
              </w:rPr>
              <w:t>原則として上場廃止</w:t>
            </w:r>
          </w:p>
          <w:p w:rsidR="000C216F" w:rsidRDefault="000C216F" w:rsidP="00C13113">
            <w:r>
              <w:rPr>
                <w:rFonts w:hint="eastAsia"/>
              </w:rPr>
              <w:t>例外的に</w:t>
            </w:r>
            <w:r w:rsidR="00957907"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sidR="00F55D6C">
              <w:rPr>
                <w:rFonts w:hint="eastAsia"/>
              </w:rPr>
              <w:t>ならない</w:t>
            </w:r>
          </w:p>
        </w:tc>
      </w:tr>
      <w:tr w:rsidR="000C216F" w:rsidTr="00C13113">
        <w:tc>
          <w:tcPr>
            <w:tcW w:w="1696" w:type="dxa"/>
          </w:tcPr>
          <w:p w:rsidR="000C216F" w:rsidRDefault="000C216F" w:rsidP="00C13113">
            <w:r>
              <w:rPr>
                <w:rFonts w:hint="eastAsia"/>
              </w:rPr>
              <w:t>会社更生法</w:t>
            </w:r>
          </w:p>
        </w:tc>
        <w:tc>
          <w:tcPr>
            <w:tcW w:w="6798" w:type="dxa"/>
          </w:tcPr>
          <w:p w:rsidR="000C216F" w:rsidRDefault="000C216F" w:rsidP="00C13113">
            <w:r>
              <w:rPr>
                <w:rFonts w:hint="eastAsia"/>
              </w:rPr>
              <w:t>原則として上場廃止</w:t>
            </w:r>
          </w:p>
          <w:p w:rsidR="00F55D6C" w:rsidRDefault="00F55D6C" w:rsidP="00C13113">
            <w:r>
              <w:rPr>
                <w:rFonts w:hint="eastAsia"/>
              </w:rPr>
              <w:t>例外は民事再生手続きと同様</w:t>
            </w:r>
          </w:p>
        </w:tc>
      </w:tr>
      <w:tr w:rsidR="000C216F" w:rsidTr="00C13113">
        <w:tc>
          <w:tcPr>
            <w:tcW w:w="1696" w:type="dxa"/>
          </w:tcPr>
          <w:p w:rsidR="000C216F" w:rsidRDefault="000C216F" w:rsidP="00C13113">
            <w:r>
              <w:rPr>
                <w:rFonts w:hint="eastAsia"/>
              </w:rPr>
              <w:t>事業再生ADR</w:t>
            </w:r>
          </w:p>
        </w:tc>
        <w:tc>
          <w:tcPr>
            <w:tcW w:w="6798" w:type="dxa"/>
          </w:tcPr>
          <w:p w:rsidR="00F55D6C" w:rsidRDefault="00F55D6C" w:rsidP="00C13113">
            <w:r>
              <w:rPr>
                <w:rFonts w:hint="eastAsia"/>
              </w:rPr>
              <w:t>事業再生ADRの手続きそのものは東京証券取引所(以下東証)の上場廃止基準に抵触しない。</w:t>
            </w:r>
          </w:p>
        </w:tc>
      </w:tr>
      <w:tr w:rsidR="000C216F" w:rsidTr="00C13113">
        <w:tc>
          <w:tcPr>
            <w:tcW w:w="1696" w:type="dxa"/>
          </w:tcPr>
          <w:p w:rsidR="000C216F" w:rsidRDefault="000C216F" w:rsidP="00C13113">
            <w:r>
              <w:rPr>
                <w:rFonts w:hint="eastAsia"/>
              </w:rPr>
              <w:t>私的整理</w:t>
            </w:r>
          </w:p>
        </w:tc>
        <w:tc>
          <w:tcPr>
            <w:tcW w:w="6798" w:type="dxa"/>
          </w:tcPr>
          <w:p w:rsidR="00F55D6C" w:rsidRDefault="00F55D6C" w:rsidP="00C13113">
            <w:r>
              <w:rPr>
                <w:rFonts w:hint="eastAsia"/>
              </w:rPr>
              <w:t>私的整理の手続きそのものは東証の上場廃止基準に抵触しない。</w:t>
            </w:r>
          </w:p>
        </w:tc>
      </w:tr>
    </w:tbl>
    <w:p w:rsidR="000C216F" w:rsidRDefault="00C308A4" w:rsidP="00ED0B96">
      <w:r>
        <w:rPr>
          <w:rFonts w:hint="eastAsia"/>
        </w:rPr>
        <w:t>通常、債務超過となった期のから</w:t>
      </w:r>
      <w:r>
        <w:t>1</w:t>
      </w:r>
      <w:r>
        <w:rPr>
          <w:rFonts w:hint="eastAsia"/>
        </w:rPr>
        <w:t>年の猶予期間内に債務超過の状態が解消されなければ上場廃止規定に抵触するが、民事再生手続・会社更生手続・事業再生ADR手続により債務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w:t>
      </w:r>
      <w:r w:rsidR="009C5E2B">
        <w:rPr>
          <w:rFonts w:hint="eastAsia"/>
        </w:rPr>
        <w:t>る</w:t>
      </w:r>
      <w:r>
        <w:rPr>
          <w:rFonts w:hint="eastAsia"/>
        </w:rPr>
        <w:t>。</w:t>
      </w:r>
    </w:p>
    <w:p w:rsidR="009C5E2B" w:rsidRDefault="009C5E2B" w:rsidP="00ED0B96"/>
    <w:p w:rsidR="009C5E2B" w:rsidRPr="000C216F" w:rsidRDefault="009C5E2B" w:rsidP="00ED0B96"/>
    <w:p w:rsidR="00A1760A" w:rsidRDefault="00A1760A" w:rsidP="00A1760A">
      <w:r>
        <w:rPr>
          <w:rFonts w:hint="eastAsia"/>
        </w:rPr>
        <w:t>①会社更生手続きの申請、保全処分命令</w:t>
      </w:r>
    </w:p>
    <w:p w:rsidR="00A1760A" w:rsidRDefault="00A1760A" w:rsidP="00A1760A">
      <w:r>
        <w:rPr>
          <w:rFonts w:hint="eastAsia"/>
        </w:rPr>
        <w:t>②手続き開始決定、管財人の選任</w:t>
      </w:r>
    </w:p>
    <w:p w:rsidR="00A1760A" w:rsidRDefault="00A1760A" w:rsidP="00A1760A">
      <w:r>
        <w:rPr>
          <w:rFonts w:hint="eastAsia"/>
        </w:rPr>
        <w:t>③更生計画案の作成</w:t>
      </w:r>
    </w:p>
    <w:p w:rsidR="00A1760A" w:rsidRDefault="00A1760A" w:rsidP="00A1760A">
      <w:r>
        <w:rPr>
          <w:rFonts w:hint="eastAsia"/>
        </w:rPr>
        <w:lastRenderedPageBreak/>
        <w:t>④関係人集会、更生計画案の決議</w:t>
      </w:r>
    </w:p>
    <w:p w:rsidR="008E363B" w:rsidRDefault="00A1760A" w:rsidP="00A1760A">
      <w:r>
        <w:rPr>
          <w:rFonts w:hint="eastAsia"/>
        </w:rPr>
        <w:t>⑤更生計画の実行</w:t>
      </w:r>
    </w:p>
    <w:p w:rsidR="008E363B" w:rsidRDefault="008E363B" w:rsidP="0077243B"/>
    <w:p w:rsidR="008E363B" w:rsidRDefault="00A1760A" w:rsidP="0077243B">
      <w:r>
        <w:rPr>
          <w:rFonts w:hint="eastAsia"/>
        </w:rPr>
        <w:t>①民事再生手続きの申請、保全処分命令</w:t>
      </w:r>
    </w:p>
    <w:p w:rsidR="00A1760A" w:rsidRDefault="00A1760A" w:rsidP="0077243B">
      <w:r>
        <w:rPr>
          <w:rFonts w:hint="eastAsia"/>
        </w:rPr>
        <w:t>②手続き開始の決定、監督委員の選任</w:t>
      </w:r>
    </w:p>
    <w:p w:rsidR="00A1760A" w:rsidRDefault="00A1760A" w:rsidP="0077243B">
      <w:r>
        <w:rPr>
          <w:rFonts w:hint="eastAsia"/>
        </w:rPr>
        <w:t>③再生計画の作成</w:t>
      </w:r>
    </w:p>
    <w:p w:rsidR="00A1760A" w:rsidRDefault="00A1760A" w:rsidP="0077243B">
      <w:r>
        <w:rPr>
          <w:rFonts w:hint="eastAsia"/>
        </w:rPr>
        <w:t>④債権者集会、再生計画案決議</w:t>
      </w:r>
    </w:p>
    <w:p w:rsidR="00A1760A" w:rsidRDefault="00A1760A" w:rsidP="0077243B">
      <w:r>
        <w:rPr>
          <w:rFonts w:hint="eastAsia"/>
        </w:rPr>
        <w:t>⑤再生計画の実行</w:t>
      </w:r>
    </w:p>
    <w:p w:rsidR="008E363B" w:rsidRDefault="008E363B" w:rsidP="0077243B"/>
    <w:p w:rsidR="00374800" w:rsidRPr="00374800" w:rsidRDefault="00374800" w:rsidP="0077243B"/>
    <w:sectPr w:rsidR="00374800" w:rsidRPr="00374800"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3A5" w:rsidRDefault="009D03A5" w:rsidP="000951B7">
      <w:r>
        <w:separator/>
      </w:r>
    </w:p>
  </w:endnote>
  <w:endnote w:type="continuationSeparator" w:id="0">
    <w:p w:rsidR="009D03A5" w:rsidRDefault="009D03A5"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3A5" w:rsidRDefault="009D03A5" w:rsidP="000951B7">
      <w:r>
        <w:separator/>
      </w:r>
    </w:p>
  </w:footnote>
  <w:footnote w:type="continuationSeparator" w:id="0">
    <w:p w:rsidR="009D03A5" w:rsidRDefault="009D03A5"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05F97"/>
    <w:rsid w:val="00011635"/>
    <w:rsid w:val="00013DAA"/>
    <w:rsid w:val="000322E4"/>
    <w:rsid w:val="000650B6"/>
    <w:rsid w:val="00071601"/>
    <w:rsid w:val="00074FAE"/>
    <w:rsid w:val="000951B7"/>
    <w:rsid w:val="000B4D19"/>
    <w:rsid w:val="000C0884"/>
    <w:rsid w:val="000C216F"/>
    <w:rsid w:val="000D0291"/>
    <w:rsid w:val="000E4FC0"/>
    <w:rsid w:val="000E5ACA"/>
    <w:rsid w:val="000F6DDF"/>
    <w:rsid w:val="00103C29"/>
    <w:rsid w:val="00105DA9"/>
    <w:rsid w:val="001075AA"/>
    <w:rsid w:val="001142B2"/>
    <w:rsid w:val="00122F15"/>
    <w:rsid w:val="00124557"/>
    <w:rsid w:val="00147426"/>
    <w:rsid w:val="001712C1"/>
    <w:rsid w:val="00172A6D"/>
    <w:rsid w:val="00172C18"/>
    <w:rsid w:val="001811C9"/>
    <w:rsid w:val="0018233C"/>
    <w:rsid w:val="00184291"/>
    <w:rsid w:val="0018796E"/>
    <w:rsid w:val="001B3CD3"/>
    <w:rsid w:val="001B633C"/>
    <w:rsid w:val="001D148D"/>
    <w:rsid w:val="001F0BA3"/>
    <w:rsid w:val="00204DF5"/>
    <w:rsid w:val="00240EA7"/>
    <w:rsid w:val="00244649"/>
    <w:rsid w:val="002546AE"/>
    <w:rsid w:val="00271CC8"/>
    <w:rsid w:val="00274523"/>
    <w:rsid w:val="00275660"/>
    <w:rsid w:val="002767B8"/>
    <w:rsid w:val="00285579"/>
    <w:rsid w:val="002A02A9"/>
    <w:rsid w:val="002A1037"/>
    <w:rsid w:val="002B01AF"/>
    <w:rsid w:val="002B0E08"/>
    <w:rsid w:val="002B3D65"/>
    <w:rsid w:val="002D3916"/>
    <w:rsid w:val="002F1271"/>
    <w:rsid w:val="00307A02"/>
    <w:rsid w:val="00334280"/>
    <w:rsid w:val="00355604"/>
    <w:rsid w:val="00362DC5"/>
    <w:rsid w:val="003670B8"/>
    <w:rsid w:val="00374800"/>
    <w:rsid w:val="00385E11"/>
    <w:rsid w:val="00391201"/>
    <w:rsid w:val="003936E1"/>
    <w:rsid w:val="003B6FC8"/>
    <w:rsid w:val="003C77C7"/>
    <w:rsid w:val="003D0B3C"/>
    <w:rsid w:val="003D7C6C"/>
    <w:rsid w:val="003E5584"/>
    <w:rsid w:val="003E627D"/>
    <w:rsid w:val="003E726D"/>
    <w:rsid w:val="00411E11"/>
    <w:rsid w:val="00447CD2"/>
    <w:rsid w:val="00455CC8"/>
    <w:rsid w:val="004617FD"/>
    <w:rsid w:val="004A43FC"/>
    <w:rsid w:val="004C2EE3"/>
    <w:rsid w:val="004C3612"/>
    <w:rsid w:val="004D1C9F"/>
    <w:rsid w:val="004D76F2"/>
    <w:rsid w:val="004F201C"/>
    <w:rsid w:val="004F4B16"/>
    <w:rsid w:val="00514CC8"/>
    <w:rsid w:val="0051581C"/>
    <w:rsid w:val="00521692"/>
    <w:rsid w:val="00527D0B"/>
    <w:rsid w:val="0054328D"/>
    <w:rsid w:val="00546244"/>
    <w:rsid w:val="00550995"/>
    <w:rsid w:val="00551FE0"/>
    <w:rsid w:val="00554914"/>
    <w:rsid w:val="00555F7A"/>
    <w:rsid w:val="005640ED"/>
    <w:rsid w:val="00566B25"/>
    <w:rsid w:val="00571780"/>
    <w:rsid w:val="00592359"/>
    <w:rsid w:val="005D2B7A"/>
    <w:rsid w:val="005D3039"/>
    <w:rsid w:val="005E4AE1"/>
    <w:rsid w:val="005E7077"/>
    <w:rsid w:val="00622C5F"/>
    <w:rsid w:val="00623241"/>
    <w:rsid w:val="00644362"/>
    <w:rsid w:val="006602AD"/>
    <w:rsid w:val="00676526"/>
    <w:rsid w:val="00681AB9"/>
    <w:rsid w:val="006D4976"/>
    <w:rsid w:val="006D531B"/>
    <w:rsid w:val="006D5691"/>
    <w:rsid w:val="006F1F65"/>
    <w:rsid w:val="00703F2D"/>
    <w:rsid w:val="00717B0B"/>
    <w:rsid w:val="0072597B"/>
    <w:rsid w:val="007336F7"/>
    <w:rsid w:val="0073689F"/>
    <w:rsid w:val="00741E4B"/>
    <w:rsid w:val="00744B81"/>
    <w:rsid w:val="007550D5"/>
    <w:rsid w:val="007718E3"/>
    <w:rsid w:val="0077243B"/>
    <w:rsid w:val="0077375A"/>
    <w:rsid w:val="007776C7"/>
    <w:rsid w:val="007845BB"/>
    <w:rsid w:val="00784A1F"/>
    <w:rsid w:val="007870F7"/>
    <w:rsid w:val="00790774"/>
    <w:rsid w:val="007B4C2C"/>
    <w:rsid w:val="007C48E4"/>
    <w:rsid w:val="007D6C3D"/>
    <w:rsid w:val="008143EF"/>
    <w:rsid w:val="008145A7"/>
    <w:rsid w:val="00831A68"/>
    <w:rsid w:val="008425A9"/>
    <w:rsid w:val="00854549"/>
    <w:rsid w:val="00861DA1"/>
    <w:rsid w:val="008773D0"/>
    <w:rsid w:val="008872ED"/>
    <w:rsid w:val="008909FB"/>
    <w:rsid w:val="008A52E3"/>
    <w:rsid w:val="008A6B77"/>
    <w:rsid w:val="008B16D0"/>
    <w:rsid w:val="008B5F8F"/>
    <w:rsid w:val="008D34EF"/>
    <w:rsid w:val="008E255F"/>
    <w:rsid w:val="008E363B"/>
    <w:rsid w:val="008F2507"/>
    <w:rsid w:val="008F2961"/>
    <w:rsid w:val="00915222"/>
    <w:rsid w:val="00920598"/>
    <w:rsid w:val="00931D89"/>
    <w:rsid w:val="00936EE1"/>
    <w:rsid w:val="009377BD"/>
    <w:rsid w:val="00940278"/>
    <w:rsid w:val="009440F4"/>
    <w:rsid w:val="00957907"/>
    <w:rsid w:val="0096238F"/>
    <w:rsid w:val="0096296C"/>
    <w:rsid w:val="00972748"/>
    <w:rsid w:val="0098305A"/>
    <w:rsid w:val="009A47BB"/>
    <w:rsid w:val="009C4DA9"/>
    <w:rsid w:val="009C5E2B"/>
    <w:rsid w:val="009D00A5"/>
    <w:rsid w:val="009D03A5"/>
    <w:rsid w:val="009F0B31"/>
    <w:rsid w:val="009F1336"/>
    <w:rsid w:val="009F31C3"/>
    <w:rsid w:val="009F5695"/>
    <w:rsid w:val="00A1760A"/>
    <w:rsid w:val="00A433A0"/>
    <w:rsid w:val="00A55F26"/>
    <w:rsid w:val="00A633C3"/>
    <w:rsid w:val="00AA1CED"/>
    <w:rsid w:val="00AC39BA"/>
    <w:rsid w:val="00AC50B5"/>
    <w:rsid w:val="00AC6D11"/>
    <w:rsid w:val="00AD3028"/>
    <w:rsid w:val="00AD3A80"/>
    <w:rsid w:val="00AE6DA1"/>
    <w:rsid w:val="00B12D07"/>
    <w:rsid w:val="00B25C89"/>
    <w:rsid w:val="00B36C25"/>
    <w:rsid w:val="00B448CE"/>
    <w:rsid w:val="00B637D8"/>
    <w:rsid w:val="00B717F5"/>
    <w:rsid w:val="00B84A35"/>
    <w:rsid w:val="00B97175"/>
    <w:rsid w:val="00BB6BBC"/>
    <w:rsid w:val="00BC2C6D"/>
    <w:rsid w:val="00BE024B"/>
    <w:rsid w:val="00BF779B"/>
    <w:rsid w:val="00C0375F"/>
    <w:rsid w:val="00C13113"/>
    <w:rsid w:val="00C151E3"/>
    <w:rsid w:val="00C30476"/>
    <w:rsid w:val="00C308A4"/>
    <w:rsid w:val="00C3284D"/>
    <w:rsid w:val="00C44006"/>
    <w:rsid w:val="00C50CAB"/>
    <w:rsid w:val="00C55BB7"/>
    <w:rsid w:val="00C776EF"/>
    <w:rsid w:val="00C8196B"/>
    <w:rsid w:val="00C9012F"/>
    <w:rsid w:val="00C92148"/>
    <w:rsid w:val="00C928B1"/>
    <w:rsid w:val="00C92FB8"/>
    <w:rsid w:val="00CA0FC6"/>
    <w:rsid w:val="00CB17B3"/>
    <w:rsid w:val="00CC51FD"/>
    <w:rsid w:val="00CD225D"/>
    <w:rsid w:val="00CD25D1"/>
    <w:rsid w:val="00CD5108"/>
    <w:rsid w:val="00D05204"/>
    <w:rsid w:val="00D1385C"/>
    <w:rsid w:val="00D13EB7"/>
    <w:rsid w:val="00D23A38"/>
    <w:rsid w:val="00D24201"/>
    <w:rsid w:val="00D30F95"/>
    <w:rsid w:val="00D35374"/>
    <w:rsid w:val="00D53037"/>
    <w:rsid w:val="00D57427"/>
    <w:rsid w:val="00D62E42"/>
    <w:rsid w:val="00D67AD8"/>
    <w:rsid w:val="00D74F62"/>
    <w:rsid w:val="00DA13C1"/>
    <w:rsid w:val="00DA1E54"/>
    <w:rsid w:val="00DA2758"/>
    <w:rsid w:val="00DB616C"/>
    <w:rsid w:val="00DD1676"/>
    <w:rsid w:val="00DD6AAA"/>
    <w:rsid w:val="00DE6210"/>
    <w:rsid w:val="00E006B3"/>
    <w:rsid w:val="00E146D7"/>
    <w:rsid w:val="00E220D7"/>
    <w:rsid w:val="00E30BA2"/>
    <w:rsid w:val="00E54D96"/>
    <w:rsid w:val="00E7114D"/>
    <w:rsid w:val="00EA3C90"/>
    <w:rsid w:val="00EB423C"/>
    <w:rsid w:val="00ED0B96"/>
    <w:rsid w:val="00EE5582"/>
    <w:rsid w:val="00EF23D4"/>
    <w:rsid w:val="00EF72B2"/>
    <w:rsid w:val="00F1490D"/>
    <w:rsid w:val="00F24019"/>
    <w:rsid w:val="00F401F3"/>
    <w:rsid w:val="00F46B56"/>
    <w:rsid w:val="00F51AAD"/>
    <w:rsid w:val="00F53CA2"/>
    <w:rsid w:val="00F53F5E"/>
    <w:rsid w:val="00F54273"/>
    <w:rsid w:val="00F55D6C"/>
    <w:rsid w:val="00F920E3"/>
    <w:rsid w:val="00FA46EF"/>
    <w:rsid w:val="00FA4F20"/>
    <w:rsid w:val="00FA7034"/>
    <w:rsid w:val="00FB5391"/>
    <w:rsid w:val="00FD042E"/>
    <w:rsid w:val="00FD4D28"/>
    <w:rsid w:val="00FD6634"/>
    <w:rsid w:val="00FD6B24"/>
    <w:rsid w:val="00FD7F27"/>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FFA231"/>
  <w15:chartTrackingRefBased/>
  <w15:docId w15:val="{EC188CDF-DD4A-4028-81CF-0926376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paragraph" w:styleId="1">
    <w:name w:val="heading 1"/>
    <w:basedOn w:val="a"/>
    <w:next w:val="a"/>
    <w:link w:val="10"/>
    <w:uiPriority w:val="9"/>
    <w:qFormat/>
    <w:rsid w:val="007724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 w:type="character" w:customStyle="1" w:styleId="10">
    <w:name w:val="見出し 1 (文字)"/>
    <w:basedOn w:val="a0"/>
    <w:link w:val="1"/>
    <w:uiPriority w:val="9"/>
    <w:rsid w:val="0077243B"/>
    <w:rPr>
      <w:rFonts w:asciiTheme="majorHAnsi" w:hAnsiTheme="majorHAnsi" w:cstheme="majorBidi"/>
      <w:sz w:val="24"/>
      <w:szCs w:val="24"/>
    </w:rPr>
  </w:style>
  <w:style w:type="paragraph" w:styleId="ab">
    <w:name w:val="No Spacing"/>
    <w:uiPriority w:val="1"/>
    <w:qFormat/>
    <w:rsid w:val="0077243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427">
      <w:bodyDiv w:val="1"/>
      <w:marLeft w:val="0"/>
      <w:marRight w:val="0"/>
      <w:marTop w:val="0"/>
      <w:marBottom w:val="0"/>
      <w:divBdr>
        <w:top w:val="none" w:sz="0" w:space="0" w:color="auto"/>
        <w:left w:val="none" w:sz="0" w:space="0" w:color="auto"/>
        <w:bottom w:val="none" w:sz="0" w:space="0" w:color="auto"/>
        <w:right w:val="none" w:sz="0" w:space="0" w:color="auto"/>
      </w:divBdr>
    </w:div>
    <w:div w:id="82117919">
      <w:bodyDiv w:val="1"/>
      <w:marLeft w:val="0"/>
      <w:marRight w:val="0"/>
      <w:marTop w:val="0"/>
      <w:marBottom w:val="0"/>
      <w:divBdr>
        <w:top w:val="none" w:sz="0" w:space="0" w:color="auto"/>
        <w:left w:val="none" w:sz="0" w:space="0" w:color="auto"/>
        <w:bottom w:val="none" w:sz="0" w:space="0" w:color="auto"/>
        <w:right w:val="none" w:sz="0" w:space="0" w:color="auto"/>
      </w:divBdr>
    </w:div>
    <w:div w:id="182088899">
      <w:bodyDiv w:val="1"/>
      <w:marLeft w:val="0"/>
      <w:marRight w:val="0"/>
      <w:marTop w:val="0"/>
      <w:marBottom w:val="0"/>
      <w:divBdr>
        <w:top w:val="none" w:sz="0" w:space="0" w:color="auto"/>
        <w:left w:val="none" w:sz="0" w:space="0" w:color="auto"/>
        <w:bottom w:val="none" w:sz="0" w:space="0" w:color="auto"/>
        <w:right w:val="none" w:sz="0" w:space="0" w:color="auto"/>
      </w:divBdr>
    </w:div>
    <w:div w:id="250622431">
      <w:bodyDiv w:val="1"/>
      <w:marLeft w:val="0"/>
      <w:marRight w:val="0"/>
      <w:marTop w:val="0"/>
      <w:marBottom w:val="0"/>
      <w:divBdr>
        <w:top w:val="none" w:sz="0" w:space="0" w:color="auto"/>
        <w:left w:val="none" w:sz="0" w:space="0" w:color="auto"/>
        <w:bottom w:val="none" w:sz="0" w:space="0" w:color="auto"/>
        <w:right w:val="none" w:sz="0" w:space="0" w:color="auto"/>
      </w:divBdr>
    </w:div>
    <w:div w:id="266625431">
      <w:bodyDiv w:val="1"/>
      <w:marLeft w:val="0"/>
      <w:marRight w:val="0"/>
      <w:marTop w:val="0"/>
      <w:marBottom w:val="0"/>
      <w:divBdr>
        <w:top w:val="none" w:sz="0" w:space="0" w:color="auto"/>
        <w:left w:val="none" w:sz="0" w:space="0" w:color="auto"/>
        <w:bottom w:val="none" w:sz="0" w:space="0" w:color="auto"/>
        <w:right w:val="none" w:sz="0" w:space="0" w:color="auto"/>
      </w:divBdr>
    </w:div>
    <w:div w:id="463933099">
      <w:bodyDiv w:val="1"/>
      <w:marLeft w:val="0"/>
      <w:marRight w:val="0"/>
      <w:marTop w:val="0"/>
      <w:marBottom w:val="0"/>
      <w:divBdr>
        <w:top w:val="none" w:sz="0" w:space="0" w:color="auto"/>
        <w:left w:val="none" w:sz="0" w:space="0" w:color="auto"/>
        <w:bottom w:val="none" w:sz="0" w:space="0" w:color="auto"/>
        <w:right w:val="none" w:sz="0" w:space="0" w:color="auto"/>
      </w:divBdr>
    </w:div>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645865321">
      <w:bodyDiv w:val="1"/>
      <w:marLeft w:val="0"/>
      <w:marRight w:val="0"/>
      <w:marTop w:val="0"/>
      <w:marBottom w:val="0"/>
      <w:divBdr>
        <w:top w:val="none" w:sz="0" w:space="0" w:color="auto"/>
        <w:left w:val="none" w:sz="0" w:space="0" w:color="auto"/>
        <w:bottom w:val="none" w:sz="0" w:space="0" w:color="auto"/>
        <w:right w:val="none" w:sz="0" w:space="0" w:color="auto"/>
      </w:divBdr>
    </w:div>
    <w:div w:id="725643473">
      <w:bodyDiv w:val="1"/>
      <w:marLeft w:val="0"/>
      <w:marRight w:val="0"/>
      <w:marTop w:val="0"/>
      <w:marBottom w:val="0"/>
      <w:divBdr>
        <w:top w:val="none" w:sz="0" w:space="0" w:color="auto"/>
        <w:left w:val="none" w:sz="0" w:space="0" w:color="auto"/>
        <w:bottom w:val="none" w:sz="0" w:space="0" w:color="auto"/>
        <w:right w:val="none" w:sz="0" w:space="0" w:color="auto"/>
      </w:divBdr>
    </w:div>
    <w:div w:id="755591050">
      <w:bodyDiv w:val="1"/>
      <w:marLeft w:val="0"/>
      <w:marRight w:val="0"/>
      <w:marTop w:val="0"/>
      <w:marBottom w:val="0"/>
      <w:divBdr>
        <w:top w:val="none" w:sz="0" w:space="0" w:color="auto"/>
        <w:left w:val="none" w:sz="0" w:space="0" w:color="auto"/>
        <w:bottom w:val="none" w:sz="0" w:space="0" w:color="auto"/>
        <w:right w:val="none" w:sz="0" w:space="0" w:color="auto"/>
      </w:divBdr>
    </w:div>
    <w:div w:id="784350857">
      <w:bodyDiv w:val="1"/>
      <w:marLeft w:val="0"/>
      <w:marRight w:val="0"/>
      <w:marTop w:val="0"/>
      <w:marBottom w:val="0"/>
      <w:divBdr>
        <w:top w:val="none" w:sz="0" w:space="0" w:color="auto"/>
        <w:left w:val="none" w:sz="0" w:space="0" w:color="auto"/>
        <w:bottom w:val="none" w:sz="0" w:space="0" w:color="auto"/>
        <w:right w:val="none" w:sz="0" w:space="0" w:color="auto"/>
      </w:divBdr>
    </w:div>
    <w:div w:id="916482023">
      <w:bodyDiv w:val="1"/>
      <w:marLeft w:val="0"/>
      <w:marRight w:val="0"/>
      <w:marTop w:val="0"/>
      <w:marBottom w:val="0"/>
      <w:divBdr>
        <w:top w:val="none" w:sz="0" w:space="0" w:color="auto"/>
        <w:left w:val="none" w:sz="0" w:space="0" w:color="auto"/>
        <w:bottom w:val="none" w:sz="0" w:space="0" w:color="auto"/>
        <w:right w:val="none" w:sz="0" w:space="0" w:color="auto"/>
      </w:divBdr>
    </w:div>
    <w:div w:id="923883655">
      <w:bodyDiv w:val="1"/>
      <w:marLeft w:val="0"/>
      <w:marRight w:val="0"/>
      <w:marTop w:val="0"/>
      <w:marBottom w:val="0"/>
      <w:divBdr>
        <w:top w:val="none" w:sz="0" w:space="0" w:color="auto"/>
        <w:left w:val="none" w:sz="0" w:space="0" w:color="auto"/>
        <w:bottom w:val="none" w:sz="0" w:space="0" w:color="auto"/>
        <w:right w:val="none" w:sz="0" w:space="0" w:color="auto"/>
      </w:divBdr>
    </w:div>
    <w:div w:id="1242526902">
      <w:bodyDiv w:val="1"/>
      <w:marLeft w:val="0"/>
      <w:marRight w:val="0"/>
      <w:marTop w:val="0"/>
      <w:marBottom w:val="0"/>
      <w:divBdr>
        <w:top w:val="none" w:sz="0" w:space="0" w:color="auto"/>
        <w:left w:val="none" w:sz="0" w:space="0" w:color="auto"/>
        <w:bottom w:val="none" w:sz="0" w:space="0" w:color="auto"/>
        <w:right w:val="none" w:sz="0" w:space="0" w:color="auto"/>
      </w:divBdr>
    </w:div>
    <w:div w:id="1293751548">
      <w:bodyDiv w:val="1"/>
      <w:marLeft w:val="0"/>
      <w:marRight w:val="0"/>
      <w:marTop w:val="0"/>
      <w:marBottom w:val="0"/>
      <w:divBdr>
        <w:top w:val="none" w:sz="0" w:space="0" w:color="auto"/>
        <w:left w:val="none" w:sz="0" w:space="0" w:color="auto"/>
        <w:bottom w:val="none" w:sz="0" w:space="0" w:color="auto"/>
        <w:right w:val="none" w:sz="0" w:space="0" w:color="auto"/>
      </w:divBdr>
    </w:div>
    <w:div w:id="1499661738">
      <w:bodyDiv w:val="1"/>
      <w:marLeft w:val="0"/>
      <w:marRight w:val="0"/>
      <w:marTop w:val="0"/>
      <w:marBottom w:val="0"/>
      <w:divBdr>
        <w:top w:val="none" w:sz="0" w:space="0" w:color="auto"/>
        <w:left w:val="none" w:sz="0" w:space="0" w:color="auto"/>
        <w:bottom w:val="none" w:sz="0" w:space="0" w:color="auto"/>
        <w:right w:val="none" w:sz="0" w:space="0" w:color="auto"/>
      </w:divBdr>
    </w:div>
    <w:div w:id="1528643608">
      <w:bodyDiv w:val="1"/>
      <w:marLeft w:val="0"/>
      <w:marRight w:val="0"/>
      <w:marTop w:val="0"/>
      <w:marBottom w:val="0"/>
      <w:divBdr>
        <w:top w:val="none" w:sz="0" w:space="0" w:color="auto"/>
        <w:left w:val="none" w:sz="0" w:space="0" w:color="auto"/>
        <w:bottom w:val="none" w:sz="0" w:space="0" w:color="auto"/>
        <w:right w:val="none" w:sz="0" w:space="0" w:color="auto"/>
      </w:divBdr>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596865761">
      <w:bodyDiv w:val="1"/>
      <w:marLeft w:val="0"/>
      <w:marRight w:val="0"/>
      <w:marTop w:val="0"/>
      <w:marBottom w:val="0"/>
      <w:divBdr>
        <w:top w:val="none" w:sz="0" w:space="0" w:color="auto"/>
        <w:left w:val="none" w:sz="0" w:space="0" w:color="auto"/>
        <w:bottom w:val="none" w:sz="0" w:space="0" w:color="auto"/>
        <w:right w:val="none" w:sz="0" w:space="0" w:color="auto"/>
      </w:divBdr>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679651808">
      <w:bodyDiv w:val="1"/>
      <w:marLeft w:val="0"/>
      <w:marRight w:val="0"/>
      <w:marTop w:val="0"/>
      <w:marBottom w:val="0"/>
      <w:divBdr>
        <w:top w:val="none" w:sz="0" w:space="0" w:color="auto"/>
        <w:left w:val="none" w:sz="0" w:space="0" w:color="auto"/>
        <w:bottom w:val="none" w:sz="0" w:space="0" w:color="auto"/>
        <w:right w:val="none" w:sz="0" w:space="0" w:color="auto"/>
      </w:divBdr>
    </w:div>
    <w:div w:id="1688170556">
      <w:bodyDiv w:val="1"/>
      <w:marLeft w:val="0"/>
      <w:marRight w:val="0"/>
      <w:marTop w:val="0"/>
      <w:marBottom w:val="0"/>
      <w:divBdr>
        <w:top w:val="none" w:sz="0" w:space="0" w:color="auto"/>
        <w:left w:val="none" w:sz="0" w:space="0" w:color="auto"/>
        <w:bottom w:val="none" w:sz="0" w:space="0" w:color="auto"/>
        <w:right w:val="none" w:sz="0" w:space="0" w:color="auto"/>
      </w:divBdr>
    </w:div>
    <w:div w:id="1719817069">
      <w:bodyDiv w:val="1"/>
      <w:marLeft w:val="0"/>
      <w:marRight w:val="0"/>
      <w:marTop w:val="0"/>
      <w:marBottom w:val="0"/>
      <w:divBdr>
        <w:top w:val="none" w:sz="0" w:space="0" w:color="auto"/>
        <w:left w:val="none" w:sz="0" w:space="0" w:color="auto"/>
        <w:bottom w:val="none" w:sz="0" w:space="0" w:color="auto"/>
        <w:right w:val="none" w:sz="0" w:space="0" w:color="auto"/>
      </w:divBdr>
    </w:div>
    <w:div w:id="1723484190">
      <w:bodyDiv w:val="1"/>
      <w:marLeft w:val="0"/>
      <w:marRight w:val="0"/>
      <w:marTop w:val="0"/>
      <w:marBottom w:val="0"/>
      <w:divBdr>
        <w:top w:val="none" w:sz="0" w:space="0" w:color="auto"/>
        <w:left w:val="none" w:sz="0" w:space="0" w:color="auto"/>
        <w:bottom w:val="none" w:sz="0" w:space="0" w:color="auto"/>
        <w:right w:val="none" w:sz="0" w:space="0" w:color="auto"/>
      </w:divBdr>
    </w:div>
    <w:div w:id="1820733460">
      <w:bodyDiv w:val="1"/>
      <w:marLeft w:val="0"/>
      <w:marRight w:val="0"/>
      <w:marTop w:val="0"/>
      <w:marBottom w:val="0"/>
      <w:divBdr>
        <w:top w:val="none" w:sz="0" w:space="0" w:color="auto"/>
        <w:left w:val="none" w:sz="0" w:space="0" w:color="auto"/>
        <w:bottom w:val="none" w:sz="0" w:space="0" w:color="auto"/>
        <w:right w:val="none" w:sz="0" w:space="0" w:color="auto"/>
      </w:divBdr>
    </w:div>
    <w:div w:id="1884637787">
      <w:bodyDiv w:val="1"/>
      <w:marLeft w:val="0"/>
      <w:marRight w:val="0"/>
      <w:marTop w:val="0"/>
      <w:marBottom w:val="0"/>
      <w:divBdr>
        <w:top w:val="none" w:sz="0" w:space="0" w:color="auto"/>
        <w:left w:val="none" w:sz="0" w:space="0" w:color="auto"/>
        <w:bottom w:val="none" w:sz="0" w:space="0" w:color="auto"/>
        <w:right w:val="none" w:sz="0" w:space="0" w:color="auto"/>
      </w:divBdr>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 w:id="2017538791">
      <w:bodyDiv w:val="1"/>
      <w:marLeft w:val="0"/>
      <w:marRight w:val="0"/>
      <w:marTop w:val="0"/>
      <w:marBottom w:val="0"/>
      <w:divBdr>
        <w:top w:val="none" w:sz="0" w:space="0" w:color="auto"/>
        <w:left w:val="none" w:sz="0" w:space="0" w:color="auto"/>
        <w:bottom w:val="none" w:sz="0" w:space="0" w:color="auto"/>
        <w:right w:val="none" w:sz="0" w:space="0" w:color="auto"/>
      </w:divBdr>
    </w:div>
    <w:div w:id="2049256944">
      <w:bodyDiv w:val="1"/>
      <w:marLeft w:val="0"/>
      <w:marRight w:val="0"/>
      <w:marTop w:val="0"/>
      <w:marBottom w:val="0"/>
      <w:divBdr>
        <w:top w:val="none" w:sz="0" w:space="0" w:color="auto"/>
        <w:left w:val="none" w:sz="0" w:space="0" w:color="auto"/>
        <w:bottom w:val="none" w:sz="0" w:space="0" w:color="auto"/>
        <w:right w:val="none" w:sz="0" w:space="0" w:color="auto"/>
      </w:divBdr>
    </w:div>
    <w:div w:id="213787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12.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研究開発費</a:t>
            </a:r>
          </a:p>
        </c:rich>
      </c:tx>
      <c:overlay val="0"/>
      <c:spPr>
        <a:noFill/>
        <a:ln w="25400">
          <a:noFill/>
        </a:ln>
      </c:spPr>
    </c:title>
    <c:autoTitleDeleted val="0"/>
    <c:plotArea>
      <c:layout>
        <c:manualLayout>
          <c:layoutTarget val="inner"/>
          <c:xMode val="edge"/>
          <c:yMode val="edge"/>
          <c:x val="0.12931551877442635"/>
          <c:y val="0.21093071033852398"/>
          <c:w val="0.77589089275544576"/>
          <c:h val="0.47771343278575801"/>
        </c:manualLayout>
      </c:layout>
      <c:lineChart>
        <c:grouping val="standard"/>
        <c:varyColors val="0"/>
        <c:ser>
          <c:idx val="0"/>
          <c:order val="0"/>
          <c:tx>
            <c:strRef>
              <c:f>設備投資・減価償却費・研究開発費!$A$8</c:f>
              <c:strCache>
                <c:ptCount val="1"/>
                <c:pt idx="0">
                  <c:v>研究開発費</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設備投資・減価償却費・研究開発費!$B$8:$L$8</c:f>
              <c:numCache>
                <c:formatCode>#,##0_ </c:formatCode>
                <c:ptCount val="11"/>
                <c:pt idx="0">
                  <c:v>9936</c:v>
                </c:pt>
                <c:pt idx="1">
                  <c:v>8187</c:v>
                </c:pt>
                <c:pt idx="2">
                  <c:v>8879</c:v>
                </c:pt>
                <c:pt idx="3">
                  <c:v>9158</c:v>
                </c:pt>
                <c:pt idx="4">
                  <c:v>9983</c:v>
                </c:pt>
                <c:pt idx="5">
                  <c:v>10513</c:v>
                </c:pt>
                <c:pt idx="6">
                  <c:v>11712</c:v>
                </c:pt>
                <c:pt idx="7">
                  <c:v>11928</c:v>
                </c:pt>
                <c:pt idx="8">
                  <c:v>10836</c:v>
                </c:pt>
                <c:pt idx="9">
                  <c:v>10340</c:v>
                </c:pt>
                <c:pt idx="10">
                  <c:v>10269</c:v>
                </c:pt>
              </c:numCache>
            </c:numRef>
          </c:val>
          <c:smooth val="0"/>
          <c:extLst>
            <c:ext xmlns:c16="http://schemas.microsoft.com/office/drawing/2014/chart" uri="{C3380CC4-5D6E-409C-BE32-E72D297353CC}">
              <c16:uniqueId val="{00000000-F171-4C7A-822C-9727AEAF55B6}"/>
            </c:ext>
          </c:extLst>
        </c:ser>
        <c:dLbls>
          <c:showLegendKey val="0"/>
          <c:showVal val="0"/>
          <c:showCatName val="0"/>
          <c:showSerName val="0"/>
          <c:showPercent val="0"/>
          <c:showBubbleSize val="0"/>
        </c:dLbls>
        <c:marker val="1"/>
        <c:smooth val="0"/>
        <c:axId val="550785272"/>
        <c:axId val="1"/>
      </c:lineChart>
      <c:lineChart>
        <c:grouping val="standard"/>
        <c:varyColors val="0"/>
        <c:ser>
          <c:idx val="1"/>
          <c:order val="1"/>
          <c:tx>
            <c:strRef>
              <c:f>設備投資・減価償却費・研究開発費!$A$9</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設備投資・減価償却費・研究開発費!$B$9:$L$9</c:f>
              <c:numCache>
                <c:formatCode>#,##0.0_ </c:formatCode>
                <c:ptCount val="11"/>
                <c:pt idx="0">
                  <c:v>6.2</c:v>
                </c:pt>
                <c:pt idx="1">
                  <c:v>6.3</c:v>
                </c:pt>
                <c:pt idx="2">
                  <c:v>4.0999999999999996</c:v>
                </c:pt>
                <c:pt idx="3">
                  <c:v>4.4000000000000004</c:v>
                </c:pt>
                <c:pt idx="4">
                  <c:v>4.8</c:v>
                </c:pt>
                <c:pt idx="5">
                  <c:v>4.4421439587602727</c:v>
                </c:pt>
                <c:pt idx="6">
                  <c:v>4.5999999999999996</c:v>
                </c:pt>
                <c:pt idx="7">
                  <c:v>4.2</c:v>
                </c:pt>
                <c:pt idx="8">
                  <c:v>4.0999999999999996</c:v>
                </c:pt>
                <c:pt idx="9">
                  <c:v>3.9</c:v>
                </c:pt>
                <c:pt idx="10">
                  <c:v>4.2</c:v>
                </c:pt>
              </c:numCache>
            </c:numRef>
          </c:val>
          <c:smooth val="0"/>
          <c:extLst>
            <c:ext xmlns:c16="http://schemas.microsoft.com/office/drawing/2014/chart" uri="{C3380CC4-5D6E-409C-BE32-E72D297353CC}">
              <c16:uniqueId val="{00000001-F171-4C7A-822C-9727AEAF55B6}"/>
            </c:ext>
          </c:extLst>
        </c:ser>
        <c:dLbls>
          <c:showLegendKey val="0"/>
          <c:showVal val="0"/>
          <c:showCatName val="0"/>
          <c:showSerName val="0"/>
          <c:showPercent val="0"/>
          <c:showBubbleSize val="0"/>
        </c:dLbls>
        <c:marker val="1"/>
        <c:smooth val="0"/>
        <c:axId val="3"/>
        <c:axId val="4"/>
      </c:lineChart>
      <c:catAx>
        <c:axId val="550785272"/>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85272"/>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1944429360123087"/>
          <c:y val="0.91539283141657768"/>
          <c:w val="0.57777777777777772"/>
          <c:h val="7.7547546304346016E-2"/>
        </c:manualLayout>
      </c:layout>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ja-JP" b="0"/>
              <a:t>設備投資額</a:t>
            </a:r>
          </a:p>
        </c:rich>
      </c:tx>
      <c:overlay val="0"/>
    </c:title>
    <c:autoTitleDeleted val="0"/>
    <c:plotArea>
      <c:layout>
        <c:manualLayout>
          <c:layoutTarget val="inner"/>
          <c:xMode val="edge"/>
          <c:yMode val="edge"/>
          <c:x val="0.14147003499562555"/>
          <c:y val="0.16203703703703703"/>
          <c:w val="0.7284350393700787"/>
          <c:h val="0.57328229804607755"/>
        </c:manualLayout>
      </c:layout>
      <c:lineChart>
        <c:grouping val="standard"/>
        <c:varyColors val="0"/>
        <c:ser>
          <c:idx val="0"/>
          <c:order val="0"/>
          <c:tx>
            <c:strRef>
              <c:f>設備投資・減価償却費・研究開発費!$A$4</c:f>
              <c:strCache>
                <c:ptCount val="1"/>
                <c:pt idx="0">
                  <c:v>設備投資額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設備投資・減価償却費・研究開発費!$B$4:$L$4</c:f>
              <c:numCache>
                <c:formatCode>#,##0_ </c:formatCode>
                <c:ptCount val="11"/>
                <c:pt idx="0">
                  <c:v>17803</c:v>
                </c:pt>
                <c:pt idx="1">
                  <c:v>5362</c:v>
                </c:pt>
                <c:pt idx="2">
                  <c:v>5149</c:v>
                </c:pt>
                <c:pt idx="3">
                  <c:v>14326</c:v>
                </c:pt>
                <c:pt idx="4">
                  <c:v>19780</c:v>
                </c:pt>
                <c:pt idx="5">
                  <c:v>21822</c:v>
                </c:pt>
                <c:pt idx="6">
                  <c:v>20833</c:v>
                </c:pt>
                <c:pt idx="7">
                  <c:v>18568</c:v>
                </c:pt>
                <c:pt idx="8">
                  <c:v>18670</c:v>
                </c:pt>
                <c:pt idx="9">
                  <c:v>11550</c:v>
                </c:pt>
                <c:pt idx="10">
                  <c:v>12621</c:v>
                </c:pt>
              </c:numCache>
            </c:numRef>
          </c:val>
          <c:smooth val="0"/>
          <c:extLst>
            <c:ext xmlns:c16="http://schemas.microsoft.com/office/drawing/2014/chart" uri="{C3380CC4-5D6E-409C-BE32-E72D297353CC}">
              <c16:uniqueId val="{00000000-6961-4540-B1C8-9DC42E625312}"/>
            </c:ext>
          </c:extLst>
        </c:ser>
        <c:dLbls>
          <c:showLegendKey val="0"/>
          <c:showVal val="0"/>
          <c:showCatName val="0"/>
          <c:showSerName val="0"/>
          <c:showPercent val="0"/>
          <c:showBubbleSize val="0"/>
        </c:dLbls>
        <c:marker val="1"/>
        <c:smooth val="0"/>
        <c:axId val="550790520"/>
        <c:axId val="1"/>
      </c:lineChart>
      <c:lineChart>
        <c:grouping val="standard"/>
        <c:varyColors val="0"/>
        <c:ser>
          <c:idx val="1"/>
          <c:order val="1"/>
          <c:tx>
            <c:strRef>
              <c:f>設備投資・減価償却費・研究開発費!$A$5</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設備投資・減価償却費・研究開発費!$B$5:$L$5</c:f>
              <c:numCache>
                <c:formatCode>#,##0.0_ </c:formatCode>
                <c:ptCount val="11"/>
                <c:pt idx="0">
                  <c:v>11.2</c:v>
                </c:pt>
                <c:pt idx="1">
                  <c:v>4.0999999999999996</c:v>
                </c:pt>
                <c:pt idx="2">
                  <c:v>2.4</c:v>
                </c:pt>
                <c:pt idx="3">
                  <c:v>6.8</c:v>
                </c:pt>
                <c:pt idx="4">
                  <c:v>9.6</c:v>
                </c:pt>
                <c:pt idx="5">
                  <c:v>9.2206283142839034</c:v>
                </c:pt>
                <c:pt idx="6">
                  <c:v>8.1999999999999993</c:v>
                </c:pt>
                <c:pt idx="7">
                  <c:v>6.6</c:v>
                </c:pt>
                <c:pt idx="8">
                  <c:v>7</c:v>
                </c:pt>
                <c:pt idx="9">
                  <c:v>4.4000000000000004</c:v>
                </c:pt>
                <c:pt idx="10">
                  <c:v>5.2</c:v>
                </c:pt>
              </c:numCache>
            </c:numRef>
          </c:val>
          <c:smooth val="0"/>
          <c:extLst>
            <c:ext xmlns:c16="http://schemas.microsoft.com/office/drawing/2014/chart" uri="{C3380CC4-5D6E-409C-BE32-E72D297353CC}">
              <c16:uniqueId val="{00000001-6961-4540-B1C8-9DC42E625312}"/>
            </c:ext>
          </c:extLst>
        </c:ser>
        <c:dLbls>
          <c:showLegendKey val="0"/>
          <c:showVal val="0"/>
          <c:showCatName val="0"/>
          <c:showSerName val="0"/>
          <c:showPercent val="0"/>
          <c:showBubbleSize val="0"/>
        </c:dLbls>
        <c:marker val="1"/>
        <c:smooth val="0"/>
        <c:axId val="3"/>
        <c:axId val="4"/>
      </c:lineChart>
      <c:catAx>
        <c:axId val="550790520"/>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9052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4892989875688838"/>
          <c:y val="0.91119787109944572"/>
          <c:w val="0.55107010124311162"/>
          <c:h val="8.5567220764071153E-2"/>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キャッシュフロー推移</a:t>
            </a:r>
          </a:p>
        </c:rich>
      </c:tx>
      <c:overlay val="0"/>
      <c:spPr>
        <a:noFill/>
        <a:ln w="25400">
          <a:noFill/>
        </a:ln>
      </c:spPr>
    </c:title>
    <c:autoTitleDeleted val="0"/>
    <c:plotArea>
      <c:layout>
        <c:manualLayout>
          <c:layoutTarget val="inner"/>
          <c:xMode val="edge"/>
          <c:yMode val="edge"/>
          <c:x val="8.9036894103652064E-2"/>
          <c:y val="0.18148148148148149"/>
          <c:w val="0.90217961885199127"/>
          <c:h val="0.48883603091280259"/>
        </c:manualLayout>
      </c:layout>
      <c:barChart>
        <c:barDir val="col"/>
        <c:grouping val="clustered"/>
        <c:varyColors val="0"/>
        <c:ser>
          <c:idx val="0"/>
          <c:order val="0"/>
          <c:tx>
            <c:strRef>
              <c:f>連結キャッシュ・フローの状況!$A$3</c:f>
              <c:strCache>
                <c:ptCount val="1"/>
                <c:pt idx="0">
                  <c:v>営業キャッシュ・フロー</c:v>
                </c:pt>
              </c:strCache>
            </c:strRef>
          </c:tx>
          <c:spPr>
            <a:solidFill>
              <a:srgbClr val="4F81B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連結キャッシュ・フローの状況!$B$3:$L$3</c:f>
              <c:numCache>
                <c:formatCode>#,##0_ </c:formatCode>
                <c:ptCount val="11"/>
                <c:pt idx="0">
                  <c:v>4200</c:v>
                </c:pt>
                <c:pt idx="1">
                  <c:v>3187</c:v>
                </c:pt>
                <c:pt idx="2">
                  <c:v>7433</c:v>
                </c:pt>
                <c:pt idx="3">
                  <c:v>2916</c:v>
                </c:pt>
                <c:pt idx="4">
                  <c:v>7585</c:v>
                </c:pt>
                <c:pt idx="5">
                  <c:v>18872</c:v>
                </c:pt>
                <c:pt idx="6">
                  <c:v>10210</c:v>
                </c:pt>
                <c:pt idx="7">
                  <c:v>7516</c:v>
                </c:pt>
                <c:pt idx="8">
                  <c:v>14138</c:v>
                </c:pt>
                <c:pt idx="9">
                  <c:v>19354</c:v>
                </c:pt>
                <c:pt idx="10">
                  <c:v>5237</c:v>
                </c:pt>
              </c:numCache>
            </c:numRef>
          </c:val>
          <c:extLst>
            <c:ext xmlns:c16="http://schemas.microsoft.com/office/drawing/2014/chart" uri="{C3380CC4-5D6E-409C-BE32-E72D297353CC}">
              <c16:uniqueId val="{00000000-04A6-4C21-9703-AB664F9D05CD}"/>
            </c:ext>
          </c:extLst>
        </c:ser>
        <c:ser>
          <c:idx val="1"/>
          <c:order val="1"/>
          <c:tx>
            <c:strRef>
              <c:f>連結キャッシュ・フローの状況!$A$4</c:f>
              <c:strCache>
                <c:ptCount val="1"/>
                <c:pt idx="0">
                  <c:v>投資キャッシュ・フロー</c:v>
                </c:pt>
              </c:strCache>
            </c:strRef>
          </c:tx>
          <c:spPr>
            <a:solidFill>
              <a:srgbClr val="C0504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連結キャッシュ・フローの状況!$B$4:$L$4</c:f>
              <c:numCache>
                <c:formatCode>#,##0_ </c:formatCode>
                <c:ptCount val="11"/>
                <c:pt idx="0">
                  <c:v>-13563</c:v>
                </c:pt>
                <c:pt idx="1">
                  <c:v>-13374</c:v>
                </c:pt>
                <c:pt idx="2">
                  <c:v>-8555</c:v>
                </c:pt>
                <c:pt idx="3">
                  <c:v>-23810</c:v>
                </c:pt>
                <c:pt idx="4">
                  <c:v>-4055</c:v>
                </c:pt>
                <c:pt idx="5">
                  <c:v>-20346</c:v>
                </c:pt>
                <c:pt idx="6">
                  <c:v>-17708</c:v>
                </c:pt>
                <c:pt idx="7">
                  <c:v>-10082</c:v>
                </c:pt>
                <c:pt idx="8">
                  <c:v>-15887</c:v>
                </c:pt>
                <c:pt idx="9">
                  <c:v>-11101</c:v>
                </c:pt>
                <c:pt idx="10">
                  <c:v>-3326</c:v>
                </c:pt>
              </c:numCache>
            </c:numRef>
          </c:val>
          <c:extLst>
            <c:ext xmlns:c16="http://schemas.microsoft.com/office/drawing/2014/chart" uri="{C3380CC4-5D6E-409C-BE32-E72D297353CC}">
              <c16:uniqueId val="{00000001-04A6-4C21-9703-AB664F9D05CD}"/>
            </c:ext>
          </c:extLst>
        </c:ser>
        <c:ser>
          <c:idx val="2"/>
          <c:order val="2"/>
          <c:tx>
            <c:strRef>
              <c:f>連結キャッシュ・フローの状況!$A$5</c:f>
              <c:strCache>
                <c:ptCount val="1"/>
                <c:pt idx="0">
                  <c:v>財務キャッシュ・フロー</c:v>
                </c:pt>
              </c:strCache>
            </c:strRef>
          </c:tx>
          <c:spPr>
            <a:solidFill>
              <a:srgbClr val="9BBB59"/>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連結キャッシュ・フローの状況!$B$5:$L$5</c:f>
              <c:numCache>
                <c:formatCode>#,##0_ </c:formatCode>
                <c:ptCount val="11"/>
                <c:pt idx="0">
                  <c:v>38629</c:v>
                </c:pt>
                <c:pt idx="1">
                  <c:v>-32</c:v>
                </c:pt>
                <c:pt idx="2">
                  <c:v>18203</c:v>
                </c:pt>
                <c:pt idx="3">
                  <c:v>1432</c:v>
                </c:pt>
                <c:pt idx="4">
                  <c:v>-2037</c:v>
                </c:pt>
                <c:pt idx="5">
                  <c:v>-6220</c:v>
                </c:pt>
                <c:pt idx="6">
                  <c:v>5812</c:v>
                </c:pt>
                <c:pt idx="7">
                  <c:v>11222</c:v>
                </c:pt>
                <c:pt idx="8">
                  <c:v>-2796</c:v>
                </c:pt>
                <c:pt idx="9">
                  <c:v>-11276</c:v>
                </c:pt>
                <c:pt idx="10">
                  <c:v>4369</c:v>
                </c:pt>
              </c:numCache>
            </c:numRef>
          </c:val>
          <c:extLst>
            <c:ext xmlns:c16="http://schemas.microsoft.com/office/drawing/2014/chart" uri="{C3380CC4-5D6E-409C-BE32-E72D297353CC}">
              <c16:uniqueId val="{00000002-04A6-4C21-9703-AB664F9D05CD}"/>
            </c:ext>
          </c:extLst>
        </c:ser>
        <c:dLbls>
          <c:showLegendKey val="0"/>
          <c:showVal val="0"/>
          <c:showCatName val="0"/>
          <c:showSerName val="0"/>
          <c:showPercent val="0"/>
          <c:showBubbleSize val="0"/>
        </c:dLbls>
        <c:gapWidth val="219"/>
        <c:overlap val="-27"/>
        <c:axId val="584284712"/>
        <c:axId val="1"/>
      </c:barChart>
      <c:catAx>
        <c:axId val="584284712"/>
        <c:scaling>
          <c:orientation val="minMax"/>
        </c:scaling>
        <c:delete val="0"/>
        <c:axPos val="b"/>
        <c:numFmt formatCode="yyyy&quot;年&quot;m&quot;月&quot;" sourceLinked="0"/>
        <c:majorTickMark val="out"/>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84284712"/>
        <c:crosses val="autoZero"/>
        <c:crossBetween val="between"/>
      </c:valAx>
      <c:spPr>
        <a:noFill/>
        <a:ln w="25400">
          <a:noFill/>
        </a:ln>
      </c:spPr>
    </c:plotArea>
    <c:legend>
      <c:legendPos val="b"/>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FDD9-C285-49D2-B922-E17045CD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26</Pages>
  <Words>2670</Words>
  <Characters>15224</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7</cp:revision>
  <cp:lastPrinted>2019-09-23T05:36:00Z</cp:lastPrinted>
  <dcterms:created xsi:type="dcterms:W3CDTF">2019-09-18T07:18:00Z</dcterms:created>
  <dcterms:modified xsi:type="dcterms:W3CDTF">2019-10-29T04:55:00Z</dcterms:modified>
</cp:coreProperties>
</file>