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916" w:rsidRDefault="002D3916">
      <w:pPr>
        <w:rPr>
          <w:rFonts w:ascii="游ゴシック" w:eastAsia="游ゴシック" w:hAnsi="游ゴシック" w:hint="eastAsia"/>
        </w:rPr>
      </w:pPr>
      <w:r>
        <w:rPr>
          <w:rFonts w:ascii="游ゴシック" w:eastAsia="游ゴシック" w:hAnsi="游ゴシック" w:hint="eastAsia"/>
        </w:rPr>
        <w:t>曙ブレーキ工業</w:t>
      </w:r>
    </w:p>
    <w:p w:rsidR="002D3916" w:rsidRDefault="002D3916">
      <w:pPr>
        <w:rPr>
          <w:rFonts w:ascii="游ゴシック" w:eastAsia="游ゴシック" w:hAnsi="游ゴシック"/>
        </w:rPr>
      </w:pPr>
    </w:p>
    <w:p w:rsidR="00011635" w:rsidRDefault="003670B8">
      <w:pPr>
        <w:rPr>
          <w:rFonts w:ascii="游ゴシック" w:eastAsia="游ゴシック" w:hAnsi="游ゴシック"/>
        </w:rPr>
      </w:pPr>
      <w:r w:rsidRPr="003670B8">
        <w:rPr>
          <w:rFonts w:ascii="游ゴシック" w:eastAsia="游ゴシック" w:hAnsi="游ゴシック" w:hint="eastAsia"/>
        </w:rPr>
        <w:t>曙ブレーキ工業</w:t>
      </w:r>
      <w:r>
        <w:rPr>
          <w:rFonts w:ascii="游ゴシック" w:eastAsia="游ゴシック" w:hAnsi="游ゴシック" w:hint="eastAsia"/>
        </w:rPr>
        <w:t>は2</w:t>
      </w:r>
      <w:r>
        <w:rPr>
          <w:rFonts w:ascii="游ゴシック" w:eastAsia="游ゴシック" w:hAnsi="游ゴシック"/>
        </w:rPr>
        <w:t>019</w:t>
      </w:r>
      <w:r>
        <w:rPr>
          <w:rFonts w:ascii="游ゴシック" w:eastAsia="游ゴシック" w:hAnsi="游ゴシック" w:hint="eastAsia"/>
        </w:rPr>
        <w:t>年1月</w:t>
      </w:r>
      <w:r>
        <w:rPr>
          <w:rFonts w:ascii="游ゴシック" w:eastAsia="游ゴシック" w:hAnsi="游ゴシック"/>
        </w:rPr>
        <w:t>29</w:t>
      </w:r>
      <w:r>
        <w:rPr>
          <w:rFonts w:ascii="游ゴシック" w:eastAsia="游ゴシック" w:hAnsi="游ゴシック" w:hint="eastAsia"/>
        </w:rPr>
        <w:t>日に</w:t>
      </w:r>
      <w:r w:rsidRPr="003670B8">
        <w:rPr>
          <w:rFonts w:ascii="游ゴシック" w:eastAsia="游ゴシック" w:hAnsi="游ゴシック" w:hint="eastAsia"/>
        </w:rPr>
        <w:t>、私的整理の一種である</w:t>
      </w:r>
      <w:r w:rsidR="008143EF" w:rsidRPr="008143EF">
        <w:rPr>
          <w:rFonts w:ascii="游ゴシック" w:eastAsia="游ゴシック" w:hAnsi="游ゴシック" w:hint="eastAsia"/>
        </w:rPr>
        <w:t>事業再生ADR（裁判以外の紛争解決）を利用して再建を目指すと発表した</w:t>
      </w:r>
      <w:r w:rsidR="008143EF">
        <w:rPr>
          <w:rFonts w:hint="eastAsia"/>
        </w:rPr>
        <w:t>。</w:t>
      </w:r>
      <w:r w:rsidR="008143EF">
        <w:rPr>
          <w:rFonts w:ascii="游ゴシック" w:eastAsia="游ゴシック" w:hAnsi="游ゴシック" w:hint="eastAsia"/>
        </w:rPr>
        <w:t>曙ブレーキ工業はその名の通り、自動車・自動二輪車用のブレーキを始め、鉄道車両用や産業機械に使われるブレーキを生産するブレーキ専業メーカーである。特に自動車向けディスクパッドにおいて日本におけるシェアが4</w:t>
      </w:r>
      <w:r w:rsidR="008143EF">
        <w:rPr>
          <w:rFonts w:ascii="游ゴシック" w:eastAsia="游ゴシック" w:hAnsi="游ゴシック"/>
        </w:rPr>
        <w:t>0%</w:t>
      </w:r>
      <w:r w:rsidR="008143EF">
        <w:rPr>
          <w:rFonts w:ascii="游ゴシック" w:eastAsia="游ゴシック" w:hAnsi="游ゴシック" w:hint="eastAsia"/>
        </w:rPr>
        <w:t>を獲得しており、自動車レース「Fomula</w:t>
      </w:r>
      <w:r w:rsidR="008143EF">
        <w:rPr>
          <w:rFonts w:ascii="游ゴシック" w:eastAsia="游ゴシック" w:hAnsi="游ゴシック"/>
        </w:rPr>
        <w:t>1」</w:t>
      </w:r>
      <w:r w:rsidR="008143EF">
        <w:rPr>
          <w:rFonts w:ascii="游ゴシック" w:eastAsia="游ゴシック" w:hAnsi="游ゴシック" w:hint="eastAsia"/>
        </w:rPr>
        <w:t>のマクラーレン</w:t>
      </w:r>
      <w:r w:rsidR="007870F7">
        <w:rPr>
          <w:rFonts w:ascii="游ゴシック" w:eastAsia="游ゴシック" w:hAnsi="游ゴシック" w:hint="eastAsia"/>
        </w:rPr>
        <w:t>チームのオフィシャルサプライヤーとして部品を供給している。</w:t>
      </w:r>
    </w:p>
    <w:p w:rsidR="00011635" w:rsidRDefault="00011635">
      <w:pPr>
        <w:rPr>
          <w:rFonts w:ascii="游ゴシック" w:eastAsia="游ゴシック" w:hAnsi="游ゴシック"/>
        </w:rPr>
      </w:pPr>
    </w:p>
    <w:p w:rsidR="00011635" w:rsidRDefault="00011635">
      <w:pPr>
        <w:rPr>
          <w:rFonts w:ascii="游ゴシック" w:eastAsia="游ゴシック" w:hAnsi="游ゴシック" w:hint="eastAsia"/>
        </w:rPr>
      </w:pPr>
      <w:r>
        <w:rPr>
          <w:rFonts w:ascii="游ゴシック" w:eastAsia="游ゴシック" w:hAnsi="游ゴシック" w:hint="eastAsia"/>
        </w:rPr>
        <w:t>（タカタの件も踏まえ</w:t>
      </w:r>
      <w:r>
        <w:rPr>
          <w:rFonts w:ascii="游ゴシック" w:eastAsia="游ゴシック" w:hAnsi="游ゴシック"/>
        </w:rPr>
        <w:t>）</w:t>
      </w:r>
    </w:p>
    <w:p w:rsidR="00920598" w:rsidRDefault="007870F7">
      <w:pPr>
        <w:rPr>
          <w:rFonts w:ascii="游ゴシック" w:eastAsia="游ゴシック" w:hAnsi="游ゴシック"/>
        </w:rPr>
      </w:pPr>
      <w:r>
        <w:rPr>
          <w:rFonts w:ascii="游ゴシック" w:eastAsia="游ゴシック" w:hAnsi="游ゴシック" w:hint="eastAsia"/>
        </w:rPr>
        <w:t>本研究は、そのようなブレーキの世界的メーカーである曙ブレーキ工業がなぜ事業再生ADRを選択するに至ったのか、また2</w:t>
      </w:r>
      <w:r>
        <w:rPr>
          <w:rFonts w:ascii="游ゴシック" w:eastAsia="游ゴシック" w:hAnsi="游ゴシック"/>
        </w:rPr>
        <w:t>007</w:t>
      </w:r>
      <w:r>
        <w:rPr>
          <w:rFonts w:ascii="游ゴシック" w:eastAsia="游ゴシック" w:hAnsi="游ゴシック" w:hint="eastAsia"/>
        </w:rPr>
        <w:t>年の産業活力再生法の改正により制度化された事業再生ADRとはどのような制度であり、既存の事業再生手続きとの</w:t>
      </w:r>
      <w:r w:rsidR="00BB6BBC">
        <w:rPr>
          <w:rFonts w:ascii="游ゴシック" w:eastAsia="游ゴシック" w:hAnsi="游ゴシック" w:hint="eastAsia"/>
        </w:rPr>
        <w:t>相違点</w:t>
      </w:r>
      <w:r>
        <w:rPr>
          <w:rFonts w:ascii="游ゴシック" w:eastAsia="游ゴシック" w:hAnsi="游ゴシック" w:hint="eastAsia"/>
        </w:rPr>
        <w:t>などを検討していくものである。</w:t>
      </w:r>
    </w:p>
    <w:p w:rsidR="007870F7" w:rsidRPr="00BB6BBC" w:rsidRDefault="007870F7">
      <w:pPr>
        <w:rPr>
          <w:rFonts w:ascii="游ゴシック" w:eastAsia="游ゴシック" w:hAnsi="游ゴシック"/>
        </w:rPr>
      </w:pPr>
    </w:p>
    <w:p w:rsidR="00BB6BBC" w:rsidRDefault="00E30BA2">
      <w:pPr>
        <w:rPr>
          <w:rFonts w:ascii="游ゴシック" w:eastAsia="游ゴシック" w:hAnsi="游ゴシック"/>
        </w:rPr>
      </w:pPr>
      <w:r>
        <w:rPr>
          <w:rFonts w:ascii="游ゴシック" w:eastAsia="游ゴシック" w:hAnsi="游ゴシック"/>
        </w:rPr>
        <w:t>-1</w:t>
      </w:r>
      <w:r w:rsidR="00BB6BBC">
        <w:rPr>
          <w:rFonts w:ascii="游ゴシック" w:eastAsia="游ゴシック" w:hAnsi="游ゴシック"/>
        </w:rPr>
        <w:t>.</w:t>
      </w:r>
      <w:r w:rsidR="00BB6BBC">
        <w:rPr>
          <w:rFonts w:ascii="游ゴシック" w:eastAsia="游ゴシック" w:hAnsi="游ゴシック" w:hint="eastAsia"/>
        </w:rPr>
        <w:t>曙ブレーキ</w:t>
      </w:r>
      <w:r w:rsidR="00011635">
        <w:rPr>
          <w:rFonts w:ascii="游ゴシック" w:eastAsia="游ゴシック" w:hAnsi="游ゴシック" w:hint="eastAsia"/>
        </w:rPr>
        <w:t>工業が事業再生ADR申請に踏み切った主因</w:t>
      </w:r>
    </w:p>
    <w:p w:rsidR="00E30BA2" w:rsidRDefault="00011635">
      <w:pPr>
        <w:rPr>
          <w:rFonts w:ascii="游ゴシック" w:eastAsia="游ゴシック" w:hAnsi="游ゴシック" w:hint="eastAsia"/>
        </w:rPr>
      </w:pPr>
      <w:r>
        <w:rPr>
          <w:rFonts w:ascii="游ゴシック" w:eastAsia="游ゴシック" w:hAnsi="游ゴシック" w:hint="eastAsia"/>
        </w:rPr>
        <w:t>曙ブレーキ工業が事業再生ADRに踏み切った理由としては、</w:t>
      </w:r>
      <w:r w:rsidR="00E30BA2">
        <w:rPr>
          <w:rFonts w:ascii="游ゴシック" w:eastAsia="游ゴシック" w:hAnsi="游ゴシック" w:hint="eastAsia"/>
        </w:rPr>
        <w:t>「</w:t>
      </w:r>
      <w:r w:rsidR="00E30BA2" w:rsidRPr="00E30BA2">
        <w:rPr>
          <w:rFonts w:ascii="游ゴシック" w:eastAsia="游ゴシック" w:hAnsi="游ゴシック" w:hint="eastAsia"/>
        </w:rPr>
        <w:t>米国メーカーの乗用車生産からの撤退や、生産混乱に起因して次期モデル用ブレーキ製品の受注を逃したこと等の新たな北米事業の課題が生じ、当社グループの経営環境及び財務体質は依然として厳しい状況にあります。  このような厳しい経営状況を踏まえ、当社は、産業競争力強化法に基づく特定認証紛争解決手続（以下、「事業再生ADR手続」といいます。）を利用して関係当事者である金融機関の合意のもとで、今後の再成長に向けた強固な収益体質の確立と財務体質の抜本的な改善を目指すことと致しました。</w:t>
      </w:r>
      <w:r w:rsidR="00E30BA2">
        <w:rPr>
          <w:rFonts w:ascii="游ゴシック" w:eastAsia="游ゴシック" w:hAnsi="游ゴシック" w:hint="eastAsia"/>
        </w:rPr>
        <w:t>」とある。</w:t>
      </w:r>
      <w:r w:rsidR="00E30BA2">
        <w:rPr>
          <w:rFonts w:ascii="游ゴシック" w:eastAsia="游ゴシック" w:hAnsi="游ゴシック"/>
        </w:rPr>
        <w:t>(</w:t>
      </w:r>
      <w:r w:rsidR="00E30BA2">
        <w:rPr>
          <w:rFonts w:ascii="游ゴシック" w:eastAsia="游ゴシック" w:hAnsi="游ゴシック" w:hint="eastAsia"/>
        </w:rPr>
        <w:t>曙ブレーキ工業ニュースリリースより引用)整理すると以下のような流れとなる。</w:t>
      </w:r>
    </w:p>
    <w:p w:rsidR="00E30BA2" w:rsidRDefault="00E30BA2">
      <w:pPr>
        <w:rPr>
          <w:rFonts w:ascii="游ゴシック" w:eastAsia="游ゴシック" w:hAnsi="游ゴシック"/>
        </w:rPr>
      </w:pPr>
      <w:r>
        <w:rPr>
          <w:noProof/>
        </w:rPr>
        <w:drawing>
          <wp:inline distT="0" distB="0" distL="0" distR="0" wp14:anchorId="1B6A3788" wp14:editId="5D5872AA">
            <wp:extent cx="5334000" cy="1663700"/>
            <wp:effectExtent l="0" t="38100" r="19050" b="50800"/>
            <wp:docPr id="1" name="図表 1">
              <a:extLst xmlns:a="http://schemas.openxmlformats.org/drawingml/2006/main">
                <a:ext uri="{FF2B5EF4-FFF2-40B4-BE49-F238E27FC236}">
                  <a16:creationId xmlns:a16="http://schemas.microsoft.com/office/drawing/2014/main" id="{AC3C1B26-4895-4D85-A24A-2E6BCEC474B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4617FD" w:rsidRDefault="004617FD">
      <w:pPr>
        <w:rPr>
          <w:rFonts w:ascii="游ゴシック" w:eastAsia="游ゴシック" w:hAnsi="游ゴシック"/>
        </w:rPr>
      </w:pPr>
      <w:r>
        <w:rPr>
          <w:rFonts w:ascii="游ゴシック" w:eastAsia="游ゴシック" w:hAnsi="游ゴシック" w:hint="eastAsia"/>
        </w:rPr>
        <w:t>図1</w:t>
      </w:r>
    </w:p>
    <w:p w:rsidR="00E30BA2" w:rsidRDefault="00E30BA2">
      <w:pPr>
        <w:rPr>
          <w:rFonts w:ascii="游ゴシック" w:eastAsia="游ゴシック" w:hAnsi="游ゴシック"/>
        </w:rPr>
      </w:pPr>
      <w:r>
        <w:rPr>
          <w:rFonts w:ascii="游ゴシック" w:eastAsia="游ゴシック" w:hAnsi="游ゴシック" w:hint="eastAsia"/>
        </w:rPr>
        <w:t>以上を踏まえ財務諸表の追跡と</w:t>
      </w:r>
      <w:r w:rsidR="00566B25">
        <w:rPr>
          <w:rFonts w:ascii="游ゴシック" w:eastAsia="游ゴシック" w:hAnsi="游ゴシック" w:hint="eastAsia"/>
        </w:rPr>
        <w:t>、</w:t>
      </w:r>
      <w:r>
        <w:rPr>
          <w:rFonts w:ascii="游ゴシック" w:eastAsia="游ゴシック" w:hAnsi="游ゴシック" w:hint="eastAsia"/>
        </w:rPr>
        <w:t>曙ブレーキ工業の属する</w:t>
      </w:r>
      <w:r w:rsidR="00566B25">
        <w:rPr>
          <w:rFonts w:ascii="游ゴシック" w:eastAsia="游ゴシック" w:hAnsi="游ゴシック" w:hint="eastAsia"/>
        </w:rPr>
        <w:t>自動車部品(特にブレーキ</w:t>
      </w:r>
      <w:r w:rsidR="00566B25">
        <w:rPr>
          <w:rFonts w:ascii="游ゴシック" w:eastAsia="游ゴシック" w:hAnsi="游ゴシック"/>
        </w:rPr>
        <w:t>)</w:t>
      </w:r>
      <w:r w:rsidR="00566B25">
        <w:rPr>
          <w:rFonts w:ascii="游ゴシック" w:eastAsia="游ゴシック" w:hAnsi="游ゴシック" w:hint="eastAsia"/>
        </w:rPr>
        <w:t>市場の分析</w:t>
      </w:r>
      <w:r>
        <w:rPr>
          <w:rFonts w:ascii="游ゴシック" w:eastAsia="游ゴシック" w:hAnsi="游ゴシック" w:hint="eastAsia"/>
        </w:rPr>
        <w:t>を行っていく。</w:t>
      </w:r>
    </w:p>
    <w:p w:rsidR="00566B25" w:rsidRDefault="00566B25">
      <w:pPr>
        <w:rPr>
          <w:rFonts w:ascii="游ゴシック" w:eastAsia="游ゴシック" w:hAnsi="游ゴシック"/>
        </w:rPr>
      </w:pPr>
    </w:p>
    <w:p w:rsidR="00566B25" w:rsidRDefault="00566B25">
      <w:pPr>
        <w:rPr>
          <w:rFonts w:ascii="游ゴシック" w:eastAsia="游ゴシック" w:hAnsi="游ゴシック"/>
        </w:rPr>
      </w:pPr>
      <w:r>
        <w:rPr>
          <w:rFonts w:ascii="游ゴシック" w:eastAsia="游ゴシック" w:hAnsi="游ゴシック" w:hint="eastAsia"/>
        </w:rPr>
        <w:lastRenderedPageBreak/>
        <w:t>-</w:t>
      </w:r>
      <w:r>
        <w:rPr>
          <w:rFonts w:ascii="游ゴシック" w:eastAsia="游ゴシック" w:hAnsi="游ゴシック"/>
        </w:rPr>
        <w:t>2.</w:t>
      </w:r>
      <w:r>
        <w:rPr>
          <w:rFonts w:ascii="游ゴシック" w:eastAsia="游ゴシック" w:hAnsi="游ゴシック" w:hint="eastAsia"/>
        </w:rPr>
        <w:t>財務分析</w:t>
      </w:r>
    </w:p>
    <w:p w:rsidR="00566B25" w:rsidRDefault="00566B25">
      <w:pPr>
        <w:rPr>
          <w:rFonts w:ascii="游ゴシック" w:eastAsia="游ゴシック" w:hAnsi="游ゴシック"/>
        </w:rPr>
      </w:pPr>
      <w:r>
        <w:rPr>
          <w:rFonts w:ascii="游ゴシック" w:eastAsia="游ゴシック" w:hAnsi="游ゴシック" w:hint="eastAsia"/>
        </w:rPr>
        <w:t>曙ブレーキ工業が事業再生ADRに至った主因は財務体質の悪化であったため、まずは財務指標の中でも安全性を測る指標である自己資本比率について見ていく。</w:t>
      </w:r>
    </w:p>
    <w:p w:rsidR="004617FD" w:rsidRDefault="00566B25">
      <w:pPr>
        <w:rPr>
          <w:rFonts w:ascii="游ゴシック" w:eastAsia="游ゴシック" w:hAnsi="游ゴシック"/>
        </w:rPr>
      </w:pPr>
      <w:r>
        <w:rPr>
          <w:rFonts w:ascii="游ゴシック" w:eastAsia="游ゴシック" w:hAnsi="游ゴシック" w:hint="eastAsia"/>
        </w:rPr>
        <w:t>自己資本比率は総資産の中に占める返済不要の資本である自己資本の割合を示すものであり、自己資本÷</w:t>
      </w:r>
      <w:r w:rsidR="004617FD">
        <w:rPr>
          <w:rFonts w:ascii="游ゴシック" w:eastAsia="游ゴシック" w:hAnsi="游ゴシック" w:hint="eastAsia"/>
        </w:rPr>
        <w:t>総</w:t>
      </w:r>
      <w:r>
        <w:rPr>
          <w:rFonts w:ascii="游ゴシック" w:eastAsia="游ゴシック" w:hAnsi="游ゴシック" w:hint="eastAsia"/>
        </w:rPr>
        <w:t>資産(自己資本+他人資本)の式で算出される</w:t>
      </w:r>
      <w:r w:rsidR="004617FD">
        <w:rPr>
          <w:rFonts w:ascii="游ゴシック" w:eastAsia="游ゴシック" w:hAnsi="游ゴシック" w:hint="eastAsia"/>
        </w:rPr>
        <w:t>ものである。</w:t>
      </w:r>
      <w:r w:rsidR="001811C9">
        <w:rPr>
          <w:noProof/>
        </w:rPr>
        <w:drawing>
          <wp:inline distT="0" distB="0" distL="0" distR="0" wp14:anchorId="7AF4F54F" wp14:editId="2273D116">
            <wp:extent cx="5473700" cy="2743200"/>
            <wp:effectExtent l="0" t="0" r="12700" b="0"/>
            <wp:docPr id="3" name="グラフ 3">
              <a:extLst xmlns:a="http://schemas.openxmlformats.org/drawingml/2006/main">
                <a:ext uri="{FF2B5EF4-FFF2-40B4-BE49-F238E27FC236}">
                  <a16:creationId xmlns:a16="http://schemas.microsoft.com/office/drawing/2014/main" id="{36B7013A-0306-4E0E-ADD9-FA91494D94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617FD" w:rsidRDefault="004617FD" w:rsidP="001811C9">
      <w:pPr>
        <w:jc w:val="center"/>
        <w:rPr>
          <w:rFonts w:ascii="游ゴシック" w:eastAsia="游ゴシック" w:hAnsi="游ゴシック"/>
        </w:rPr>
      </w:pPr>
      <w:r>
        <w:rPr>
          <w:rFonts w:ascii="游ゴシック" w:eastAsia="游ゴシック" w:hAnsi="游ゴシック" w:hint="eastAsia"/>
        </w:rPr>
        <w:t>図</w:t>
      </w:r>
      <w:r>
        <w:rPr>
          <w:rFonts w:ascii="游ゴシック" w:eastAsia="游ゴシック" w:hAnsi="游ゴシック"/>
        </w:rPr>
        <w:t>2.</w:t>
      </w:r>
      <w:r>
        <w:rPr>
          <w:rFonts w:ascii="游ゴシック" w:eastAsia="游ゴシック" w:hAnsi="游ゴシック" w:hint="eastAsia"/>
        </w:rPr>
        <w:t>曙ブレーキ工業自己資本比率推移</w:t>
      </w:r>
    </w:p>
    <w:p w:rsidR="004617FD" w:rsidRDefault="004617FD">
      <w:pPr>
        <w:rPr>
          <w:rFonts w:ascii="游ゴシック" w:eastAsia="游ゴシック" w:hAnsi="游ゴシック"/>
        </w:rPr>
      </w:pPr>
      <w:r>
        <w:rPr>
          <w:rFonts w:ascii="游ゴシック" w:eastAsia="游ゴシック" w:hAnsi="游ゴシック" w:hint="eastAsia"/>
        </w:rPr>
        <w:t>図2によると曙ブレーキ工業の自己資本比率は直近1</w:t>
      </w:r>
      <w:r>
        <w:rPr>
          <w:rFonts w:ascii="游ゴシック" w:eastAsia="游ゴシック" w:hAnsi="游ゴシック"/>
        </w:rPr>
        <w:t>0</w:t>
      </w:r>
      <w:r>
        <w:rPr>
          <w:rFonts w:ascii="游ゴシック" w:eastAsia="游ゴシック" w:hAnsi="游ゴシック" w:hint="eastAsia"/>
        </w:rPr>
        <w:t>年間の平均で1</w:t>
      </w:r>
      <w:r>
        <w:rPr>
          <w:rFonts w:ascii="游ゴシック" w:eastAsia="游ゴシック" w:hAnsi="游ゴシック"/>
        </w:rPr>
        <w:t>8.9%</w:t>
      </w:r>
      <w:r>
        <w:rPr>
          <w:rFonts w:ascii="游ゴシック" w:eastAsia="游ゴシック" w:hAnsi="游ゴシック" w:hint="eastAsia"/>
        </w:rPr>
        <w:t>、中央値が2</w:t>
      </w:r>
      <w:r>
        <w:rPr>
          <w:rFonts w:ascii="游ゴシック" w:eastAsia="游ゴシック" w:hAnsi="游ゴシック"/>
        </w:rPr>
        <w:t>3.9%</w:t>
      </w:r>
      <w:r>
        <w:rPr>
          <w:rFonts w:ascii="游ゴシック" w:eastAsia="游ゴシック" w:hAnsi="游ゴシック" w:hint="eastAsia"/>
        </w:rPr>
        <w:t>となった</w:t>
      </w:r>
      <w:r w:rsidR="009D00A5">
        <w:rPr>
          <w:rFonts w:ascii="游ゴシック" w:eastAsia="游ゴシック" w:hAnsi="游ゴシック" w:hint="eastAsia"/>
        </w:rPr>
        <w:t>。</w:t>
      </w:r>
      <w:r w:rsidR="008B5F8F">
        <w:rPr>
          <w:rFonts w:ascii="游ゴシック" w:eastAsia="游ゴシック" w:hAnsi="游ゴシック" w:hint="eastAsia"/>
        </w:rPr>
        <w:t>財務省の法人企業統計調査によれば、曙ブレーキ工業の属する「自動車・同附属製造業」の業種で資本金1</w:t>
      </w:r>
      <w:r w:rsidR="008B5F8F">
        <w:rPr>
          <w:rFonts w:ascii="游ゴシック" w:eastAsia="游ゴシック" w:hAnsi="游ゴシック"/>
        </w:rPr>
        <w:t>0</w:t>
      </w:r>
      <w:r w:rsidR="008B5F8F">
        <w:rPr>
          <w:rFonts w:ascii="游ゴシック" w:eastAsia="游ゴシック" w:hAnsi="游ゴシック" w:hint="eastAsia"/>
        </w:rPr>
        <w:t>億円以上の企業約1</w:t>
      </w:r>
      <w:r w:rsidR="008B5F8F">
        <w:rPr>
          <w:rFonts w:ascii="游ゴシック" w:eastAsia="游ゴシック" w:hAnsi="游ゴシック"/>
        </w:rPr>
        <w:t>70</w:t>
      </w:r>
      <w:r w:rsidR="008B5F8F">
        <w:rPr>
          <w:rFonts w:ascii="游ゴシック" w:eastAsia="游ゴシック" w:hAnsi="游ゴシック" w:hint="eastAsia"/>
        </w:rPr>
        <w:t>社での平均自己資本比率は5</w:t>
      </w:r>
      <w:r w:rsidR="008B5F8F">
        <w:rPr>
          <w:rFonts w:ascii="游ゴシック" w:eastAsia="游ゴシック" w:hAnsi="游ゴシック"/>
        </w:rPr>
        <w:t>3.98%</w:t>
      </w:r>
      <w:r w:rsidR="008B5F8F">
        <w:rPr>
          <w:rFonts w:ascii="游ゴシック" w:eastAsia="游ゴシック" w:hAnsi="游ゴシック" w:hint="eastAsia"/>
        </w:rPr>
        <w:t>であった。</w:t>
      </w:r>
      <w:r w:rsidR="001811C9">
        <w:rPr>
          <w:rFonts w:ascii="游ゴシック" w:eastAsia="游ゴシック" w:hAnsi="游ゴシック" w:hint="eastAsia"/>
        </w:rPr>
        <w:t>このことから曙ブレーキ工業は負債依存度が業界平均よりも高く、比較的不安定な財務状況の中で経営を行っていたことが分かる</w:t>
      </w:r>
      <w:r w:rsidR="00BC2C6D">
        <w:rPr>
          <w:rFonts w:ascii="游ゴシック" w:eastAsia="游ゴシック" w:hAnsi="游ゴシック" w:hint="eastAsia"/>
        </w:rPr>
        <w:t>。</w:t>
      </w:r>
      <w:r w:rsidR="001811C9">
        <w:rPr>
          <w:rFonts w:ascii="游ゴシック" w:eastAsia="游ゴシック" w:hAnsi="游ゴシック" w:hint="eastAsia"/>
        </w:rPr>
        <w:t>特に2</w:t>
      </w:r>
      <w:r w:rsidR="001811C9">
        <w:rPr>
          <w:rFonts w:ascii="游ゴシック" w:eastAsia="游ゴシック" w:hAnsi="游ゴシック"/>
        </w:rPr>
        <w:t>015</w:t>
      </w:r>
      <w:r w:rsidR="001811C9">
        <w:rPr>
          <w:rFonts w:ascii="游ゴシック" w:eastAsia="游ゴシック" w:hAnsi="游ゴシック" w:hint="eastAsia"/>
        </w:rPr>
        <w:t>年</w:t>
      </w:r>
      <w:r w:rsidR="00BC2C6D">
        <w:rPr>
          <w:rFonts w:ascii="游ゴシック" w:eastAsia="游ゴシック" w:hAnsi="游ゴシック" w:hint="eastAsia"/>
        </w:rPr>
        <w:t>3月期</w:t>
      </w:r>
      <w:r w:rsidR="001811C9">
        <w:rPr>
          <w:rFonts w:ascii="游ゴシック" w:eastAsia="游ゴシック" w:hAnsi="游ゴシック" w:hint="eastAsia"/>
        </w:rPr>
        <w:t>以降は自己資本比率の急激な低下が目立つ。</w:t>
      </w:r>
      <w:r w:rsidR="00BC2C6D">
        <w:rPr>
          <w:rFonts w:ascii="游ゴシック" w:eastAsia="游ゴシック" w:hAnsi="游ゴシック" w:hint="eastAsia"/>
        </w:rPr>
        <w:t>そこで、2</w:t>
      </w:r>
      <w:r w:rsidR="00BC2C6D">
        <w:rPr>
          <w:rFonts w:ascii="游ゴシック" w:eastAsia="游ゴシック" w:hAnsi="游ゴシック"/>
        </w:rPr>
        <w:t>015</w:t>
      </w:r>
      <w:r w:rsidR="00BC2C6D">
        <w:rPr>
          <w:rFonts w:ascii="游ゴシック" w:eastAsia="游ゴシック" w:hAnsi="游ゴシック" w:hint="eastAsia"/>
        </w:rPr>
        <w:t>年3月期以降の自己資本比率の低下の原因を探っていくことにした。</w:t>
      </w:r>
    </w:p>
    <w:p w:rsidR="00BC2C6D" w:rsidRDefault="00BC2C6D">
      <w:pPr>
        <w:rPr>
          <w:rFonts w:ascii="游ゴシック" w:eastAsia="游ゴシック" w:hAnsi="游ゴシック"/>
        </w:rPr>
      </w:pPr>
      <w:r>
        <w:rPr>
          <w:rFonts w:ascii="游ゴシック" w:eastAsia="游ゴシック" w:hAnsi="游ゴシック"/>
        </w:rPr>
        <w:t>-2.</w:t>
      </w:r>
      <w:r>
        <w:rPr>
          <w:rFonts w:ascii="游ゴシック" w:eastAsia="游ゴシック" w:hAnsi="游ゴシック" w:hint="eastAsia"/>
        </w:rPr>
        <w:t>自己資本比率の低下の原因</w:t>
      </w:r>
    </w:p>
    <w:p w:rsidR="00CD25D1" w:rsidRDefault="002B3D65">
      <w:pPr>
        <w:rPr>
          <w:rFonts w:ascii="游ゴシック" w:eastAsia="游ゴシック" w:hAnsi="游ゴシック" w:hint="eastAsia"/>
        </w:rPr>
      </w:pPr>
      <w:r>
        <w:rPr>
          <w:rFonts w:ascii="游ゴシック" w:eastAsia="游ゴシック" w:hAnsi="游ゴシック" w:hint="eastAsia"/>
        </w:rPr>
        <w:t>自己資本比率の低下の要因には、1つ目に</w:t>
      </w:r>
      <w:r w:rsidR="004D1C9F">
        <w:rPr>
          <w:rFonts w:ascii="游ゴシック" w:eastAsia="游ゴシック" w:hAnsi="游ゴシック" w:hint="eastAsia"/>
        </w:rPr>
        <w:t>総資産の増加</w:t>
      </w:r>
      <w:r w:rsidR="004D1C9F">
        <w:rPr>
          <w:rFonts w:ascii="游ゴシック" w:eastAsia="游ゴシック" w:hAnsi="游ゴシック" w:hint="eastAsia"/>
        </w:rPr>
        <w:t>、</w:t>
      </w:r>
      <w:r w:rsidR="00CD25D1">
        <w:rPr>
          <w:rFonts w:ascii="游ゴシック" w:eastAsia="游ゴシック" w:hAnsi="游ゴシック" w:hint="eastAsia"/>
        </w:rPr>
        <w:t>2つ目に負債の増加、</w:t>
      </w:r>
      <w:r w:rsidR="00CD25D1">
        <w:rPr>
          <w:rFonts w:ascii="游ゴシック" w:eastAsia="游ゴシック" w:hAnsi="游ゴシック"/>
        </w:rPr>
        <w:t>3</w:t>
      </w:r>
      <w:r>
        <w:rPr>
          <w:rFonts w:ascii="游ゴシック" w:eastAsia="游ゴシック" w:hAnsi="游ゴシック" w:hint="eastAsia"/>
        </w:rPr>
        <w:t>つ目に</w:t>
      </w:r>
      <w:r w:rsidR="004D1C9F">
        <w:rPr>
          <w:rFonts w:ascii="游ゴシック" w:eastAsia="游ゴシック" w:hAnsi="游ゴシック" w:hint="eastAsia"/>
        </w:rPr>
        <w:t>自己資本</w:t>
      </w:r>
      <w:r w:rsidR="00CD25D1">
        <w:rPr>
          <w:rFonts w:ascii="游ゴシック" w:eastAsia="游ゴシック" w:hAnsi="游ゴシック" w:hint="eastAsia"/>
        </w:rPr>
        <w:t>額</w:t>
      </w:r>
      <w:r w:rsidR="004D1C9F">
        <w:rPr>
          <w:rFonts w:ascii="游ゴシック" w:eastAsia="游ゴシック" w:hAnsi="游ゴシック" w:hint="eastAsia"/>
        </w:rPr>
        <w:t>の減少</w:t>
      </w:r>
      <w:r>
        <w:rPr>
          <w:rFonts w:ascii="游ゴシック" w:eastAsia="游ゴシック" w:hAnsi="游ゴシック" w:hint="eastAsia"/>
        </w:rPr>
        <w:t>がある。</w:t>
      </w:r>
      <w:r w:rsidR="004D1C9F">
        <w:rPr>
          <w:rFonts w:ascii="游ゴシック" w:eastAsia="游ゴシック" w:hAnsi="游ゴシック" w:hint="eastAsia"/>
        </w:rPr>
        <w:t>ここからは自己資本比率低下の要因を特定していく。</w:t>
      </w:r>
    </w:p>
    <w:p w:rsidR="00CC51FD" w:rsidRDefault="00CD25D1">
      <w:pPr>
        <w:rPr>
          <w:rFonts w:ascii="游ゴシック" w:eastAsia="游ゴシック" w:hAnsi="游ゴシック"/>
        </w:rPr>
      </w:pPr>
      <w:r>
        <w:rPr>
          <w:rFonts w:ascii="游ゴシック" w:eastAsia="游ゴシック" w:hAnsi="游ゴシック" w:hint="eastAsia"/>
        </w:rPr>
        <w:t>図3～</w:t>
      </w:r>
      <w:r w:rsidR="00CC51FD">
        <w:rPr>
          <w:rFonts w:ascii="游ゴシック" w:eastAsia="游ゴシック" w:hAnsi="游ゴシック" w:hint="eastAsia"/>
        </w:rPr>
        <w:t>5は</w:t>
      </w:r>
      <w:r>
        <w:rPr>
          <w:rFonts w:ascii="游ゴシック" w:eastAsia="游ゴシック" w:hAnsi="游ゴシック" w:hint="eastAsia"/>
        </w:rPr>
        <w:t>自己資本比率と総資産額、負債、</w:t>
      </w:r>
      <w:r w:rsidR="002546AE">
        <w:rPr>
          <w:rFonts w:ascii="游ゴシック" w:eastAsia="游ゴシック" w:hAnsi="游ゴシック" w:hint="eastAsia"/>
        </w:rPr>
        <w:t>自己資本</w:t>
      </w:r>
      <w:r>
        <w:rPr>
          <w:rFonts w:ascii="游ゴシック" w:eastAsia="游ゴシック" w:hAnsi="游ゴシック" w:hint="eastAsia"/>
        </w:rPr>
        <w:t>額のグラフ</w:t>
      </w:r>
      <w:r w:rsidR="00CC51FD">
        <w:rPr>
          <w:rFonts w:ascii="游ゴシック" w:eastAsia="游ゴシック" w:hAnsi="游ゴシック" w:hint="eastAsia"/>
        </w:rPr>
        <w:t>であり、図6はそれぞれの相関係数の表である。</w:t>
      </w:r>
    </w:p>
    <w:p w:rsidR="004D1C9F" w:rsidRDefault="0098305A">
      <w:pPr>
        <w:rPr>
          <w:rFonts w:ascii="游ゴシック" w:eastAsia="游ゴシック" w:hAnsi="游ゴシック"/>
        </w:rPr>
      </w:pPr>
      <w:r>
        <w:rPr>
          <w:noProof/>
        </w:rPr>
        <w:lastRenderedPageBreak/>
        <w:drawing>
          <wp:inline distT="0" distB="0" distL="0" distR="0" wp14:anchorId="4FC466E1" wp14:editId="3CABB5D5">
            <wp:extent cx="5302250" cy="2743200"/>
            <wp:effectExtent l="0" t="0" r="12700" b="0"/>
            <wp:docPr id="11" name="グラフ 11">
              <a:extLst xmlns:a="http://schemas.openxmlformats.org/drawingml/2006/main">
                <a:ext uri="{FF2B5EF4-FFF2-40B4-BE49-F238E27FC236}">
                  <a16:creationId xmlns:a16="http://schemas.microsoft.com/office/drawing/2014/main" id="{A36367A7-8903-4A0F-8941-280A6ED1AC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D1C9F" w:rsidRDefault="0098305A">
      <w:pPr>
        <w:rPr>
          <w:rFonts w:ascii="游ゴシック" w:eastAsia="游ゴシック" w:hAnsi="游ゴシック"/>
        </w:rPr>
      </w:pPr>
      <w:r>
        <w:rPr>
          <w:rFonts w:ascii="游ゴシック" w:eastAsia="游ゴシック" w:hAnsi="游ゴシック" w:hint="eastAsia"/>
        </w:rPr>
        <w:t>図3</w:t>
      </w:r>
      <w:r>
        <w:rPr>
          <w:rFonts w:ascii="游ゴシック" w:eastAsia="游ゴシック" w:hAnsi="游ゴシック"/>
        </w:rPr>
        <w:t>.</w:t>
      </w:r>
      <w:r>
        <w:rPr>
          <w:rFonts w:ascii="游ゴシック" w:eastAsia="游ゴシック" w:hAnsi="游ゴシック" w:hint="eastAsia"/>
        </w:rPr>
        <w:t>総資産額・自己資本比率</w:t>
      </w:r>
    </w:p>
    <w:p w:rsidR="00CD25D1" w:rsidRDefault="00CC51FD">
      <w:pPr>
        <w:rPr>
          <w:rFonts w:ascii="游ゴシック" w:eastAsia="游ゴシック" w:hAnsi="游ゴシック"/>
        </w:rPr>
      </w:pPr>
      <w:r>
        <w:rPr>
          <w:noProof/>
        </w:rPr>
        <w:drawing>
          <wp:inline distT="0" distB="0" distL="0" distR="0" wp14:anchorId="20D36108" wp14:editId="683E3477">
            <wp:extent cx="5302250" cy="2743200"/>
            <wp:effectExtent l="0" t="0" r="12700" b="0"/>
            <wp:docPr id="14" name="グラフ 14">
              <a:extLst xmlns:a="http://schemas.openxmlformats.org/drawingml/2006/main">
                <a:ext uri="{FF2B5EF4-FFF2-40B4-BE49-F238E27FC236}">
                  <a16:creationId xmlns:a16="http://schemas.microsoft.com/office/drawing/2014/main" id="{A0BA3F66-58E1-4A6A-A5AE-0D2DD3331B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C51FD" w:rsidRDefault="00CD25D1">
      <w:pPr>
        <w:rPr>
          <w:rFonts w:ascii="游ゴシック" w:eastAsia="游ゴシック" w:hAnsi="游ゴシック"/>
        </w:rPr>
      </w:pPr>
      <w:r>
        <w:rPr>
          <w:rFonts w:ascii="游ゴシック" w:eastAsia="游ゴシック" w:hAnsi="游ゴシック" w:hint="eastAsia"/>
        </w:rPr>
        <w:t>図4</w:t>
      </w:r>
      <w:r>
        <w:rPr>
          <w:rFonts w:ascii="游ゴシック" w:eastAsia="游ゴシック" w:hAnsi="游ゴシック"/>
        </w:rPr>
        <w:t>.</w:t>
      </w:r>
      <w:r>
        <w:rPr>
          <w:rFonts w:ascii="游ゴシック" w:eastAsia="游ゴシック" w:hAnsi="游ゴシック" w:hint="eastAsia"/>
        </w:rPr>
        <w:t>負債額・自己資本比率</w:t>
      </w:r>
    </w:p>
    <w:p w:rsidR="00CC51FD" w:rsidRDefault="00CC51FD">
      <w:pPr>
        <w:rPr>
          <w:rFonts w:ascii="游ゴシック" w:eastAsia="游ゴシック" w:hAnsi="游ゴシック" w:hint="eastAsia"/>
        </w:rPr>
      </w:pPr>
      <w:r>
        <w:rPr>
          <w:noProof/>
        </w:rPr>
        <w:lastRenderedPageBreak/>
        <w:drawing>
          <wp:inline distT="0" distB="0" distL="0" distR="0" wp14:anchorId="05AB4B22" wp14:editId="176E11CC">
            <wp:extent cx="5400040" cy="2743200"/>
            <wp:effectExtent l="0" t="0" r="10160" b="0"/>
            <wp:docPr id="16" name="グラフ 16">
              <a:extLst xmlns:a="http://schemas.openxmlformats.org/drawingml/2006/main">
                <a:ext uri="{FF2B5EF4-FFF2-40B4-BE49-F238E27FC236}">
                  <a16:creationId xmlns:a16="http://schemas.microsoft.com/office/drawing/2014/main" id="{D6DED831-2262-423E-B779-EBB9A60991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C51FD" w:rsidRDefault="00CC51FD">
      <w:pPr>
        <w:rPr>
          <w:rFonts w:ascii="游ゴシック" w:eastAsia="游ゴシック" w:hAnsi="游ゴシック"/>
        </w:rPr>
      </w:pPr>
      <w:r>
        <w:rPr>
          <w:rFonts w:ascii="游ゴシック" w:eastAsia="游ゴシック" w:hAnsi="游ゴシック" w:hint="eastAsia"/>
        </w:rPr>
        <w:t>図5</w:t>
      </w:r>
      <w:r>
        <w:rPr>
          <w:rFonts w:ascii="游ゴシック" w:eastAsia="游ゴシック" w:hAnsi="游ゴシック"/>
        </w:rPr>
        <w:t>.</w:t>
      </w:r>
      <w:r>
        <w:rPr>
          <w:rFonts w:ascii="游ゴシック" w:eastAsia="游ゴシック" w:hAnsi="游ゴシック" w:hint="eastAsia"/>
        </w:rPr>
        <w:t>自己資本・自己資本比率</w:t>
      </w:r>
    </w:p>
    <w:p w:rsidR="00CC51FD" w:rsidRDefault="00CC51FD">
      <w:pPr>
        <w:rPr>
          <w:rFonts w:ascii="游ゴシック" w:eastAsia="游ゴシック" w:hAnsi="游ゴシック"/>
        </w:rPr>
      </w:pPr>
    </w:p>
    <w:tbl>
      <w:tblPr>
        <w:tblStyle w:val="a4"/>
        <w:tblW w:w="0" w:type="auto"/>
        <w:tblLook w:val="04A0" w:firstRow="1" w:lastRow="0" w:firstColumn="1" w:lastColumn="0" w:noHBand="0" w:noVBand="1"/>
      </w:tblPr>
      <w:tblGrid>
        <w:gridCol w:w="2855"/>
        <w:gridCol w:w="1879"/>
        <w:gridCol w:w="1880"/>
        <w:gridCol w:w="1880"/>
      </w:tblGrid>
      <w:tr w:rsidR="00CC51FD" w:rsidTr="00CC51FD">
        <w:tc>
          <w:tcPr>
            <w:tcW w:w="2943" w:type="dxa"/>
          </w:tcPr>
          <w:p w:rsidR="00CC51FD" w:rsidRDefault="00CC51FD">
            <w:pPr>
              <w:rPr>
                <w:rFonts w:ascii="游ゴシック" w:eastAsia="游ゴシック" w:hAnsi="游ゴシック"/>
              </w:rPr>
            </w:pPr>
            <w:r>
              <w:rPr>
                <w:rFonts w:ascii="游ゴシック" w:eastAsia="游ゴシック" w:hAnsi="游ゴシック" w:hint="eastAsia"/>
              </w:rPr>
              <w:t>項目</w:t>
            </w:r>
          </w:p>
        </w:tc>
        <w:tc>
          <w:tcPr>
            <w:tcW w:w="1925" w:type="dxa"/>
          </w:tcPr>
          <w:p w:rsidR="00CC51FD" w:rsidRDefault="00CC51FD">
            <w:pPr>
              <w:rPr>
                <w:rFonts w:ascii="游ゴシック" w:eastAsia="游ゴシック" w:hAnsi="游ゴシック"/>
              </w:rPr>
            </w:pPr>
            <w:r>
              <w:rPr>
                <w:rFonts w:ascii="游ゴシック" w:eastAsia="游ゴシック" w:hAnsi="游ゴシック" w:hint="eastAsia"/>
              </w:rPr>
              <w:t>総資産額</w:t>
            </w:r>
          </w:p>
        </w:tc>
        <w:tc>
          <w:tcPr>
            <w:tcW w:w="1926" w:type="dxa"/>
          </w:tcPr>
          <w:p w:rsidR="00CC51FD" w:rsidRDefault="00CC51FD">
            <w:pPr>
              <w:rPr>
                <w:rFonts w:ascii="游ゴシック" w:eastAsia="游ゴシック" w:hAnsi="游ゴシック"/>
              </w:rPr>
            </w:pPr>
            <w:r>
              <w:rPr>
                <w:rFonts w:ascii="游ゴシック" w:eastAsia="游ゴシック" w:hAnsi="游ゴシック" w:hint="eastAsia"/>
              </w:rPr>
              <w:t>負債</w:t>
            </w:r>
          </w:p>
        </w:tc>
        <w:tc>
          <w:tcPr>
            <w:tcW w:w="1926" w:type="dxa"/>
          </w:tcPr>
          <w:p w:rsidR="00CC51FD" w:rsidRDefault="00CC51FD">
            <w:pPr>
              <w:rPr>
                <w:rFonts w:ascii="游ゴシック" w:eastAsia="游ゴシック" w:hAnsi="游ゴシック"/>
              </w:rPr>
            </w:pPr>
            <w:r>
              <w:rPr>
                <w:rFonts w:ascii="游ゴシック" w:eastAsia="游ゴシック" w:hAnsi="游ゴシック" w:hint="eastAsia"/>
              </w:rPr>
              <w:t>自己資本額</w:t>
            </w:r>
          </w:p>
        </w:tc>
      </w:tr>
      <w:tr w:rsidR="00CC51FD" w:rsidTr="00CC51FD">
        <w:tc>
          <w:tcPr>
            <w:tcW w:w="2943" w:type="dxa"/>
          </w:tcPr>
          <w:p w:rsidR="00CC51FD" w:rsidRDefault="00CC51FD">
            <w:pPr>
              <w:rPr>
                <w:rFonts w:ascii="游ゴシック" w:eastAsia="游ゴシック" w:hAnsi="游ゴシック"/>
              </w:rPr>
            </w:pPr>
            <w:r>
              <w:rPr>
                <w:rFonts w:ascii="游ゴシック" w:eastAsia="游ゴシック" w:hAnsi="游ゴシック" w:hint="eastAsia"/>
              </w:rPr>
              <w:t>自己資本比率との相関係数</w:t>
            </w:r>
          </w:p>
        </w:tc>
        <w:tc>
          <w:tcPr>
            <w:tcW w:w="1925" w:type="dxa"/>
          </w:tcPr>
          <w:p w:rsidR="00CC51FD" w:rsidRDefault="00CC51FD">
            <w:pPr>
              <w:rPr>
                <w:rFonts w:ascii="游ゴシック" w:eastAsia="游ゴシック" w:hAnsi="游ゴシック"/>
              </w:rPr>
            </w:pPr>
            <w:r w:rsidRPr="00CC51FD">
              <w:rPr>
                <w:rFonts w:ascii="游ゴシック" w:eastAsia="游ゴシック" w:hAnsi="游ゴシック"/>
              </w:rPr>
              <w:t>0.10</w:t>
            </w:r>
          </w:p>
        </w:tc>
        <w:tc>
          <w:tcPr>
            <w:tcW w:w="1926" w:type="dxa"/>
          </w:tcPr>
          <w:p w:rsidR="00CC51FD" w:rsidRDefault="00CC51FD">
            <w:pPr>
              <w:rPr>
                <w:rFonts w:ascii="游ゴシック" w:eastAsia="游ゴシック" w:hAnsi="游ゴシック" w:hint="eastAsia"/>
              </w:rPr>
            </w:pPr>
            <w:r>
              <w:rPr>
                <w:rFonts w:ascii="游ゴシック" w:eastAsia="游ゴシック" w:hAnsi="游ゴシック" w:hint="eastAsia"/>
              </w:rPr>
              <w:t>-0</w:t>
            </w:r>
            <w:r>
              <w:rPr>
                <w:rFonts w:ascii="游ゴシック" w:eastAsia="游ゴシック" w:hAnsi="游ゴシック"/>
              </w:rPr>
              <w:t>.65</w:t>
            </w:r>
          </w:p>
        </w:tc>
        <w:tc>
          <w:tcPr>
            <w:tcW w:w="1926" w:type="dxa"/>
          </w:tcPr>
          <w:p w:rsidR="00CC51FD" w:rsidRDefault="00CC51FD">
            <w:pPr>
              <w:rPr>
                <w:rFonts w:ascii="游ゴシック" w:eastAsia="游ゴシック" w:hAnsi="游ゴシック"/>
              </w:rPr>
            </w:pPr>
            <w:r>
              <w:rPr>
                <w:rFonts w:ascii="游ゴシック" w:eastAsia="游ゴシック" w:hAnsi="游ゴシック" w:hint="eastAsia"/>
              </w:rPr>
              <w:t>0.96</w:t>
            </w:r>
          </w:p>
        </w:tc>
      </w:tr>
    </w:tbl>
    <w:p w:rsidR="00CC51FD" w:rsidRPr="00CC51FD" w:rsidRDefault="00B717F5">
      <w:pPr>
        <w:rPr>
          <w:rFonts w:ascii="游ゴシック" w:eastAsia="游ゴシック" w:hAnsi="游ゴシック"/>
        </w:rPr>
      </w:pPr>
      <w:r>
        <w:rPr>
          <w:rFonts w:ascii="游ゴシック" w:eastAsia="游ゴシック" w:hAnsi="游ゴシック" w:hint="eastAsia"/>
        </w:rPr>
        <w:t>図6</w:t>
      </w:r>
      <w:r>
        <w:rPr>
          <w:rFonts w:ascii="游ゴシック" w:eastAsia="游ゴシック" w:hAnsi="游ゴシック"/>
        </w:rPr>
        <w:t>.</w:t>
      </w:r>
      <w:r w:rsidRPr="00B717F5">
        <w:rPr>
          <w:rFonts w:ascii="游ゴシック" w:eastAsia="游ゴシック" w:hAnsi="游ゴシック" w:hint="eastAsia"/>
        </w:rPr>
        <w:t xml:space="preserve"> </w:t>
      </w:r>
      <w:r>
        <w:rPr>
          <w:rFonts w:ascii="游ゴシック" w:eastAsia="游ゴシック" w:hAnsi="游ゴシック" w:hint="eastAsia"/>
        </w:rPr>
        <w:t>自己資本比率との相関係数</w:t>
      </w:r>
    </w:p>
    <w:p w:rsidR="00CC51FD" w:rsidRDefault="00B717F5">
      <w:pPr>
        <w:rPr>
          <w:rFonts w:ascii="游ゴシック" w:eastAsia="游ゴシック" w:hAnsi="游ゴシック"/>
        </w:rPr>
      </w:pPr>
      <w:r>
        <w:rPr>
          <w:rFonts w:ascii="游ゴシック" w:eastAsia="游ゴシック" w:hAnsi="游ゴシック" w:hint="eastAsia"/>
        </w:rPr>
        <w:t>※総資産額、自己資本額について相関係数が1に近づくほど、負債については-</w:t>
      </w:r>
      <w:r>
        <w:rPr>
          <w:rFonts w:ascii="游ゴシック" w:eastAsia="游ゴシック" w:hAnsi="游ゴシック"/>
        </w:rPr>
        <w:t>1</w:t>
      </w:r>
      <w:r>
        <w:rPr>
          <w:rFonts w:ascii="游ゴシック" w:eastAsia="游ゴシック" w:hAnsi="游ゴシック" w:hint="eastAsia"/>
        </w:rPr>
        <w:t>に近づく程自己資本比率の値への影響がある。</w:t>
      </w:r>
    </w:p>
    <w:p w:rsidR="00B717F5" w:rsidRDefault="00B717F5">
      <w:pPr>
        <w:rPr>
          <w:rFonts w:ascii="游ゴシック" w:eastAsia="游ゴシック" w:hAnsi="游ゴシック"/>
        </w:rPr>
      </w:pPr>
    </w:p>
    <w:p w:rsidR="00CC51FD" w:rsidRDefault="00B717F5" w:rsidP="00CC51FD">
      <w:pPr>
        <w:rPr>
          <w:rFonts w:ascii="游ゴシック" w:eastAsia="游ゴシック" w:hAnsi="游ゴシック" w:hint="eastAsia"/>
        </w:rPr>
      </w:pPr>
      <w:r>
        <w:rPr>
          <w:rFonts w:ascii="游ゴシック" w:eastAsia="游ゴシック" w:hAnsi="游ゴシック" w:hint="eastAsia"/>
        </w:rPr>
        <w:t>図</w:t>
      </w:r>
      <w:r>
        <w:rPr>
          <w:rFonts w:ascii="游ゴシック" w:eastAsia="游ゴシック" w:hAnsi="游ゴシック"/>
        </w:rPr>
        <w:t>6</w:t>
      </w:r>
      <w:r>
        <w:rPr>
          <w:rFonts w:ascii="游ゴシック" w:eastAsia="游ゴシック" w:hAnsi="游ゴシック" w:hint="eastAsia"/>
        </w:rPr>
        <w:t>から自己資本額の増減が最も曙ブレーキ工業の自己資本比率に影響していることが分かる。曙ブレーキ工業の自己資本比率は低下傾向にあるが、自己資本額を減少させる要因としては減資や</w:t>
      </w:r>
      <w:r w:rsidR="00592359">
        <w:rPr>
          <w:rFonts w:ascii="游ゴシック" w:eastAsia="游ゴシック" w:hAnsi="游ゴシック" w:hint="eastAsia"/>
        </w:rPr>
        <w:t>当期純損失</w:t>
      </w:r>
      <w:r>
        <w:rPr>
          <w:rFonts w:ascii="游ゴシック" w:eastAsia="游ゴシック" w:hAnsi="游ゴシック" w:hint="eastAsia"/>
        </w:rPr>
        <w:t>による利益剰余金の減少が考えられる。調べてみたところ、曙ブレーキ工業は近年減資を行っていないため</w:t>
      </w:r>
      <w:r w:rsidR="00592359">
        <w:rPr>
          <w:rFonts w:ascii="游ゴシック" w:eastAsia="游ゴシック" w:hAnsi="游ゴシック" w:hint="eastAsia"/>
        </w:rPr>
        <w:t>、私は当期純損失による利益剰余金の減少が自己資本比率低下の最大要因であると断定する。</w:t>
      </w:r>
    </w:p>
    <w:p w:rsidR="004D1C9F" w:rsidRDefault="004D1C9F">
      <w:pPr>
        <w:rPr>
          <w:rFonts w:ascii="游ゴシック" w:eastAsia="游ゴシック" w:hAnsi="游ゴシック"/>
        </w:rPr>
      </w:pPr>
    </w:p>
    <w:p w:rsidR="00592359" w:rsidRPr="00CC51FD" w:rsidRDefault="00592359">
      <w:pPr>
        <w:rPr>
          <w:rFonts w:ascii="游ゴシック" w:eastAsia="游ゴシック" w:hAnsi="游ゴシック" w:hint="eastAsia"/>
        </w:rPr>
      </w:pPr>
      <w:r>
        <w:rPr>
          <w:rFonts w:ascii="游ゴシック" w:eastAsia="游ゴシック" w:hAnsi="游ゴシック" w:hint="eastAsia"/>
        </w:rPr>
        <w:t>-3.曙ブレーキの収益性・北米事業</w:t>
      </w:r>
    </w:p>
    <w:p w:rsidR="00BC2C6D" w:rsidRDefault="00592359">
      <w:pPr>
        <w:rPr>
          <w:rFonts w:ascii="游ゴシック" w:eastAsia="游ゴシック" w:hAnsi="游ゴシック"/>
        </w:rPr>
      </w:pPr>
      <w:r>
        <w:rPr>
          <w:rFonts w:ascii="游ゴシック" w:eastAsia="游ゴシック" w:hAnsi="游ゴシック" w:hint="eastAsia"/>
        </w:rPr>
        <w:t>前章では、曙ブレーキ工業の事業再生ADR申請の最大の要因は当期純</w:t>
      </w:r>
      <w:r w:rsidR="00204DF5">
        <w:rPr>
          <w:rFonts w:ascii="游ゴシック" w:eastAsia="游ゴシック" w:hAnsi="游ゴシック" w:hint="eastAsia"/>
        </w:rPr>
        <w:t>損失発生による利益剰余金の減少であると断定した。本章では、さらに詳細な検証を行うため事業の</w:t>
      </w:r>
      <w:r w:rsidR="005D2B7A">
        <w:rPr>
          <w:rFonts w:ascii="游ゴシック" w:eastAsia="游ゴシック" w:hAnsi="游ゴシック" w:hint="eastAsia"/>
        </w:rPr>
        <w:t>収益性</w:t>
      </w:r>
      <w:r w:rsidR="00A433A0">
        <w:rPr>
          <w:rFonts w:ascii="游ゴシック" w:eastAsia="游ゴシック" w:hAnsi="游ゴシック" w:hint="eastAsia"/>
        </w:rPr>
        <w:t>の</w:t>
      </w:r>
      <w:r w:rsidR="00204DF5">
        <w:rPr>
          <w:rFonts w:ascii="游ゴシック" w:eastAsia="游ゴシック" w:hAnsi="游ゴシック" w:hint="eastAsia"/>
        </w:rPr>
        <w:t>分析と、ニュースリリースで挙げられていた北米事業について調べていく。</w:t>
      </w:r>
    </w:p>
    <w:p w:rsidR="005D2B7A" w:rsidRDefault="005D2B7A">
      <w:pPr>
        <w:rPr>
          <w:rFonts w:ascii="游ゴシック" w:eastAsia="游ゴシック" w:hAnsi="游ゴシック" w:hint="eastAsia"/>
        </w:rPr>
      </w:pPr>
      <w:r>
        <w:rPr>
          <w:rFonts w:ascii="游ゴシック" w:eastAsia="游ゴシック" w:hAnsi="游ゴシック" w:hint="eastAsia"/>
        </w:rPr>
        <w:t>まず</w:t>
      </w:r>
      <w:r w:rsidR="00F24019">
        <w:rPr>
          <w:rFonts w:ascii="游ゴシック" w:eastAsia="游ゴシック" w:hAnsi="游ゴシック" w:hint="eastAsia"/>
        </w:rPr>
        <w:t>図</w:t>
      </w:r>
      <w:r w:rsidR="004F4B16">
        <w:rPr>
          <w:rFonts w:ascii="游ゴシック" w:eastAsia="游ゴシック" w:hAnsi="游ゴシック" w:hint="eastAsia"/>
        </w:rPr>
        <w:t>6</w:t>
      </w:r>
      <w:r w:rsidR="00F24019">
        <w:rPr>
          <w:rFonts w:ascii="游ゴシック" w:eastAsia="游ゴシック" w:hAnsi="游ゴシック" w:hint="eastAsia"/>
        </w:rPr>
        <w:t>の</w:t>
      </w:r>
      <w:r>
        <w:rPr>
          <w:rFonts w:ascii="游ゴシック" w:eastAsia="游ゴシック" w:hAnsi="游ゴシック" w:hint="eastAsia"/>
        </w:rPr>
        <w:t>全体売上高及び地域別売上高(連結消去前)</w:t>
      </w:r>
      <w:r w:rsidR="00A433A0">
        <w:rPr>
          <w:rFonts w:ascii="游ゴシック" w:eastAsia="游ゴシック" w:hAnsi="游ゴシック" w:hint="eastAsia"/>
        </w:rPr>
        <w:t>を見ると</w:t>
      </w:r>
      <w:r w:rsidR="004F4B16">
        <w:rPr>
          <w:rFonts w:ascii="游ゴシック" w:eastAsia="游ゴシック" w:hAnsi="游ゴシック" w:hint="eastAsia"/>
        </w:rPr>
        <w:t>、</w:t>
      </w:r>
      <w:r w:rsidR="00A433A0">
        <w:rPr>
          <w:rFonts w:ascii="游ゴシック" w:eastAsia="游ゴシック" w:hAnsi="游ゴシック" w:hint="eastAsia"/>
        </w:rPr>
        <w:t>売上高自体は1</w:t>
      </w:r>
      <w:r w:rsidR="00A433A0">
        <w:rPr>
          <w:rFonts w:ascii="游ゴシック" w:eastAsia="游ゴシック" w:hAnsi="游ゴシック"/>
        </w:rPr>
        <w:t>0</w:t>
      </w:r>
      <w:r w:rsidR="00A433A0">
        <w:rPr>
          <w:rFonts w:ascii="游ゴシック" w:eastAsia="游ゴシック" w:hAnsi="游ゴシック" w:hint="eastAsia"/>
        </w:rPr>
        <w:t>年前から</w:t>
      </w:r>
      <w:r w:rsidR="004F4B16">
        <w:rPr>
          <w:rFonts w:ascii="游ゴシック" w:eastAsia="游ゴシック" w:hAnsi="游ゴシック" w:hint="eastAsia"/>
        </w:rPr>
        <w:t>増減を繰り返しながらも順調に</w:t>
      </w:r>
      <w:r w:rsidR="00A433A0">
        <w:rPr>
          <w:rFonts w:ascii="游ゴシック" w:eastAsia="游ゴシック" w:hAnsi="游ゴシック" w:hint="eastAsia"/>
        </w:rPr>
        <w:t>増加していたことが分かる。それに、問題の2</w:t>
      </w:r>
      <w:r w:rsidR="00A433A0">
        <w:rPr>
          <w:rFonts w:ascii="游ゴシック" w:eastAsia="游ゴシック" w:hAnsi="游ゴシック"/>
        </w:rPr>
        <w:t>015</w:t>
      </w:r>
      <w:r w:rsidR="00A433A0">
        <w:rPr>
          <w:rFonts w:ascii="游ゴシック" w:eastAsia="游ゴシック" w:hAnsi="游ゴシック" w:hint="eastAsia"/>
        </w:rPr>
        <w:t>年3月期以降の北米市場を見てみても直近は右肩下がりではあるものの2</w:t>
      </w:r>
      <w:r w:rsidR="00A433A0">
        <w:rPr>
          <w:rFonts w:ascii="游ゴシック" w:eastAsia="游ゴシック" w:hAnsi="游ゴシック"/>
        </w:rPr>
        <w:t>016</w:t>
      </w:r>
      <w:r w:rsidR="00A433A0">
        <w:rPr>
          <w:rFonts w:ascii="游ゴシック" w:eastAsia="游ゴシック" w:hAnsi="游ゴシック" w:hint="eastAsia"/>
        </w:rPr>
        <w:t>年には売上高のピークを迎えている。それにも関わらず2</w:t>
      </w:r>
      <w:r w:rsidR="00A433A0">
        <w:rPr>
          <w:rFonts w:ascii="游ゴシック" w:eastAsia="游ゴシック" w:hAnsi="游ゴシック"/>
        </w:rPr>
        <w:t>016</w:t>
      </w:r>
      <w:r w:rsidR="00A433A0">
        <w:rPr>
          <w:rFonts w:ascii="游ゴシック" w:eastAsia="游ゴシック" w:hAnsi="游ゴシック" w:hint="eastAsia"/>
        </w:rPr>
        <w:t>年に赤字が発生したのは生産混乱に伴う追加コストによるもので、売れば売るほど赤字が広がる状況であったと予測される。そこでその推測を</w:t>
      </w:r>
      <w:r w:rsidR="002B3D65">
        <w:rPr>
          <w:rFonts w:ascii="游ゴシック" w:eastAsia="游ゴシック" w:hAnsi="游ゴシック" w:hint="eastAsia"/>
        </w:rPr>
        <w:t>立証すべく</w:t>
      </w:r>
      <w:r w:rsidR="00A433A0">
        <w:rPr>
          <w:rFonts w:ascii="游ゴシック" w:eastAsia="游ゴシック" w:hAnsi="游ゴシック" w:hint="eastAsia"/>
        </w:rPr>
        <w:t>、</w:t>
      </w:r>
      <w:r w:rsidR="004F4B16">
        <w:rPr>
          <w:rFonts w:ascii="游ゴシック" w:eastAsia="游ゴシック" w:hAnsi="游ゴシック" w:hint="eastAsia"/>
        </w:rPr>
        <w:t>図7・図</w:t>
      </w:r>
      <w:r w:rsidR="004F4B16">
        <w:rPr>
          <w:rFonts w:ascii="游ゴシック" w:eastAsia="游ゴシック" w:hAnsi="游ゴシック"/>
        </w:rPr>
        <w:t>8</w:t>
      </w:r>
      <w:r w:rsidR="004F4B16">
        <w:rPr>
          <w:rFonts w:ascii="游ゴシック" w:eastAsia="游ゴシック" w:hAnsi="游ゴシック" w:hint="eastAsia"/>
        </w:rPr>
        <w:t>の</w:t>
      </w:r>
      <w:r w:rsidR="00A433A0">
        <w:rPr>
          <w:rFonts w:ascii="游ゴシック" w:eastAsia="游ゴシック" w:hAnsi="游ゴシック" w:hint="eastAsia"/>
        </w:rPr>
        <w:t>地域別の営業利益</w:t>
      </w:r>
      <w:r w:rsidR="002B3D65">
        <w:rPr>
          <w:rFonts w:ascii="游ゴシック" w:eastAsia="游ゴシック" w:hAnsi="游ゴシック" w:hint="eastAsia"/>
        </w:rPr>
        <w:t>と営業利益率率を見ていく。</w:t>
      </w:r>
    </w:p>
    <w:p w:rsidR="005D2B7A" w:rsidRDefault="005D2B7A">
      <w:pPr>
        <w:rPr>
          <w:rFonts w:ascii="游ゴシック" w:eastAsia="游ゴシック" w:hAnsi="游ゴシック"/>
        </w:rPr>
      </w:pPr>
      <w:r>
        <w:rPr>
          <w:noProof/>
        </w:rPr>
        <w:lastRenderedPageBreak/>
        <w:drawing>
          <wp:inline distT="0" distB="0" distL="0" distR="0" wp14:anchorId="7FFDF67C" wp14:editId="70951757">
            <wp:extent cx="5400040" cy="3130550"/>
            <wp:effectExtent l="0" t="0" r="10160" b="12700"/>
            <wp:docPr id="5" name="グラフ 5">
              <a:extLst xmlns:a="http://schemas.openxmlformats.org/drawingml/2006/main">
                <a:ext uri="{FF2B5EF4-FFF2-40B4-BE49-F238E27FC236}">
                  <a16:creationId xmlns:a16="http://schemas.microsoft.com/office/drawing/2014/main" id="{193DF072-11C8-4F9E-BEF3-D831025334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F779B" w:rsidRDefault="00BF779B">
      <w:pPr>
        <w:rPr>
          <w:rFonts w:ascii="游ゴシック" w:eastAsia="游ゴシック" w:hAnsi="游ゴシック"/>
        </w:rPr>
      </w:pPr>
      <w:r>
        <w:rPr>
          <w:rFonts w:ascii="游ゴシック" w:eastAsia="游ゴシック" w:hAnsi="游ゴシック" w:hint="eastAsia"/>
        </w:rPr>
        <w:t>図</w:t>
      </w:r>
      <w:r w:rsidR="00F24019">
        <w:rPr>
          <w:rFonts w:ascii="游ゴシック" w:eastAsia="游ゴシック" w:hAnsi="游ゴシック" w:hint="eastAsia"/>
        </w:rPr>
        <w:t>6</w:t>
      </w:r>
      <w:r>
        <w:rPr>
          <w:rFonts w:ascii="游ゴシック" w:eastAsia="游ゴシック" w:hAnsi="游ゴシック"/>
        </w:rPr>
        <w:t>.</w:t>
      </w:r>
      <w:r>
        <w:rPr>
          <w:rFonts w:ascii="游ゴシック" w:eastAsia="游ゴシック" w:hAnsi="游ゴシック" w:hint="eastAsia"/>
        </w:rPr>
        <w:t>連結売上高及び地域別売上高の推移</w:t>
      </w:r>
    </w:p>
    <w:p w:rsidR="002B3D65" w:rsidRDefault="002B3D65">
      <w:pPr>
        <w:rPr>
          <w:rFonts w:ascii="游ゴシック" w:eastAsia="游ゴシック" w:hAnsi="游ゴシック"/>
        </w:rPr>
      </w:pPr>
    </w:p>
    <w:p w:rsidR="004F4B16" w:rsidRDefault="004F4B16">
      <w:pPr>
        <w:rPr>
          <w:rFonts w:ascii="游ゴシック" w:eastAsia="游ゴシック" w:hAnsi="游ゴシック"/>
        </w:rPr>
      </w:pPr>
    </w:p>
    <w:p w:rsidR="004F4B16" w:rsidRDefault="004F4B16">
      <w:pPr>
        <w:rPr>
          <w:rFonts w:ascii="游ゴシック" w:eastAsia="游ゴシック" w:hAnsi="游ゴシック"/>
        </w:rPr>
      </w:pPr>
    </w:p>
    <w:p w:rsidR="004F4B16" w:rsidRDefault="004F4B16">
      <w:pPr>
        <w:rPr>
          <w:rFonts w:ascii="游ゴシック" w:eastAsia="游ゴシック" w:hAnsi="游ゴシック"/>
        </w:rPr>
      </w:pPr>
    </w:p>
    <w:p w:rsidR="004F4B16" w:rsidRDefault="004F4B16">
      <w:pPr>
        <w:rPr>
          <w:rFonts w:ascii="游ゴシック" w:eastAsia="游ゴシック" w:hAnsi="游ゴシック" w:hint="eastAsia"/>
        </w:rPr>
      </w:pPr>
      <w:bookmarkStart w:id="0" w:name="_GoBack"/>
      <w:bookmarkEnd w:id="0"/>
    </w:p>
    <w:p w:rsidR="00BF779B" w:rsidRDefault="00BF779B">
      <w:pPr>
        <w:rPr>
          <w:rFonts w:ascii="游ゴシック" w:eastAsia="游ゴシック" w:hAnsi="游ゴシック"/>
        </w:rPr>
      </w:pPr>
      <w:r>
        <w:rPr>
          <w:noProof/>
        </w:rPr>
        <w:drawing>
          <wp:inline distT="0" distB="0" distL="0" distR="0" wp14:anchorId="741D43B1" wp14:editId="4AF59110">
            <wp:extent cx="5651500" cy="3326765"/>
            <wp:effectExtent l="0" t="0" r="6350" b="6985"/>
            <wp:docPr id="6" name="グラフ 6">
              <a:extLst xmlns:a="http://schemas.openxmlformats.org/drawingml/2006/main">
                <a:ext uri="{FF2B5EF4-FFF2-40B4-BE49-F238E27FC236}">
                  <a16:creationId xmlns:a16="http://schemas.microsoft.com/office/drawing/2014/main" id="{D361726F-17D3-4581-AB4D-F17C9352AB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F779B" w:rsidRDefault="00BF779B">
      <w:pPr>
        <w:rPr>
          <w:rFonts w:ascii="游ゴシック" w:eastAsia="游ゴシック" w:hAnsi="游ゴシック"/>
        </w:rPr>
      </w:pPr>
      <w:r>
        <w:rPr>
          <w:rFonts w:ascii="游ゴシック" w:eastAsia="游ゴシック" w:hAnsi="游ゴシック" w:hint="eastAsia"/>
        </w:rPr>
        <w:t>図</w:t>
      </w:r>
      <w:r w:rsidR="00F24019">
        <w:rPr>
          <w:rFonts w:ascii="游ゴシック" w:eastAsia="游ゴシック" w:hAnsi="游ゴシック"/>
        </w:rPr>
        <w:t>7</w:t>
      </w:r>
      <w:r>
        <w:rPr>
          <w:rFonts w:ascii="游ゴシック" w:eastAsia="游ゴシック" w:hAnsi="游ゴシック"/>
        </w:rPr>
        <w:t>.</w:t>
      </w:r>
      <w:r>
        <w:rPr>
          <w:rFonts w:ascii="游ゴシック" w:eastAsia="游ゴシック" w:hAnsi="游ゴシック" w:hint="eastAsia"/>
        </w:rPr>
        <w:t>地域別営業利益推移</w:t>
      </w:r>
    </w:p>
    <w:p w:rsidR="00BF779B" w:rsidRDefault="00BF779B">
      <w:pPr>
        <w:rPr>
          <w:rFonts w:ascii="游ゴシック" w:eastAsia="游ゴシック" w:hAnsi="游ゴシック"/>
        </w:rPr>
      </w:pPr>
    </w:p>
    <w:p w:rsidR="00BF779B" w:rsidRDefault="00BF779B">
      <w:pPr>
        <w:rPr>
          <w:rFonts w:ascii="游ゴシック" w:eastAsia="游ゴシック" w:hAnsi="游ゴシック"/>
        </w:rPr>
      </w:pPr>
    </w:p>
    <w:p w:rsidR="00BF779B" w:rsidRDefault="00BF779B">
      <w:pPr>
        <w:rPr>
          <w:rFonts w:ascii="游ゴシック" w:eastAsia="游ゴシック" w:hAnsi="游ゴシック"/>
        </w:rPr>
      </w:pPr>
    </w:p>
    <w:p w:rsidR="00BF779B" w:rsidRDefault="00BF779B">
      <w:pPr>
        <w:rPr>
          <w:rFonts w:ascii="游ゴシック" w:eastAsia="游ゴシック" w:hAnsi="游ゴシック"/>
        </w:rPr>
      </w:pPr>
    </w:p>
    <w:p w:rsidR="00BF779B" w:rsidRDefault="00BF779B">
      <w:pPr>
        <w:rPr>
          <w:rFonts w:ascii="游ゴシック" w:eastAsia="游ゴシック" w:hAnsi="游ゴシック"/>
        </w:rPr>
      </w:pPr>
    </w:p>
    <w:p w:rsidR="00BF779B" w:rsidRDefault="00BF779B" w:rsidP="00BF779B">
      <w:pPr>
        <w:jc w:val="right"/>
        <w:rPr>
          <w:rFonts w:ascii="游ゴシック" w:eastAsia="游ゴシック" w:hAnsi="游ゴシック"/>
        </w:rPr>
      </w:pPr>
      <w:r>
        <w:rPr>
          <w:noProof/>
        </w:rPr>
        <w:drawing>
          <wp:inline distT="0" distB="0" distL="0" distR="0" wp14:anchorId="26C9E0EC" wp14:editId="29C68E49">
            <wp:extent cx="5416550" cy="2743200"/>
            <wp:effectExtent l="0" t="0" r="12700" b="0"/>
            <wp:docPr id="10" name="グラフ 10">
              <a:extLst xmlns:a="http://schemas.openxmlformats.org/drawingml/2006/main">
                <a:ext uri="{FF2B5EF4-FFF2-40B4-BE49-F238E27FC236}">
                  <a16:creationId xmlns:a16="http://schemas.microsoft.com/office/drawing/2014/main" id="{1AF79353-1119-47DF-8ED8-890BFE95BC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433A0" w:rsidRDefault="00A433A0" w:rsidP="00A433A0">
      <w:pPr>
        <w:jc w:val="left"/>
        <w:rPr>
          <w:rFonts w:ascii="游ゴシック" w:eastAsia="游ゴシック" w:hAnsi="游ゴシック"/>
        </w:rPr>
      </w:pPr>
      <w:r>
        <w:rPr>
          <w:rFonts w:ascii="游ゴシック" w:eastAsia="游ゴシック" w:hAnsi="游ゴシック" w:hint="eastAsia"/>
        </w:rPr>
        <w:t>図</w:t>
      </w:r>
      <w:r w:rsidR="004F4B16">
        <w:rPr>
          <w:rFonts w:ascii="游ゴシック" w:eastAsia="游ゴシック" w:hAnsi="游ゴシック" w:hint="eastAsia"/>
        </w:rPr>
        <w:t>8</w:t>
      </w:r>
      <w:r>
        <w:rPr>
          <w:rFonts w:ascii="游ゴシック" w:eastAsia="游ゴシック" w:hAnsi="游ゴシック"/>
        </w:rPr>
        <w:t>.</w:t>
      </w:r>
      <w:r>
        <w:rPr>
          <w:rFonts w:ascii="游ゴシック" w:eastAsia="游ゴシック" w:hAnsi="游ゴシック" w:hint="eastAsia"/>
        </w:rPr>
        <w:t>地域別営業利益率推移</w:t>
      </w:r>
    </w:p>
    <w:p w:rsidR="00A433A0" w:rsidRPr="00566B25" w:rsidRDefault="00A433A0" w:rsidP="00A433A0">
      <w:pPr>
        <w:jc w:val="left"/>
        <w:rPr>
          <w:rFonts w:ascii="游ゴシック" w:eastAsia="游ゴシック" w:hAnsi="游ゴシック" w:hint="eastAsia"/>
        </w:rPr>
      </w:pPr>
    </w:p>
    <w:sectPr w:rsidR="00A433A0" w:rsidRPr="00566B25" w:rsidSect="00703F2D">
      <w:pgSz w:w="11906" w:h="16838" w:code="9"/>
      <w:pgMar w:top="1985" w:right="1701" w:bottom="1701" w:left="1701" w:header="851" w:footer="284" w:gutter="0"/>
      <w:paperSrc w:first="7"/>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B8"/>
    <w:rsid w:val="00011635"/>
    <w:rsid w:val="000F6DDF"/>
    <w:rsid w:val="001811C9"/>
    <w:rsid w:val="00204DF5"/>
    <w:rsid w:val="002546AE"/>
    <w:rsid w:val="002B3D65"/>
    <w:rsid w:val="002D3916"/>
    <w:rsid w:val="003670B8"/>
    <w:rsid w:val="003D0B3C"/>
    <w:rsid w:val="004617FD"/>
    <w:rsid w:val="004D1C9F"/>
    <w:rsid w:val="004F4B16"/>
    <w:rsid w:val="00566B25"/>
    <w:rsid w:val="00592359"/>
    <w:rsid w:val="005D2B7A"/>
    <w:rsid w:val="00703F2D"/>
    <w:rsid w:val="007870F7"/>
    <w:rsid w:val="008143EF"/>
    <w:rsid w:val="008773D0"/>
    <w:rsid w:val="008B5F8F"/>
    <w:rsid w:val="00920598"/>
    <w:rsid w:val="0098305A"/>
    <w:rsid w:val="009D00A5"/>
    <w:rsid w:val="00A433A0"/>
    <w:rsid w:val="00B717F5"/>
    <w:rsid w:val="00BB6BBC"/>
    <w:rsid w:val="00BC2C6D"/>
    <w:rsid w:val="00BF779B"/>
    <w:rsid w:val="00CC51FD"/>
    <w:rsid w:val="00CD25D1"/>
    <w:rsid w:val="00E30BA2"/>
    <w:rsid w:val="00EF23D4"/>
    <w:rsid w:val="00F24019"/>
    <w:rsid w:val="00FA4F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05610A"/>
  <w15:chartTrackingRefBased/>
  <w15:docId w15:val="{99818662-B5AF-4FE0-BBD5-7196D364D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EastAsia" w:eastAsiaTheme="maj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670B8"/>
    <w:rPr>
      <w:color w:val="0000FF"/>
      <w:u w:val="single"/>
    </w:rPr>
  </w:style>
  <w:style w:type="table" w:styleId="a4">
    <w:name w:val="Table Grid"/>
    <w:basedOn w:val="a1"/>
    <w:uiPriority w:val="59"/>
    <w:rsid w:val="00CC51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chart" Target="charts/chart2.xml"/><Relationship Id="rId5" Type="http://schemas.openxmlformats.org/officeDocument/2006/relationships/diagramData" Target="diagrams/data1.xml"/><Relationship Id="rId15" Type="http://schemas.openxmlformats.org/officeDocument/2006/relationships/chart" Target="charts/chart6.xml"/><Relationship Id="rId10" Type="http://schemas.openxmlformats.org/officeDocument/2006/relationships/chart" Target="charts/chart1.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E:\Documents\GitHub\OperationSotsuron\&#26329;&#12502;&#12524;&#12540;&#12461;&#12495;&#12452;&#12521;&#12452;&#12488;xls.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Documents\GitHub\OperationSotsuron\&#26329;&#12502;&#12524;&#12540;&#12461;&#12495;&#12452;&#12521;&#12452;&#12488;xls.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Documents\GitHub\OperationSotsuron\&#26329;&#12502;&#12524;&#12540;&#12461;&#12495;&#12452;&#12521;&#12452;&#12488;xls.xl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Documents\GitHub\OperationSotsuron\&#26329;&#12502;&#12524;&#12540;&#12461;&#12495;&#12452;&#12521;&#12452;&#12488;xls.xls"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E:\Documents\GitHub\OperationSotsuron\&#26329;&#12502;&#12524;&#12540;&#12461;&#12495;&#12452;&#12521;&#12452;&#12488;xls.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Documents\GitHub\OperationSotsuron\&#26329;&#12502;&#12524;&#12540;&#12461;&#12495;&#12452;&#12521;&#12452;&#12488;xls.xls"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E:\Documents\GitHub\OperationSotsuron\&#26329;&#12502;&#12524;&#12540;&#12461;&#12495;&#12452;&#12521;&#12452;&#12488;xls.xls"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latin typeface="游ゴシック" panose="020B0400000000000000" pitchFamily="50" charset="-128"/>
                <a:ea typeface="游ゴシック" panose="020B0400000000000000" pitchFamily="50" charset="-128"/>
              </a:rPr>
              <a:t>自己資本比率</a:t>
            </a:r>
          </a:p>
        </c:rich>
      </c:tx>
      <c:layout>
        <c:manualLayout>
          <c:xMode val="edge"/>
          <c:yMode val="edge"/>
          <c:x val="0.38333333333333336"/>
          <c:y val="1.38888888888888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manualLayout>
          <c:layoutTarget val="inner"/>
          <c:xMode val="edge"/>
          <c:yMode val="edge"/>
          <c:x val="9.6761592300962374E-2"/>
          <c:y val="0.12037037037037036"/>
          <c:w val="0.8782384076990376"/>
          <c:h val="0.64723024205307667"/>
        </c:manualLayout>
      </c:layout>
      <c:lineChart>
        <c:grouping val="standard"/>
        <c:varyColors val="0"/>
        <c:ser>
          <c:idx val="0"/>
          <c:order val="0"/>
          <c:tx>
            <c:strRef>
              <c:f>連結財務パフォーマンス!$A$7</c:f>
              <c:strCache>
                <c:ptCount val="1"/>
                <c:pt idx="0">
                  <c:v>自己資本比率（％）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游ゴシック" panose="020B0400000000000000" pitchFamily="50" charset="-128"/>
                    <a:ea typeface="游ゴシック" panose="020B0400000000000000" pitchFamily="50" charset="-128"/>
                    <a:cs typeface="+mn-cs"/>
                  </a:defRPr>
                </a:pPr>
                <a:endParaRPr lang="ja-JP"/>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連結財務パフォーマンス!$B$1:$L$1</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連結財務パフォーマンス!$B$7:$L$7</c:f>
              <c:numCache>
                <c:formatCode>#,##0.0_ </c:formatCode>
                <c:ptCount val="11"/>
                <c:pt idx="0">
                  <c:v>17.600000000000001</c:v>
                </c:pt>
                <c:pt idx="1">
                  <c:v>26.7</c:v>
                </c:pt>
                <c:pt idx="2">
                  <c:v>25.4</c:v>
                </c:pt>
                <c:pt idx="3">
                  <c:v>23.9</c:v>
                </c:pt>
                <c:pt idx="4">
                  <c:v>24.9</c:v>
                </c:pt>
                <c:pt idx="5">
                  <c:v>26.4</c:v>
                </c:pt>
                <c:pt idx="6">
                  <c:v>23.9</c:v>
                </c:pt>
                <c:pt idx="7">
                  <c:v>11.6</c:v>
                </c:pt>
                <c:pt idx="8">
                  <c:v>12.4</c:v>
                </c:pt>
                <c:pt idx="9">
                  <c:v>13.9</c:v>
                </c:pt>
                <c:pt idx="10">
                  <c:v>1.7</c:v>
                </c:pt>
              </c:numCache>
            </c:numRef>
          </c:val>
          <c:smooth val="0"/>
          <c:extLst>
            <c:ext xmlns:c16="http://schemas.microsoft.com/office/drawing/2014/chart" uri="{C3380CC4-5D6E-409C-BE32-E72D297353CC}">
              <c16:uniqueId val="{00000000-E4DD-47BA-93F5-1F1B9C72D945}"/>
            </c:ext>
          </c:extLst>
        </c:ser>
        <c:ser>
          <c:idx val="1"/>
          <c:order val="1"/>
          <c:tx>
            <c:v>業界平均</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游ゴシック" panose="020B0400000000000000" pitchFamily="50" charset="-128"/>
                    <a:ea typeface="游ゴシック" panose="020B0400000000000000" pitchFamily="50" charset="-128"/>
                    <a:cs typeface="+mn-cs"/>
                  </a:defRPr>
                </a:pPr>
                <a:endParaRPr lang="ja-JP"/>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連結財務パフォーマンス!$B$1:$L$1</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同業平均!$ED$3:$ED$12</c:f>
              <c:numCache>
                <c:formatCode>General</c:formatCode>
                <c:ptCount val="10"/>
                <c:pt idx="0">
                  <c:v>49.2</c:v>
                </c:pt>
                <c:pt idx="1">
                  <c:v>51.7</c:v>
                </c:pt>
                <c:pt idx="2">
                  <c:v>48.9</c:v>
                </c:pt>
                <c:pt idx="3">
                  <c:v>52</c:v>
                </c:pt>
                <c:pt idx="4">
                  <c:v>53.8</c:v>
                </c:pt>
                <c:pt idx="5">
                  <c:v>56.3</c:v>
                </c:pt>
                <c:pt idx="6">
                  <c:v>56.5</c:v>
                </c:pt>
                <c:pt idx="7">
                  <c:v>56.6</c:v>
                </c:pt>
                <c:pt idx="8">
                  <c:v>57.5</c:v>
                </c:pt>
                <c:pt idx="9">
                  <c:v>57.3</c:v>
                </c:pt>
              </c:numCache>
            </c:numRef>
          </c:val>
          <c:smooth val="0"/>
          <c:extLst>
            <c:ext xmlns:c16="http://schemas.microsoft.com/office/drawing/2014/chart" uri="{C3380CC4-5D6E-409C-BE32-E72D297353CC}">
              <c16:uniqueId val="{00000001-E4DD-47BA-93F5-1F1B9C72D945}"/>
            </c:ext>
          </c:extLst>
        </c:ser>
        <c:dLbls>
          <c:dLblPos val="t"/>
          <c:showLegendKey val="0"/>
          <c:showVal val="1"/>
          <c:showCatName val="0"/>
          <c:showSerName val="0"/>
          <c:showPercent val="0"/>
          <c:showBubbleSize val="0"/>
        </c:dLbls>
        <c:marker val="1"/>
        <c:smooth val="0"/>
        <c:axId val="565266888"/>
        <c:axId val="565264920"/>
      </c:lineChart>
      <c:dateAx>
        <c:axId val="565266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565264920"/>
        <c:crosses val="autoZero"/>
        <c:auto val="0"/>
        <c:lblOffset val="100"/>
        <c:baseTimeUnit val="years"/>
      </c:dateAx>
      <c:valAx>
        <c:axId val="565264920"/>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565266888"/>
        <c:crosses val="autoZero"/>
        <c:crossBetween val="between"/>
      </c:valAx>
      <c:spPr>
        <a:noFill/>
        <a:ln>
          <a:noFill/>
        </a:ln>
        <a:effectLst/>
      </c:spPr>
    </c:plotArea>
    <c:legend>
      <c:legendPos val="r"/>
      <c:layout>
        <c:manualLayout>
          <c:xMode val="edge"/>
          <c:yMode val="edge"/>
          <c:x val="0.49039059502712973"/>
          <c:y val="0.92928186060075824"/>
          <c:w val="0.50960940497287022"/>
          <c:h val="6.828813065033535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総資産額・自己資本比率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autoTitleDeleted val="0"/>
    <c:plotArea>
      <c:layout/>
      <c:lineChart>
        <c:grouping val="standard"/>
        <c:varyColors val="0"/>
        <c:ser>
          <c:idx val="1"/>
          <c:order val="1"/>
          <c:tx>
            <c:v>総資産額</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連結財務パフォーマンス!$B$3:$L$3</c:f>
              <c:numCache>
                <c:formatCode>#,##0_ </c:formatCode>
                <c:ptCount val="11"/>
                <c:pt idx="0">
                  <c:v>155428</c:v>
                </c:pt>
                <c:pt idx="1">
                  <c:v>164120</c:v>
                </c:pt>
                <c:pt idx="2">
                  <c:v>185952</c:v>
                </c:pt>
                <c:pt idx="3">
                  <c:v>181030</c:v>
                </c:pt>
                <c:pt idx="4">
                  <c:v>186572</c:v>
                </c:pt>
                <c:pt idx="5">
                  <c:v>199198</c:v>
                </c:pt>
                <c:pt idx="6">
                  <c:v>225894</c:v>
                </c:pt>
                <c:pt idx="7">
                  <c:v>204404</c:v>
                </c:pt>
                <c:pt idx="8">
                  <c:v>201790</c:v>
                </c:pt>
                <c:pt idx="9">
                  <c:v>194346</c:v>
                </c:pt>
                <c:pt idx="10">
                  <c:v>168583</c:v>
                </c:pt>
              </c:numCache>
            </c:numRef>
          </c:val>
          <c:smooth val="0"/>
          <c:extLst>
            <c:ext xmlns:c16="http://schemas.microsoft.com/office/drawing/2014/chart" uri="{C3380CC4-5D6E-409C-BE32-E72D297353CC}">
              <c16:uniqueId val="{00000000-3E51-4716-BD44-3EE06AC09030}"/>
            </c:ext>
          </c:extLst>
        </c:ser>
        <c:dLbls>
          <c:showLegendKey val="0"/>
          <c:showVal val="0"/>
          <c:showCatName val="0"/>
          <c:showSerName val="0"/>
          <c:showPercent val="0"/>
          <c:showBubbleSize val="0"/>
        </c:dLbls>
        <c:marker val="1"/>
        <c:smooth val="0"/>
        <c:axId val="786819704"/>
        <c:axId val="786819376"/>
      </c:lineChart>
      <c:lineChart>
        <c:grouping val="standard"/>
        <c:varyColors val="0"/>
        <c:ser>
          <c:idx val="0"/>
          <c:order val="0"/>
          <c:tx>
            <c:strRef>
              <c:f>連結財務パフォーマンス!$A$7</c:f>
              <c:strCache>
                <c:ptCount val="1"/>
                <c:pt idx="0">
                  <c:v>自己資本比率（％）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連結財務パフォーマンス!$M$7:$W$7</c:f>
              <c:numCache>
                <c:formatCode>0.00%</c:formatCode>
                <c:ptCount val="11"/>
                <c:pt idx="0">
                  <c:v>0.17600000000000002</c:v>
                </c:pt>
                <c:pt idx="1">
                  <c:v>0.26700000000000002</c:v>
                </c:pt>
                <c:pt idx="2">
                  <c:v>0.254</c:v>
                </c:pt>
                <c:pt idx="3">
                  <c:v>0.23899999999999999</c:v>
                </c:pt>
                <c:pt idx="4">
                  <c:v>0.249</c:v>
                </c:pt>
                <c:pt idx="5">
                  <c:v>0.26400000000000001</c:v>
                </c:pt>
                <c:pt idx="6">
                  <c:v>0.23899999999999999</c:v>
                </c:pt>
                <c:pt idx="7">
                  <c:v>0.11599999999999999</c:v>
                </c:pt>
                <c:pt idx="8">
                  <c:v>0.124</c:v>
                </c:pt>
                <c:pt idx="9">
                  <c:v>0.13900000000000001</c:v>
                </c:pt>
                <c:pt idx="10">
                  <c:v>1.7000000000000001E-2</c:v>
                </c:pt>
              </c:numCache>
            </c:numRef>
          </c:val>
          <c:smooth val="0"/>
          <c:extLst>
            <c:ext xmlns:c16="http://schemas.microsoft.com/office/drawing/2014/chart" uri="{C3380CC4-5D6E-409C-BE32-E72D297353CC}">
              <c16:uniqueId val="{00000001-3E51-4716-BD44-3EE06AC09030}"/>
            </c:ext>
          </c:extLst>
        </c:ser>
        <c:dLbls>
          <c:showLegendKey val="0"/>
          <c:showVal val="0"/>
          <c:showCatName val="0"/>
          <c:showSerName val="0"/>
          <c:showPercent val="0"/>
          <c:showBubbleSize val="0"/>
        </c:dLbls>
        <c:marker val="1"/>
        <c:smooth val="0"/>
        <c:axId val="815898712"/>
        <c:axId val="815896744"/>
      </c:lineChart>
      <c:catAx>
        <c:axId val="78681970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786819376"/>
        <c:crosses val="autoZero"/>
        <c:auto val="1"/>
        <c:lblAlgn val="ctr"/>
        <c:lblOffset val="100"/>
        <c:noMultiLvlLbl val="0"/>
      </c:catAx>
      <c:valAx>
        <c:axId val="786819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ltLang="en-US"/>
                  <a:t>当期純利益額</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786819704"/>
        <c:crosses val="autoZero"/>
        <c:crossBetween val="between"/>
      </c:valAx>
      <c:valAx>
        <c:axId val="815896744"/>
        <c:scaling>
          <c:orientation val="minMax"/>
        </c:scaling>
        <c:delete val="0"/>
        <c:axPos val="r"/>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ltLang="en-US"/>
                  <a:t>自己資本比率</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815898712"/>
        <c:crosses val="max"/>
        <c:crossBetween val="between"/>
      </c:valAx>
      <c:catAx>
        <c:axId val="815898712"/>
        <c:scaling>
          <c:orientation val="minMax"/>
        </c:scaling>
        <c:delete val="1"/>
        <c:axPos val="b"/>
        <c:numFmt formatCode="General" sourceLinked="1"/>
        <c:majorTickMark val="out"/>
        <c:minorTickMark val="none"/>
        <c:tickLblPos val="nextTo"/>
        <c:crossAx val="815896744"/>
        <c:crosses val="autoZero"/>
        <c:auto val="1"/>
        <c:lblAlgn val="ctr"/>
        <c:lblOffset val="100"/>
        <c:noMultiLvlLbl val="0"/>
      </c:catAx>
      <c:spPr>
        <a:noFill/>
        <a:ln>
          <a:noFill/>
        </a:ln>
        <a:effectLst/>
      </c:spPr>
    </c:plotArea>
    <c:legend>
      <c:legendPos val="b"/>
      <c:layout>
        <c:manualLayout>
          <c:xMode val="edge"/>
          <c:yMode val="edge"/>
          <c:x val="0.5239520958083832"/>
          <c:y val="0.89134660250801967"/>
          <c:w val="0.47425149700598801"/>
          <c:h val="8.087561971420238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負債・自己資本比率</a:t>
            </a:r>
          </a:p>
        </c:rich>
      </c:tx>
      <c:layout>
        <c:manualLayout>
          <c:xMode val="edge"/>
          <c:yMode val="edge"/>
          <c:x val="0.34722222222222221"/>
          <c:y val="1.38888888888888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autoTitleDeleted val="0"/>
    <c:plotArea>
      <c:layout/>
      <c:lineChart>
        <c:grouping val="standard"/>
        <c:varyColors val="0"/>
        <c:ser>
          <c:idx val="1"/>
          <c:order val="1"/>
          <c:tx>
            <c:strRef>
              <c:f>連結財務パフォーマンス!$A$4</c:f>
              <c:strCache>
                <c:ptCount val="1"/>
                <c:pt idx="0">
                  <c:v>負債</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連結財務パフォーマンス!$B$4:$L$4</c:f>
              <c:numCache>
                <c:formatCode>#,##0_ </c:formatCode>
                <c:ptCount val="11"/>
                <c:pt idx="0">
                  <c:v>123209</c:v>
                </c:pt>
                <c:pt idx="1">
                  <c:v>115034</c:v>
                </c:pt>
                <c:pt idx="2">
                  <c:v>131379</c:v>
                </c:pt>
                <c:pt idx="3">
                  <c:v>131215</c:v>
                </c:pt>
                <c:pt idx="4">
                  <c:v>132775</c:v>
                </c:pt>
                <c:pt idx="5">
                  <c:v>138766</c:v>
                </c:pt>
                <c:pt idx="6">
                  <c:v>165975</c:v>
                </c:pt>
                <c:pt idx="7">
                  <c:v>174300</c:v>
                </c:pt>
                <c:pt idx="8">
                  <c:v>172410</c:v>
                </c:pt>
                <c:pt idx="9">
                  <c:v>162855</c:v>
                </c:pt>
                <c:pt idx="10">
                  <c:v>160703</c:v>
                </c:pt>
              </c:numCache>
            </c:numRef>
          </c:val>
          <c:smooth val="0"/>
          <c:extLst>
            <c:ext xmlns:c16="http://schemas.microsoft.com/office/drawing/2014/chart" uri="{C3380CC4-5D6E-409C-BE32-E72D297353CC}">
              <c16:uniqueId val="{00000000-134E-41EB-B0CE-7FA095A4FDF9}"/>
            </c:ext>
          </c:extLst>
        </c:ser>
        <c:dLbls>
          <c:showLegendKey val="0"/>
          <c:showVal val="0"/>
          <c:showCatName val="0"/>
          <c:showSerName val="0"/>
          <c:showPercent val="0"/>
          <c:showBubbleSize val="0"/>
        </c:dLbls>
        <c:marker val="1"/>
        <c:smooth val="0"/>
        <c:axId val="792094432"/>
        <c:axId val="792090168"/>
      </c:lineChart>
      <c:lineChart>
        <c:grouping val="standard"/>
        <c:varyColors val="0"/>
        <c:ser>
          <c:idx val="0"/>
          <c:order val="0"/>
          <c:tx>
            <c:strRef>
              <c:f>連結財務パフォーマンス!$A$7</c:f>
              <c:strCache>
                <c:ptCount val="1"/>
                <c:pt idx="0">
                  <c:v>自己資本比率（％）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連結財務パフォーマンス!$M$7:$W$7</c:f>
              <c:numCache>
                <c:formatCode>0.00%</c:formatCode>
                <c:ptCount val="11"/>
                <c:pt idx="0">
                  <c:v>0.17600000000000002</c:v>
                </c:pt>
                <c:pt idx="1">
                  <c:v>0.26700000000000002</c:v>
                </c:pt>
                <c:pt idx="2">
                  <c:v>0.254</c:v>
                </c:pt>
                <c:pt idx="3">
                  <c:v>0.23899999999999999</c:v>
                </c:pt>
                <c:pt idx="4">
                  <c:v>0.249</c:v>
                </c:pt>
                <c:pt idx="5">
                  <c:v>0.26400000000000001</c:v>
                </c:pt>
                <c:pt idx="6">
                  <c:v>0.23899999999999999</c:v>
                </c:pt>
                <c:pt idx="7">
                  <c:v>0.11599999999999999</c:v>
                </c:pt>
                <c:pt idx="8">
                  <c:v>0.124</c:v>
                </c:pt>
                <c:pt idx="9">
                  <c:v>0.13900000000000001</c:v>
                </c:pt>
                <c:pt idx="10">
                  <c:v>1.7000000000000001E-2</c:v>
                </c:pt>
              </c:numCache>
            </c:numRef>
          </c:val>
          <c:smooth val="0"/>
          <c:extLst>
            <c:ext xmlns:c16="http://schemas.microsoft.com/office/drawing/2014/chart" uri="{C3380CC4-5D6E-409C-BE32-E72D297353CC}">
              <c16:uniqueId val="{00000001-134E-41EB-B0CE-7FA095A4FDF9}"/>
            </c:ext>
          </c:extLst>
        </c:ser>
        <c:dLbls>
          <c:showLegendKey val="0"/>
          <c:showVal val="0"/>
          <c:showCatName val="0"/>
          <c:showSerName val="0"/>
          <c:showPercent val="0"/>
          <c:showBubbleSize val="0"/>
        </c:dLbls>
        <c:marker val="1"/>
        <c:smooth val="0"/>
        <c:axId val="688823456"/>
        <c:axId val="688828048"/>
      </c:lineChart>
      <c:catAx>
        <c:axId val="792094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792090168"/>
        <c:crosses val="autoZero"/>
        <c:auto val="1"/>
        <c:lblAlgn val="ctr"/>
        <c:lblOffset val="100"/>
        <c:noMultiLvlLbl val="0"/>
      </c:catAx>
      <c:valAx>
        <c:axId val="792090168"/>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792094432"/>
        <c:crosses val="autoZero"/>
        <c:crossBetween val="between"/>
      </c:valAx>
      <c:valAx>
        <c:axId val="688828048"/>
        <c:scaling>
          <c:orientation val="minMax"/>
        </c:scaling>
        <c:delete val="0"/>
        <c:axPos val="r"/>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688823456"/>
        <c:crosses val="max"/>
        <c:crossBetween val="between"/>
      </c:valAx>
      <c:catAx>
        <c:axId val="688823456"/>
        <c:scaling>
          <c:orientation val="minMax"/>
        </c:scaling>
        <c:delete val="1"/>
        <c:axPos val="b"/>
        <c:numFmt formatCode="General" sourceLinked="1"/>
        <c:majorTickMark val="out"/>
        <c:minorTickMark val="none"/>
        <c:tickLblPos val="nextTo"/>
        <c:crossAx val="6888280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自己資本・自己資本比率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manualLayout>
          <c:layoutTarget val="inner"/>
          <c:xMode val="edge"/>
          <c:yMode val="edge"/>
          <c:x val="0.10557625499070378"/>
          <c:y val="0.17685185185185184"/>
          <c:w val="0.80063018051718138"/>
          <c:h val="0.63236074657334496"/>
        </c:manualLayout>
      </c:layout>
      <c:lineChart>
        <c:grouping val="standard"/>
        <c:varyColors val="0"/>
        <c:ser>
          <c:idx val="0"/>
          <c:order val="0"/>
          <c:tx>
            <c:strRef>
              <c:f>連結財務パフォーマンス!$A$6</c:f>
              <c:strCache>
                <c:ptCount val="1"/>
                <c:pt idx="0">
                  <c:v>自己資本</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連結財務パフォーマンス!$B$6:$L$6</c:f>
              <c:numCache>
                <c:formatCode>#,##0_ </c:formatCode>
                <c:ptCount val="11"/>
                <c:pt idx="0">
                  <c:v>27354</c:v>
                </c:pt>
                <c:pt idx="1">
                  <c:v>43794</c:v>
                </c:pt>
                <c:pt idx="2">
                  <c:v>47149</c:v>
                </c:pt>
                <c:pt idx="3">
                  <c:v>43276</c:v>
                </c:pt>
                <c:pt idx="4">
                  <c:v>46523</c:v>
                </c:pt>
                <c:pt idx="5">
                  <c:v>52682</c:v>
                </c:pt>
                <c:pt idx="6">
                  <c:v>53900</c:v>
                </c:pt>
                <c:pt idx="7">
                  <c:v>23807</c:v>
                </c:pt>
                <c:pt idx="8">
                  <c:v>25065</c:v>
                </c:pt>
                <c:pt idx="9">
                  <c:v>27016</c:v>
                </c:pt>
                <c:pt idx="10">
                  <c:v>2871</c:v>
                </c:pt>
              </c:numCache>
            </c:numRef>
          </c:val>
          <c:smooth val="0"/>
          <c:extLst>
            <c:ext xmlns:c16="http://schemas.microsoft.com/office/drawing/2014/chart" uri="{C3380CC4-5D6E-409C-BE32-E72D297353CC}">
              <c16:uniqueId val="{00000000-B025-415D-B868-4DDE2FCB5078}"/>
            </c:ext>
          </c:extLst>
        </c:ser>
        <c:dLbls>
          <c:showLegendKey val="0"/>
          <c:showVal val="0"/>
          <c:showCatName val="0"/>
          <c:showSerName val="0"/>
          <c:showPercent val="0"/>
          <c:showBubbleSize val="0"/>
        </c:dLbls>
        <c:marker val="1"/>
        <c:smooth val="0"/>
        <c:axId val="688810008"/>
        <c:axId val="688803776"/>
      </c:lineChart>
      <c:lineChart>
        <c:grouping val="standard"/>
        <c:varyColors val="0"/>
        <c:ser>
          <c:idx val="1"/>
          <c:order val="1"/>
          <c:tx>
            <c:strRef>
              <c:f>連結財務パフォーマンス!$A$7</c:f>
              <c:strCache>
                <c:ptCount val="1"/>
                <c:pt idx="0">
                  <c:v>自己資本比率（％）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連結財務パフォーマンス!$M$7:$W$7</c:f>
              <c:numCache>
                <c:formatCode>0.00%</c:formatCode>
                <c:ptCount val="11"/>
                <c:pt idx="0">
                  <c:v>0.17600000000000002</c:v>
                </c:pt>
                <c:pt idx="1">
                  <c:v>0.26700000000000002</c:v>
                </c:pt>
                <c:pt idx="2">
                  <c:v>0.254</c:v>
                </c:pt>
                <c:pt idx="3">
                  <c:v>0.23899999999999999</c:v>
                </c:pt>
                <c:pt idx="4">
                  <c:v>0.249</c:v>
                </c:pt>
                <c:pt idx="5">
                  <c:v>0.26400000000000001</c:v>
                </c:pt>
                <c:pt idx="6">
                  <c:v>0.23899999999999999</c:v>
                </c:pt>
                <c:pt idx="7">
                  <c:v>0.11599999999999999</c:v>
                </c:pt>
                <c:pt idx="8">
                  <c:v>0.124</c:v>
                </c:pt>
                <c:pt idx="9">
                  <c:v>0.13900000000000001</c:v>
                </c:pt>
                <c:pt idx="10">
                  <c:v>1.7000000000000001E-2</c:v>
                </c:pt>
              </c:numCache>
            </c:numRef>
          </c:val>
          <c:smooth val="0"/>
          <c:extLst>
            <c:ext xmlns:c16="http://schemas.microsoft.com/office/drawing/2014/chart" uri="{C3380CC4-5D6E-409C-BE32-E72D297353CC}">
              <c16:uniqueId val="{00000001-B025-415D-B868-4DDE2FCB5078}"/>
            </c:ext>
          </c:extLst>
        </c:ser>
        <c:dLbls>
          <c:showLegendKey val="0"/>
          <c:showVal val="0"/>
          <c:showCatName val="0"/>
          <c:showSerName val="0"/>
          <c:showPercent val="0"/>
          <c:showBubbleSize val="0"/>
        </c:dLbls>
        <c:marker val="1"/>
        <c:smooth val="0"/>
        <c:axId val="690332912"/>
        <c:axId val="690331600"/>
      </c:lineChart>
      <c:catAx>
        <c:axId val="688810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88803776"/>
        <c:crosses val="autoZero"/>
        <c:auto val="1"/>
        <c:lblAlgn val="ctr"/>
        <c:lblOffset val="100"/>
        <c:noMultiLvlLbl val="0"/>
      </c:catAx>
      <c:valAx>
        <c:axId val="688803776"/>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88810008"/>
        <c:crosses val="autoZero"/>
        <c:crossBetween val="between"/>
      </c:valAx>
      <c:valAx>
        <c:axId val="690331600"/>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90332912"/>
        <c:crosses val="max"/>
        <c:crossBetween val="between"/>
      </c:valAx>
      <c:catAx>
        <c:axId val="690332912"/>
        <c:scaling>
          <c:orientation val="minMax"/>
        </c:scaling>
        <c:delete val="1"/>
        <c:axPos val="b"/>
        <c:numFmt formatCode="General" sourceLinked="1"/>
        <c:majorTickMark val="out"/>
        <c:minorTickMark val="none"/>
        <c:tickLblPos val="nextTo"/>
        <c:crossAx val="690331600"/>
        <c:crosses val="autoZero"/>
        <c:auto val="1"/>
        <c:lblAlgn val="ctr"/>
        <c:lblOffset val="100"/>
        <c:noMultiLvlLbl val="0"/>
      </c:catAx>
      <c:spPr>
        <a:noFill/>
        <a:ln>
          <a:noFill/>
        </a:ln>
        <a:effectLst/>
      </c:spPr>
    </c:plotArea>
    <c:legend>
      <c:legendPos val="r"/>
      <c:layout>
        <c:manualLayout>
          <c:xMode val="edge"/>
          <c:yMode val="edge"/>
          <c:x val="0.51787394167450607"/>
          <c:y val="0.91154272382618839"/>
          <c:w val="0.47977422389463781"/>
          <c:h val="8.524788568095653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ltLang="en-US">
                <a:latin typeface="游ゴシック" panose="020B0400000000000000" pitchFamily="50" charset="-128"/>
                <a:ea typeface="游ゴシック" panose="020B0400000000000000" pitchFamily="50" charset="-128"/>
              </a:rPr>
              <a:t>連結売上及び地域別売上推移</a:t>
            </a:r>
          </a:p>
        </c:rich>
      </c:tx>
      <c:overlay val="0"/>
      <c:spPr>
        <a:noFill/>
        <a:ln w="25400">
          <a:noFill/>
        </a:ln>
      </c:spPr>
    </c:title>
    <c:autoTitleDeleted val="0"/>
    <c:plotArea>
      <c:layout>
        <c:manualLayout>
          <c:layoutTarget val="inner"/>
          <c:xMode val="edge"/>
          <c:yMode val="edge"/>
          <c:x val="0.11935167763736826"/>
          <c:y val="0.17820963868878092"/>
          <c:w val="0.87919663167104112"/>
          <c:h val="0.63512290172653363"/>
        </c:manualLayout>
      </c:layout>
      <c:lineChart>
        <c:grouping val="standard"/>
        <c:varyColors val="0"/>
        <c:ser>
          <c:idx val="0"/>
          <c:order val="0"/>
          <c:tx>
            <c:strRef>
              <c:f>地域別業績!$A$4</c:f>
              <c:strCache>
                <c:ptCount val="1"/>
                <c:pt idx="0">
                  <c:v>日本</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地域別業績!$B$4:$L$4</c:f>
              <c:numCache>
                <c:formatCode>#,##0_);[Red]\(#,##0\)</c:formatCode>
                <c:ptCount val="11"/>
                <c:pt idx="0">
                  <c:v>94406</c:v>
                </c:pt>
                <c:pt idx="1">
                  <c:v>83094</c:v>
                </c:pt>
                <c:pt idx="2">
                  <c:v>93135</c:v>
                </c:pt>
                <c:pt idx="3">
                  <c:v>96154</c:v>
                </c:pt>
                <c:pt idx="4">
                  <c:v>89456</c:v>
                </c:pt>
                <c:pt idx="5">
                  <c:v>89238</c:v>
                </c:pt>
                <c:pt idx="6">
                  <c:v>86740</c:v>
                </c:pt>
                <c:pt idx="7">
                  <c:v>83096</c:v>
                </c:pt>
                <c:pt idx="8">
                  <c:v>80884</c:v>
                </c:pt>
                <c:pt idx="9">
                  <c:v>81401</c:v>
                </c:pt>
                <c:pt idx="10">
                  <c:v>77173</c:v>
                </c:pt>
              </c:numCache>
            </c:numRef>
          </c:val>
          <c:smooth val="0"/>
          <c:extLst>
            <c:ext xmlns:c16="http://schemas.microsoft.com/office/drawing/2014/chart" uri="{C3380CC4-5D6E-409C-BE32-E72D297353CC}">
              <c16:uniqueId val="{00000000-CC9A-4847-AAB1-A774ED461C55}"/>
            </c:ext>
          </c:extLst>
        </c:ser>
        <c:ser>
          <c:idx val="1"/>
          <c:order val="1"/>
          <c:tx>
            <c:strRef>
              <c:f>地域別業績!$A$5</c:f>
              <c:strCache>
                <c:ptCount val="1"/>
                <c:pt idx="0">
                  <c:v>北米 計</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地域別業績!$B$5:$L$5</c:f>
              <c:numCache>
                <c:formatCode>#,##0_);[Red]\(#,##0\)</c:formatCode>
                <c:ptCount val="11"/>
                <c:pt idx="0">
                  <c:v>54660</c:v>
                </c:pt>
                <c:pt idx="1">
                  <c:v>35791</c:v>
                </c:pt>
                <c:pt idx="2">
                  <c:v>107033</c:v>
                </c:pt>
                <c:pt idx="3">
                  <c:v>96298</c:v>
                </c:pt>
                <c:pt idx="4">
                  <c:v>98427</c:v>
                </c:pt>
                <c:pt idx="5">
                  <c:v>122790</c:v>
                </c:pt>
                <c:pt idx="6">
                  <c:v>140259</c:v>
                </c:pt>
                <c:pt idx="7">
                  <c:v>166911</c:v>
                </c:pt>
                <c:pt idx="8">
                  <c:v>153147</c:v>
                </c:pt>
                <c:pt idx="9">
                  <c:v>139896</c:v>
                </c:pt>
                <c:pt idx="10">
                  <c:v>119555</c:v>
                </c:pt>
              </c:numCache>
            </c:numRef>
          </c:val>
          <c:smooth val="0"/>
          <c:extLst>
            <c:ext xmlns:c16="http://schemas.microsoft.com/office/drawing/2014/chart" uri="{C3380CC4-5D6E-409C-BE32-E72D297353CC}">
              <c16:uniqueId val="{00000001-CC9A-4847-AAB1-A774ED461C55}"/>
            </c:ext>
          </c:extLst>
        </c:ser>
        <c:ser>
          <c:idx val="4"/>
          <c:order val="2"/>
          <c:tx>
            <c:strRef>
              <c:f>地域別業績!$A$8</c:f>
              <c:strCache>
                <c:ptCount val="1"/>
                <c:pt idx="0">
                  <c:v>欧州</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地域別業績!$B$8:$L$8</c:f>
              <c:numCache>
                <c:formatCode>#,##0_);[Red]\(#,##0\)</c:formatCode>
                <c:ptCount val="11"/>
                <c:pt idx="0">
                  <c:v>5728</c:v>
                </c:pt>
                <c:pt idx="1">
                  <c:v>4224</c:v>
                </c:pt>
                <c:pt idx="2">
                  <c:v>4436</c:v>
                </c:pt>
                <c:pt idx="3">
                  <c:v>4964</c:v>
                </c:pt>
                <c:pt idx="4">
                  <c:v>4880</c:v>
                </c:pt>
                <c:pt idx="5">
                  <c:v>7403</c:v>
                </c:pt>
                <c:pt idx="6">
                  <c:v>8880</c:v>
                </c:pt>
                <c:pt idx="7">
                  <c:v>10851</c:v>
                </c:pt>
                <c:pt idx="8">
                  <c:v>11551</c:v>
                </c:pt>
                <c:pt idx="9">
                  <c:v>14109</c:v>
                </c:pt>
                <c:pt idx="10">
                  <c:v>15847</c:v>
                </c:pt>
              </c:numCache>
            </c:numRef>
          </c:val>
          <c:smooth val="0"/>
          <c:extLst>
            <c:ext xmlns:c16="http://schemas.microsoft.com/office/drawing/2014/chart" uri="{C3380CC4-5D6E-409C-BE32-E72D297353CC}">
              <c16:uniqueId val="{00000002-CC9A-4847-AAB1-A774ED461C55}"/>
            </c:ext>
          </c:extLst>
        </c:ser>
        <c:ser>
          <c:idx val="5"/>
          <c:order val="3"/>
          <c:tx>
            <c:strRef>
              <c:f>地域別業績!$A$9</c:f>
              <c:strCache>
                <c:ptCount val="1"/>
                <c:pt idx="0">
                  <c:v>アジア 計</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地域別業績!$B$9:$L$9</c:f>
              <c:numCache>
                <c:formatCode>#,##0_);[Red]\(#,##0\)</c:formatCode>
                <c:ptCount val="11"/>
                <c:pt idx="0">
                  <c:v>15113</c:v>
                </c:pt>
                <c:pt idx="1">
                  <c:v>15844</c:v>
                </c:pt>
                <c:pt idx="2">
                  <c:v>22582</c:v>
                </c:pt>
                <c:pt idx="3">
                  <c:v>22099</c:v>
                </c:pt>
                <c:pt idx="4">
                  <c:v>24289</c:v>
                </c:pt>
                <c:pt idx="5">
                  <c:v>32627</c:v>
                </c:pt>
                <c:pt idx="6">
                  <c:v>36154</c:v>
                </c:pt>
                <c:pt idx="7">
                  <c:v>42015</c:v>
                </c:pt>
                <c:pt idx="8">
                  <c:v>42958</c:v>
                </c:pt>
                <c:pt idx="9">
                  <c:v>49161</c:v>
                </c:pt>
                <c:pt idx="10">
                  <c:v>50075</c:v>
                </c:pt>
              </c:numCache>
            </c:numRef>
          </c:val>
          <c:smooth val="0"/>
          <c:extLst>
            <c:ext xmlns:c16="http://schemas.microsoft.com/office/drawing/2014/chart" uri="{C3380CC4-5D6E-409C-BE32-E72D297353CC}">
              <c16:uniqueId val="{00000003-CC9A-4847-AAB1-A774ED461C55}"/>
            </c:ext>
          </c:extLst>
        </c:ser>
        <c:ser>
          <c:idx val="2"/>
          <c:order val="4"/>
          <c:tx>
            <c:v>連結売上</c:v>
          </c:tx>
          <c:val>
            <c:numRef>
              <c:f>地域別業績!$B$15:$L$15</c:f>
              <c:numCache>
                <c:formatCode>#,##0_);[Red]\(#,##0\)</c:formatCode>
                <c:ptCount val="11"/>
                <c:pt idx="0">
                  <c:v>159649</c:v>
                </c:pt>
                <c:pt idx="1">
                  <c:v>130604</c:v>
                </c:pt>
                <c:pt idx="2">
                  <c:v>216574</c:v>
                </c:pt>
                <c:pt idx="3">
                  <c:v>209584</c:v>
                </c:pt>
                <c:pt idx="4">
                  <c:v>206050</c:v>
                </c:pt>
                <c:pt idx="5">
                  <c:v>236665</c:v>
                </c:pt>
                <c:pt idx="6">
                  <c:v>254157</c:v>
                </c:pt>
                <c:pt idx="7">
                  <c:v>281341</c:v>
                </c:pt>
                <c:pt idx="8">
                  <c:v>266099</c:v>
                </c:pt>
                <c:pt idx="9">
                  <c:v>264921</c:v>
                </c:pt>
                <c:pt idx="10">
                  <c:v>243668</c:v>
                </c:pt>
              </c:numCache>
            </c:numRef>
          </c:val>
          <c:smooth val="0"/>
          <c:extLst>
            <c:ext xmlns:c16="http://schemas.microsoft.com/office/drawing/2014/chart" uri="{C3380CC4-5D6E-409C-BE32-E72D297353CC}">
              <c16:uniqueId val="{00000004-CC9A-4847-AAB1-A774ED461C55}"/>
            </c:ext>
          </c:extLst>
        </c:ser>
        <c:dLbls>
          <c:showLegendKey val="0"/>
          <c:showVal val="0"/>
          <c:showCatName val="0"/>
          <c:showSerName val="0"/>
          <c:showPercent val="0"/>
          <c:showBubbleSize val="0"/>
        </c:dLbls>
        <c:marker val="1"/>
        <c:smooth val="0"/>
        <c:axId val="446046464"/>
        <c:axId val="1"/>
      </c:lineChart>
      <c:catAx>
        <c:axId val="446046464"/>
        <c:scaling>
          <c:orientation val="minMax"/>
        </c:scaling>
        <c:delete val="0"/>
        <c:axPos val="b"/>
        <c:numFmt formatCode="yyyy&quot;年&quot;m&quot;月&quot;"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_);[Red]\(#,##0\)"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446046464"/>
        <c:crosses val="autoZero"/>
        <c:crossBetween val="between"/>
      </c:valAx>
      <c:spPr>
        <a:noFill/>
        <a:ln w="25400">
          <a:noFill/>
        </a:ln>
      </c:spPr>
    </c:plotArea>
    <c:legend>
      <c:legendPos val="b"/>
      <c:layout>
        <c:manualLayout>
          <c:xMode val="edge"/>
          <c:yMode val="edge"/>
          <c:x val="0.31637339723409458"/>
          <c:y val="0.92913130280621614"/>
          <c:w val="0.68239901926652402"/>
          <c:h val="7.0868697193783844E-2"/>
        </c:manualLayout>
      </c:layout>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ltLang="en-US">
                <a:latin typeface="游ゴシック" panose="020B0400000000000000" pitchFamily="50" charset="-128"/>
                <a:ea typeface="游ゴシック" panose="020B0400000000000000" pitchFamily="50" charset="-128"/>
              </a:rPr>
              <a:t>地域別営業利益推移</a:t>
            </a:r>
            <a:endParaRPr lang="en-US" altLang="ja-JP">
              <a:latin typeface="游ゴシック" panose="020B0400000000000000" pitchFamily="50" charset="-128"/>
              <a:ea typeface="游ゴシック" panose="020B0400000000000000" pitchFamily="50" charset="-128"/>
            </a:endParaRPr>
          </a:p>
        </c:rich>
      </c:tx>
      <c:overlay val="0"/>
      <c:spPr>
        <a:noFill/>
        <a:ln w="25400">
          <a:noFill/>
        </a:ln>
      </c:spPr>
    </c:title>
    <c:autoTitleDeleted val="0"/>
    <c:plotArea>
      <c:layout>
        <c:manualLayout>
          <c:layoutTarget val="inner"/>
          <c:xMode val="edge"/>
          <c:yMode val="edge"/>
          <c:x val="0.1626997892622466"/>
          <c:y val="0.14461779910279063"/>
          <c:w val="0.79998632236978029"/>
          <c:h val="0.53888865153664034"/>
        </c:manualLayout>
      </c:layout>
      <c:lineChart>
        <c:grouping val="standard"/>
        <c:varyColors val="0"/>
        <c:ser>
          <c:idx val="0"/>
          <c:order val="0"/>
          <c:tx>
            <c:strRef>
              <c:f>地域別業績!$A$19</c:f>
              <c:strCache>
                <c:ptCount val="1"/>
                <c:pt idx="0">
                  <c:v>日本</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地域別業績!$B$18:$L$18</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地域別業績!$B$19:$L$19</c:f>
              <c:numCache>
                <c:formatCode>#,##0_);[Red]\(#,##0\)</c:formatCode>
                <c:ptCount val="11"/>
                <c:pt idx="0">
                  <c:v>-5117</c:v>
                </c:pt>
                <c:pt idx="1">
                  <c:v>3365</c:v>
                </c:pt>
                <c:pt idx="2">
                  <c:v>7097</c:v>
                </c:pt>
                <c:pt idx="3">
                  <c:v>5912</c:v>
                </c:pt>
                <c:pt idx="4">
                  <c:v>2294</c:v>
                </c:pt>
                <c:pt idx="5">
                  <c:v>3427</c:v>
                </c:pt>
                <c:pt idx="6">
                  <c:v>3602</c:v>
                </c:pt>
                <c:pt idx="7">
                  <c:v>3259</c:v>
                </c:pt>
                <c:pt idx="8">
                  <c:v>4123</c:v>
                </c:pt>
                <c:pt idx="9">
                  <c:v>3341</c:v>
                </c:pt>
                <c:pt idx="10">
                  <c:v>-632</c:v>
                </c:pt>
              </c:numCache>
            </c:numRef>
          </c:val>
          <c:smooth val="0"/>
          <c:extLst>
            <c:ext xmlns:c16="http://schemas.microsoft.com/office/drawing/2014/chart" uri="{C3380CC4-5D6E-409C-BE32-E72D297353CC}">
              <c16:uniqueId val="{00000000-4EEE-4EED-B88A-265ADB0AC408}"/>
            </c:ext>
          </c:extLst>
        </c:ser>
        <c:ser>
          <c:idx val="1"/>
          <c:order val="1"/>
          <c:tx>
            <c:strRef>
              <c:f>地域別業績!$A$20</c:f>
              <c:strCache>
                <c:ptCount val="1"/>
                <c:pt idx="0">
                  <c:v>北米 計</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地域別業績!$B$18:$L$18</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地域別業績!$B$20:$L$20</c:f>
              <c:numCache>
                <c:formatCode>#,##0_);[Red]\(#,##0\)</c:formatCode>
                <c:ptCount val="11"/>
                <c:pt idx="0">
                  <c:v>-2359</c:v>
                </c:pt>
                <c:pt idx="1">
                  <c:v>-1117</c:v>
                </c:pt>
                <c:pt idx="2">
                  <c:v>416</c:v>
                </c:pt>
                <c:pt idx="3">
                  <c:v>-5357</c:v>
                </c:pt>
                <c:pt idx="4">
                  <c:v>80</c:v>
                </c:pt>
                <c:pt idx="5">
                  <c:v>749</c:v>
                </c:pt>
                <c:pt idx="6">
                  <c:v>-3165</c:v>
                </c:pt>
                <c:pt idx="7">
                  <c:v>-11202</c:v>
                </c:pt>
                <c:pt idx="8">
                  <c:v>-3237</c:v>
                </c:pt>
                <c:pt idx="9">
                  <c:v>1521</c:v>
                </c:pt>
                <c:pt idx="10">
                  <c:v>-4039</c:v>
                </c:pt>
              </c:numCache>
            </c:numRef>
          </c:val>
          <c:smooth val="0"/>
          <c:extLst>
            <c:ext xmlns:c16="http://schemas.microsoft.com/office/drawing/2014/chart" uri="{C3380CC4-5D6E-409C-BE32-E72D297353CC}">
              <c16:uniqueId val="{00000001-4EEE-4EED-B88A-265ADB0AC408}"/>
            </c:ext>
          </c:extLst>
        </c:ser>
        <c:ser>
          <c:idx val="4"/>
          <c:order val="2"/>
          <c:tx>
            <c:strRef>
              <c:f>地域別業績!$A$23</c:f>
              <c:strCache>
                <c:ptCount val="1"/>
                <c:pt idx="0">
                  <c:v>欧州</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地域別業績!$B$18:$L$18</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地域別業績!$B$23:$L$23</c:f>
              <c:numCache>
                <c:formatCode>#,##0_);[Red]\(#,##0\)</c:formatCode>
                <c:ptCount val="11"/>
                <c:pt idx="0">
                  <c:v>121</c:v>
                </c:pt>
                <c:pt idx="1">
                  <c:v>41</c:v>
                </c:pt>
                <c:pt idx="2">
                  <c:v>-28</c:v>
                </c:pt>
                <c:pt idx="3">
                  <c:v>-395</c:v>
                </c:pt>
                <c:pt idx="4">
                  <c:v>-789</c:v>
                </c:pt>
                <c:pt idx="5">
                  <c:v>-567</c:v>
                </c:pt>
                <c:pt idx="6">
                  <c:v>-544</c:v>
                </c:pt>
                <c:pt idx="7">
                  <c:v>-887</c:v>
                </c:pt>
                <c:pt idx="8">
                  <c:v>-1268</c:v>
                </c:pt>
                <c:pt idx="9">
                  <c:v>-2046</c:v>
                </c:pt>
                <c:pt idx="10">
                  <c:v>-723</c:v>
                </c:pt>
              </c:numCache>
            </c:numRef>
          </c:val>
          <c:smooth val="0"/>
          <c:extLst>
            <c:ext xmlns:c16="http://schemas.microsoft.com/office/drawing/2014/chart" uri="{C3380CC4-5D6E-409C-BE32-E72D297353CC}">
              <c16:uniqueId val="{00000002-4EEE-4EED-B88A-265ADB0AC408}"/>
            </c:ext>
          </c:extLst>
        </c:ser>
        <c:ser>
          <c:idx val="5"/>
          <c:order val="3"/>
          <c:tx>
            <c:strRef>
              <c:f>地域別業績!$A$24</c:f>
              <c:strCache>
                <c:ptCount val="1"/>
                <c:pt idx="0">
                  <c:v>アジア 計</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地域別業績!$B$18:$L$18</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地域別業績!$B$24:$L$24</c:f>
              <c:numCache>
                <c:formatCode>#,##0_);[Red]\(#,##0\)</c:formatCode>
                <c:ptCount val="11"/>
                <c:pt idx="0">
                  <c:v>854</c:v>
                </c:pt>
                <c:pt idx="1">
                  <c:v>2208</c:v>
                </c:pt>
                <c:pt idx="2">
                  <c:v>3743</c:v>
                </c:pt>
                <c:pt idx="3">
                  <c:v>3470</c:v>
                </c:pt>
                <c:pt idx="4">
                  <c:v>2418</c:v>
                </c:pt>
                <c:pt idx="5">
                  <c:v>4197</c:v>
                </c:pt>
                <c:pt idx="6">
                  <c:v>3764</c:v>
                </c:pt>
                <c:pt idx="7">
                  <c:v>4688</c:v>
                </c:pt>
                <c:pt idx="8">
                  <c:v>4384</c:v>
                </c:pt>
                <c:pt idx="9">
                  <c:v>5089</c:v>
                </c:pt>
                <c:pt idx="10">
                  <c:v>5268</c:v>
                </c:pt>
              </c:numCache>
            </c:numRef>
          </c:val>
          <c:smooth val="0"/>
          <c:extLst>
            <c:ext xmlns:c16="http://schemas.microsoft.com/office/drawing/2014/chart" uri="{C3380CC4-5D6E-409C-BE32-E72D297353CC}">
              <c16:uniqueId val="{00000003-4EEE-4EED-B88A-265ADB0AC408}"/>
            </c:ext>
          </c:extLst>
        </c:ser>
        <c:dLbls>
          <c:showLegendKey val="0"/>
          <c:showVal val="0"/>
          <c:showCatName val="0"/>
          <c:showSerName val="0"/>
          <c:showPercent val="0"/>
          <c:showBubbleSize val="0"/>
        </c:dLbls>
        <c:marker val="1"/>
        <c:smooth val="0"/>
        <c:axId val="446043512"/>
        <c:axId val="1"/>
      </c:lineChart>
      <c:catAx>
        <c:axId val="446043512"/>
        <c:scaling>
          <c:orientation val="minMax"/>
        </c:scaling>
        <c:delete val="0"/>
        <c:axPos val="b"/>
        <c:numFmt formatCode="yyyy&quot;年&quot;m&quot;月&quot;" sourceLinked="0"/>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_);[Red]\(#,##0\)"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460435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ja-JP"/>
          </a:p>
        </c:txPr>
      </c:dTable>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ltLang="en-US"/>
              <a:t>地域別営業利益推移</a:t>
            </a:r>
            <a:endParaRPr lang="ja-JP"/>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autoTitleDeleted val="0"/>
    <c:plotArea>
      <c:layout>
        <c:manualLayout>
          <c:layoutTarget val="inner"/>
          <c:xMode val="edge"/>
          <c:yMode val="edge"/>
          <c:x val="0.14888074512374114"/>
          <c:y val="0.20106481481481481"/>
          <c:w val="0.76671128301224944"/>
          <c:h val="0.59716353164187808"/>
        </c:manualLayout>
      </c:layout>
      <c:lineChart>
        <c:grouping val="standard"/>
        <c:varyColors val="0"/>
        <c:ser>
          <c:idx val="0"/>
          <c:order val="0"/>
          <c:tx>
            <c:strRef>
              <c:f>地域別業績!$A$34</c:f>
              <c:strCache>
                <c:ptCount val="1"/>
                <c:pt idx="0">
                  <c:v>日本</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地域別業績!$B$33:$L$33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地域別業績!$B$34:$L$34</c:f>
              <c:numCache>
                <c:formatCode>#,##0.0;[Red]\-#,##0.0</c:formatCode>
                <c:ptCount val="11"/>
                <c:pt idx="0">
                  <c:v>-5.4</c:v>
                </c:pt>
                <c:pt idx="1">
                  <c:v>4</c:v>
                </c:pt>
                <c:pt idx="2">
                  <c:v>7.6</c:v>
                </c:pt>
                <c:pt idx="3">
                  <c:v>6.1</c:v>
                </c:pt>
                <c:pt idx="4">
                  <c:v>2.6</c:v>
                </c:pt>
                <c:pt idx="5">
                  <c:v>3.8</c:v>
                </c:pt>
                <c:pt idx="6">
                  <c:v>4.2</c:v>
                </c:pt>
                <c:pt idx="7">
                  <c:v>3.9</c:v>
                </c:pt>
                <c:pt idx="8">
                  <c:v>5.0999999999999996</c:v>
                </c:pt>
                <c:pt idx="9">
                  <c:v>4.0999999999999996</c:v>
                </c:pt>
                <c:pt idx="10">
                  <c:v>-0.8</c:v>
                </c:pt>
              </c:numCache>
            </c:numRef>
          </c:val>
          <c:smooth val="0"/>
          <c:extLst>
            <c:ext xmlns:c16="http://schemas.microsoft.com/office/drawing/2014/chart" uri="{C3380CC4-5D6E-409C-BE32-E72D297353CC}">
              <c16:uniqueId val="{00000000-F512-4996-8720-BE49F01EC2F5}"/>
            </c:ext>
          </c:extLst>
        </c:ser>
        <c:ser>
          <c:idx val="1"/>
          <c:order val="1"/>
          <c:tx>
            <c:strRef>
              <c:f>地域別業績!$A$35</c:f>
              <c:strCache>
                <c:ptCount val="1"/>
                <c:pt idx="0">
                  <c:v>北米</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地域別業績!$B$33:$L$33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地域別業績!$B$35:$L$35</c:f>
              <c:numCache>
                <c:formatCode>#,##0.0;[Red]\-#,##0.0</c:formatCode>
                <c:ptCount val="11"/>
                <c:pt idx="0">
                  <c:v>-4.3</c:v>
                </c:pt>
                <c:pt idx="1">
                  <c:v>-3.1</c:v>
                </c:pt>
                <c:pt idx="2">
                  <c:v>0.4</c:v>
                </c:pt>
                <c:pt idx="3">
                  <c:v>-5.6</c:v>
                </c:pt>
                <c:pt idx="4">
                  <c:v>0.1</c:v>
                </c:pt>
                <c:pt idx="5">
                  <c:v>0.6</c:v>
                </c:pt>
                <c:pt idx="6">
                  <c:v>-2.2999999999999998</c:v>
                </c:pt>
                <c:pt idx="7">
                  <c:v>-6.7</c:v>
                </c:pt>
                <c:pt idx="8">
                  <c:v>-2.1</c:v>
                </c:pt>
                <c:pt idx="9">
                  <c:v>1.1000000000000001</c:v>
                </c:pt>
                <c:pt idx="10">
                  <c:v>-3.4</c:v>
                </c:pt>
              </c:numCache>
            </c:numRef>
          </c:val>
          <c:smooth val="0"/>
          <c:extLst>
            <c:ext xmlns:c16="http://schemas.microsoft.com/office/drawing/2014/chart" uri="{C3380CC4-5D6E-409C-BE32-E72D297353CC}">
              <c16:uniqueId val="{00000001-F512-4996-8720-BE49F01EC2F5}"/>
            </c:ext>
          </c:extLst>
        </c:ser>
        <c:ser>
          <c:idx val="2"/>
          <c:order val="2"/>
          <c:tx>
            <c:strRef>
              <c:f>地域別業績!$A$36</c:f>
              <c:strCache>
                <c:ptCount val="1"/>
                <c:pt idx="0">
                  <c:v>欧州</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地域別業績!$B$33:$L$33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地域別業績!$B$36:$L$36</c:f>
              <c:numCache>
                <c:formatCode>#,##0.0;[Red]\-#,##0.0</c:formatCode>
                <c:ptCount val="11"/>
                <c:pt idx="0">
                  <c:v>2.1</c:v>
                </c:pt>
                <c:pt idx="1">
                  <c:v>1</c:v>
                </c:pt>
                <c:pt idx="2">
                  <c:v>-0.6</c:v>
                </c:pt>
                <c:pt idx="3">
                  <c:v>-8</c:v>
                </c:pt>
                <c:pt idx="4">
                  <c:v>-16.2</c:v>
                </c:pt>
                <c:pt idx="5">
                  <c:v>-7.66</c:v>
                </c:pt>
                <c:pt idx="6">
                  <c:v>-6.1</c:v>
                </c:pt>
                <c:pt idx="7">
                  <c:v>-8.1999999999999993</c:v>
                </c:pt>
                <c:pt idx="8">
                  <c:v>-11</c:v>
                </c:pt>
                <c:pt idx="9">
                  <c:v>-14.5</c:v>
                </c:pt>
                <c:pt idx="10">
                  <c:v>-4.5999999999999996</c:v>
                </c:pt>
              </c:numCache>
            </c:numRef>
          </c:val>
          <c:smooth val="0"/>
          <c:extLst>
            <c:ext xmlns:c16="http://schemas.microsoft.com/office/drawing/2014/chart" uri="{C3380CC4-5D6E-409C-BE32-E72D297353CC}">
              <c16:uniqueId val="{00000002-F512-4996-8720-BE49F01EC2F5}"/>
            </c:ext>
          </c:extLst>
        </c:ser>
        <c:ser>
          <c:idx val="3"/>
          <c:order val="3"/>
          <c:tx>
            <c:strRef>
              <c:f>地域別業績!$A$37</c:f>
              <c:strCache>
                <c:ptCount val="1"/>
                <c:pt idx="0">
                  <c:v>アジア</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地域別業績!$B$33:$L$33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地域別業績!$B$37:$L$37</c:f>
              <c:numCache>
                <c:formatCode>#,##0.0;[Red]\-#,##0.0</c:formatCode>
                <c:ptCount val="11"/>
                <c:pt idx="0">
                  <c:v>5.7</c:v>
                </c:pt>
                <c:pt idx="1">
                  <c:v>13.9</c:v>
                </c:pt>
                <c:pt idx="2">
                  <c:v>16.600000000000001</c:v>
                </c:pt>
                <c:pt idx="3">
                  <c:v>15.7</c:v>
                </c:pt>
                <c:pt idx="4">
                  <c:v>10</c:v>
                </c:pt>
                <c:pt idx="5">
                  <c:v>12.86</c:v>
                </c:pt>
                <c:pt idx="6">
                  <c:v>10.41</c:v>
                </c:pt>
                <c:pt idx="7">
                  <c:v>11.2</c:v>
                </c:pt>
                <c:pt idx="8">
                  <c:v>10.199999999999999</c:v>
                </c:pt>
                <c:pt idx="9">
                  <c:v>10.4</c:v>
                </c:pt>
                <c:pt idx="10">
                  <c:v>10.5</c:v>
                </c:pt>
              </c:numCache>
            </c:numRef>
          </c:val>
          <c:smooth val="0"/>
          <c:extLst>
            <c:ext xmlns:c16="http://schemas.microsoft.com/office/drawing/2014/chart" uri="{C3380CC4-5D6E-409C-BE32-E72D297353CC}">
              <c16:uniqueId val="{00000003-F512-4996-8720-BE49F01EC2F5}"/>
            </c:ext>
          </c:extLst>
        </c:ser>
        <c:dLbls>
          <c:showLegendKey val="0"/>
          <c:showVal val="0"/>
          <c:showCatName val="0"/>
          <c:showSerName val="0"/>
          <c:showPercent val="0"/>
          <c:showBubbleSize val="0"/>
        </c:dLbls>
        <c:marker val="1"/>
        <c:smooth val="0"/>
        <c:axId val="688811648"/>
        <c:axId val="688816896"/>
      </c:lineChart>
      <c:catAx>
        <c:axId val="688811648"/>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688816896"/>
        <c:crosses val="autoZero"/>
        <c:auto val="1"/>
        <c:lblAlgn val="ctr"/>
        <c:lblOffset val="100"/>
        <c:noMultiLvlLbl val="0"/>
      </c:catAx>
      <c:valAx>
        <c:axId val="688816896"/>
        <c:scaling>
          <c:orientation val="minMax"/>
        </c:scaling>
        <c:delete val="0"/>
        <c:axPos val="l"/>
        <c:majorGridlines>
          <c:spPr>
            <a:ln w="9525" cap="flat" cmpd="sng" algn="ctr">
              <a:solidFill>
                <a:schemeClr val="tx1">
                  <a:lumMod val="15000"/>
                  <a:lumOff val="85000"/>
                </a:schemeClr>
              </a:solidFill>
              <a:round/>
            </a:ln>
            <a:effectLst/>
          </c:spPr>
        </c:majorGridlines>
        <c:numFmt formatCode="#,##0.0;[Red]\-#,##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688811648"/>
        <c:crosses val="autoZero"/>
        <c:crossBetween val="between"/>
      </c:valAx>
      <c:spPr>
        <a:noFill/>
        <a:ln>
          <a:noFill/>
        </a:ln>
        <a:effectLst/>
      </c:spPr>
    </c:plotArea>
    <c:legend>
      <c:legendPos val="r"/>
      <c:layout>
        <c:manualLayout>
          <c:xMode val="edge"/>
          <c:yMode val="edge"/>
          <c:x val="0.54396248534583824"/>
          <c:y val="0.89479950422863808"/>
          <c:w val="0.45486518171160611"/>
          <c:h val="0.1012802566345873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EFBD4E-E8DE-4C37-B520-1DF7438B3662}"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kumimoji="1" lang="ja-JP" altLang="en-US"/>
        </a:p>
      </dgm:t>
    </dgm:pt>
    <dgm:pt modelId="{29AA43E9-3F62-4677-A70D-59C52A595199}">
      <dgm:prSet phldrT="[テキスト]" custT="1"/>
      <dgm:spPr>
        <a:xfrm rot="10800000">
          <a:off x="0" y="957"/>
          <a:ext cx="8128000" cy="2059061"/>
        </a:xfrm>
        <a:prstGeom prst="upArrowCallou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kumimoji="1" lang="ja-JP" altLang="en-US" sz="1400" dirty="0">
              <a:solidFill>
                <a:sysClr val="window" lastClr="FFFFFF"/>
              </a:solidFill>
              <a:latin typeface="游ゴシック" panose="020F0502020204030204"/>
              <a:ea typeface="游ゴシック" panose="020B0400000000000000" pitchFamily="50" charset="-128"/>
              <a:cs typeface="+mn-cs"/>
            </a:rPr>
            <a:t>北米市場での失敗</a:t>
          </a:r>
        </a:p>
      </dgm:t>
    </dgm:pt>
    <dgm:pt modelId="{076A723A-ED68-4834-B47C-3DF4F0EBA1E2}" type="parTrans" cxnId="{DC123DD8-0BB5-4CF5-8588-E0F5F723D34B}">
      <dgm:prSet/>
      <dgm:spPr/>
      <dgm:t>
        <a:bodyPr/>
        <a:lstStyle/>
        <a:p>
          <a:endParaRPr kumimoji="1" lang="ja-JP" altLang="en-US"/>
        </a:p>
      </dgm:t>
    </dgm:pt>
    <dgm:pt modelId="{B02BF602-2D94-4F8A-A82E-22533AA4BD5E}" type="sibTrans" cxnId="{DC123DD8-0BB5-4CF5-8588-E0F5F723D34B}">
      <dgm:prSet/>
      <dgm:spPr/>
      <dgm:t>
        <a:bodyPr/>
        <a:lstStyle/>
        <a:p>
          <a:endParaRPr kumimoji="1" lang="ja-JP" altLang="en-US"/>
        </a:p>
      </dgm:t>
    </dgm:pt>
    <dgm:pt modelId="{429D15C5-F5E5-40D8-B94A-62DEB210A8C5}">
      <dgm:prSet phldrT="[テキスト]"/>
      <dgm:spPr>
        <a:xfrm>
          <a:off x="0" y="723688"/>
          <a:ext cx="4064000" cy="615659"/>
        </a:xfrm>
        <a:prstGeom prst="rect">
          <a:avLst/>
        </a:prstGeom>
        <a:solidFill>
          <a:srgbClr val="4472C4">
            <a:alpha val="90000"/>
            <a:tint val="40000"/>
            <a:hueOff val="0"/>
            <a:satOff val="0"/>
            <a:lumOff val="0"/>
            <a:alphaOff val="0"/>
          </a:srgbClr>
        </a:solidFill>
        <a:ln w="12700" cap="flat" cmpd="sng" algn="ctr">
          <a:solidFill>
            <a:srgbClr val="4472C4">
              <a:alpha val="90000"/>
              <a:tint val="40000"/>
              <a:hueOff val="0"/>
              <a:satOff val="0"/>
              <a:lumOff val="0"/>
              <a:alphaOff val="0"/>
            </a:srgbClr>
          </a:solidFill>
          <a:prstDash val="solid"/>
          <a:miter lim="800000"/>
        </a:ln>
        <a:effectLst/>
      </dgm:spPr>
      <dgm:t>
        <a:bodyPr/>
        <a:lstStyle/>
        <a:p>
          <a:pPr>
            <a:buNone/>
          </a:pPr>
          <a:r>
            <a:rPr kumimoji="1" lang="ja-JP" altLang="en-US" dirty="0">
              <a:solidFill>
                <a:sysClr val="windowText" lastClr="000000">
                  <a:hueOff val="0"/>
                  <a:satOff val="0"/>
                  <a:lumOff val="0"/>
                  <a:alphaOff val="0"/>
                </a:sysClr>
              </a:solidFill>
              <a:latin typeface="游ゴシック" panose="020F0502020204030204"/>
              <a:ea typeface="游ゴシック" panose="020B0400000000000000" pitchFamily="50" charset="-128"/>
              <a:cs typeface="+mn-cs"/>
            </a:rPr>
            <a:t>米国メーカーの乗用車生産からの撤退</a:t>
          </a:r>
          <a:endParaRPr kumimoji="1" lang="en-US" altLang="ja-JP" dirty="0">
            <a:solidFill>
              <a:sysClr val="windowText" lastClr="000000">
                <a:hueOff val="0"/>
                <a:satOff val="0"/>
                <a:lumOff val="0"/>
                <a:alphaOff val="0"/>
              </a:sysClr>
            </a:solidFill>
            <a:latin typeface="游ゴシック" panose="020F0502020204030204"/>
            <a:ea typeface="游ゴシック" panose="020B0400000000000000" pitchFamily="50" charset="-128"/>
            <a:cs typeface="+mn-cs"/>
          </a:endParaRPr>
        </a:p>
      </dgm:t>
    </dgm:pt>
    <dgm:pt modelId="{BF3F1363-C677-40A6-B621-6DCAA09B99EB}" type="parTrans" cxnId="{B4E5EA9A-9547-479C-A64D-1ABF367A0E4B}">
      <dgm:prSet/>
      <dgm:spPr/>
      <dgm:t>
        <a:bodyPr/>
        <a:lstStyle/>
        <a:p>
          <a:endParaRPr kumimoji="1" lang="ja-JP" altLang="en-US"/>
        </a:p>
      </dgm:t>
    </dgm:pt>
    <dgm:pt modelId="{30B73A00-F062-4A88-BE08-63ECAEC53DFF}" type="sibTrans" cxnId="{B4E5EA9A-9547-479C-A64D-1ABF367A0E4B}">
      <dgm:prSet/>
      <dgm:spPr/>
      <dgm:t>
        <a:bodyPr/>
        <a:lstStyle/>
        <a:p>
          <a:endParaRPr kumimoji="1" lang="ja-JP" altLang="en-US"/>
        </a:p>
      </dgm:t>
    </dgm:pt>
    <dgm:pt modelId="{D83E462E-5578-4403-A8B9-B3BF9212D566}">
      <dgm:prSet phldrT="[テキスト]"/>
      <dgm:spPr>
        <a:xfrm>
          <a:off x="4064000" y="723688"/>
          <a:ext cx="4064000" cy="615659"/>
        </a:xfrm>
        <a:prstGeom prst="rect">
          <a:avLst/>
        </a:prstGeom>
        <a:solidFill>
          <a:srgbClr val="4472C4">
            <a:alpha val="90000"/>
            <a:tint val="40000"/>
            <a:hueOff val="0"/>
            <a:satOff val="0"/>
            <a:lumOff val="0"/>
            <a:alphaOff val="0"/>
          </a:srgbClr>
        </a:solidFill>
        <a:ln w="12700" cap="flat" cmpd="sng" algn="ctr">
          <a:solidFill>
            <a:srgbClr val="4472C4">
              <a:alpha val="90000"/>
              <a:tint val="40000"/>
              <a:hueOff val="0"/>
              <a:satOff val="0"/>
              <a:lumOff val="0"/>
              <a:alphaOff val="0"/>
            </a:srgbClr>
          </a:solidFill>
          <a:prstDash val="solid"/>
          <a:miter lim="800000"/>
        </a:ln>
        <a:effectLst/>
      </dgm:spPr>
      <dgm:t>
        <a:bodyPr/>
        <a:lstStyle/>
        <a:p>
          <a:pPr>
            <a:buNone/>
          </a:pPr>
          <a:r>
            <a:rPr kumimoji="1" lang="ja-JP" altLang="en-US" dirty="0">
              <a:solidFill>
                <a:sysClr val="windowText" lastClr="000000">
                  <a:hueOff val="0"/>
                  <a:satOff val="0"/>
                  <a:lumOff val="0"/>
                  <a:alphaOff val="0"/>
                </a:sysClr>
              </a:solidFill>
              <a:latin typeface="游ゴシック" panose="020F0502020204030204"/>
              <a:ea typeface="游ゴシック" panose="020B0400000000000000" pitchFamily="50" charset="-128"/>
              <a:cs typeface="+mn-cs"/>
            </a:rPr>
            <a:t>生産混乱</a:t>
          </a:r>
        </a:p>
      </dgm:t>
    </dgm:pt>
    <dgm:pt modelId="{DFB72DCD-9214-44D1-B3B4-1B381076D8BC}" type="parTrans" cxnId="{A12D0C99-CBBF-4FFB-8739-EDFB6BD3D069}">
      <dgm:prSet/>
      <dgm:spPr/>
      <dgm:t>
        <a:bodyPr/>
        <a:lstStyle/>
        <a:p>
          <a:endParaRPr kumimoji="1" lang="ja-JP" altLang="en-US"/>
        </a:p>
      </dgm:t>
    </dgm:pt>
    <dgm:pt modelId="{2989923A-C39E-46E0-9AE7-E5475F9E2BBA}" type="sibTrans" cxnId="{A12D0C99-CBBF-4FFB-8739-EDFB6BD3D069}">
      <dgm:prSet/>
      <dgm:spPr/>
      <dgm:t>
        <a:bodyPr/>
        <a:lstStyle/>
        <a:p>
          <a:endParaRPr kumimoji="1" lang="ja-JP" altLang="en-US"/>
        </a:p>
      </dgm:t>
    </dgm:pt>
    <dgm:pt modelId="{937A5875-51E3-4A50-B3DD-C396EF442BC4}">
      <dgm:prSet phldrT="[テキスト]"/>
      <dgm:spPr>
        <a:xfrm rot="10800000">
          <a:off x="0" y="2039937"/>
          <a:ext cx="8128000" cy="2059061"/>
        </a:xfrm>
        <a:prstGeom prst="upArrowCallou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kumimoji="1" lang="ja-JP" altLang="en-US" dirty="0">
              <a:solidFill>
                <a:sysClr val="window" lastClr="FFFFFF"/>
              </a:solidFill>
              <a:latin typeface="游ゴシック" panose="020F0502020204030204"/>
              <a:ea typeface="游ゴシック" panose="020B0400000000000000" pitchFamily="50" charset="-128"/>
              <a:cs typeface="+mn-cs"/>
            </a:rPr>
            <a:t>経営環境・財務体質の悪化</a:t>
          </a:r>
        </a:p>
      </dgm:t>
    </dgm:pt>
    <dgm:pt modelId="{D831D7D1-9AC3-456B-A5EC-B94C6DB2EFBF}" type="parTrans" cxnId="{01DB3780-C8C2-46C8-86BA-258E0BCA2A65}">
      <dgm:prSet/>
      <dgm:spPr/>
      <dgm:t>
        <a:bodyPr/>
        <a:lstStyle/>
        <a:p>
          <a:endParaRPr kumimoji="1" lang="ja-JP" altLang="en-US"/>
        </a:p>
      </dgm:t>
    </dgm:pt>
    <dgm:pt modelId="{FD947671-4C20-4000-83CC-A2335BE15A5B}" type="sibTrans" cxnId="{01DB3780-C8C2-46C8-86BA-258E0BCA2A65}">
      <dgm:prSet/>
      <dgm:spPr/>
      <dgm:t>
        <a:bodyPr/>
        <a:lstStyle/>
        <a:p>
          <a:endParaRPr kumimoji="1" lang="ja-JP" altLang="en-US"/>
        </a:p>
      </dgm:t>
    </dgm:pt>
    <dgm:pt modelId="{D608E7F2-0889-4DD9-B70F-7F6BCAB25AD2}">
      <dgm:prSet phldrT="[テキスト]"/>
      <dgm:spPr>
        <a:xfrm>
          <a:off x="0" y="4078917"/>
          <a:ext cx="8128000" cy="133879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kumimoji="1" lang="ja-JP" altLang="en-US" dirty="0">
              <a:solidFill>
                <a:sysClr val="window" lastClr="FFFFFF"/>
              </a:solidFill>
              <a:latin typeface="游ゴシック" panose="020F0502020204030204"/>
              <a:ea typeface="游ゴシック" panose="020B0400000000000000" pitchFamily="50" charset="-128"/>
              <a:cs typeface="+mn-cs"/>
            </a:rPr>
            <a:t>事業再生</a:t>
          </a:r>
          <a:r>
            <a:rPr kumimoji="1" lang="en-US" altLang="ja-JP" dirty="0">
              <a:solidFill>
                <a:sysClr val="window" lastClr="FFFFFF"/>
              </a:solidFill>
              <a:latin typeface="游ゴシック" panose="020F0502020204030204"/>
              <a:ea typeface="游ゴシック" panose="020B0400000000000000" pitchFamily="50" charset="-128"/>
              <a:cs typeface="+mn-cs"/>
            </a:rPr>
            <a:t>ADR</a:t>
          </a:r>
          <a:r>
            <a:rPr kumimoji="1" lang="ja-JP" altLang="en-US" dirty="0">
              <a:solidFill>
                <a:sysClr val="window" lastClr="FFFFFF"/>
              </a:solidFill>
              <a:latin typeface="游ゴシック" panose="020F0502020204030204"/>
              <a:ea typeface="游ゴシック" panose="020B0400000000000000" pitchFamily="50" charset="-128"/>
              <a:cs typeface="+mn-cs"/>
            </a:rPr>
            <a:t>の申請</a:t>
          </a:r>
        </a:p>
      </dgm:t>
    </dgm:pt>
    <dgm:pt modelId="{9D2E5BCA-D3A9-4CBE-A29B-1112822CE3B5}" type="parTrans" cxnId="{7CB112A1-BB31-4872-8434-F9CE746AC229}">
      <dgm:prSet/>
      <dgm:spPr/>
      <dgm:t>
        <a:bodyPr/>
        <a:lstStyle/>
        <a:p>
          <a:endParaRPr kumimoji="1" lang="ja-JP" altLang="en-US"/>
        </a:p>
      </dgm:t>
    </dgm:pt>
    <dgm:pt modelId="{541A8187-2AD4-4C61-A682-B53A539493E0}" type="sibTrans" cxnId="{7CB112A1-BB31-4872-8434-F9CE746AC229}">
      <dgm:prSet/>
      <dgm:spPr/>
      <dgm:t>
        <a:bodyPr/>
        <a:lstStyle/>
        <a:p>
          <a:endParaRPr kumimoji="1" lang="ja-JP" altLang="en-US"/>
        </a:p>
      </dgm:t>
    </dgm:pt>
    <dgm:pt modelId="{042DC793-9D34-40CF-9514-82AA2C808284}" type="pres">
      <dgm:prSet presAssocID="{A4EFBD4E-E8DE-4C37-B520-1DF7438B3662}" presName="Name0" presStyleCnt="0">
        <dgm:presLayoutVars>
          <dgm:dir/>
          <dgm:animLvl val="lvl"/>
          <dgm:resizeHandles val="exact"/>
        </dgm:presLayoutVars>
      </dgm:prSet>
      <dgm:spPr/>
    </dgm:pt>
    <dgm:pt modelId="{F54B6AD3-F752-4AE2-82A0-4AE3249D799E}" type="pres">
      <dgm:prSet presAssocID="{D608E7F2-0889-4DD9-B70F-7F6BCAB25AD2}" presName="boxAndChildren" presStyleCnt="0"/>
      <dgm:spPr/>
    </dgm:pt>
    <dgm:pt modelId="{9C01791E-5E5B-4EBD-A612-781EAD484EBA}" type="pres">
      <dgm:prSet presAssocID="{D608E7F2-0889-4DD9-B70F-7F6BCAB25AD2}" presName="parentTextBox" presStyleLbl="node1" presStyleIdx="0" presStyleCnt="3"/>
      <dgm:spPr/>
    </dgm:pt>
    <dgm:pt modelId="{7796C793-89AD-4EA8-AABE-380DC116B398}" type="pres">
      <dgm:prSet presAssocID="{FD947671-4C20-4000-83CC-A2335BE15A5B}" presName="sp" presStyleCnt="0"/>
      <dgm:spPr/>
    </dgm:pt>
    <dgm:pt modelId="{B8F01FB2-5F34-404C-B9B8-22371F89A094}" type="pres">
      <dgm:prSet presAssocID="{937A5875-51E3-4A50-B3DD-C396EF442BC4}" presName="arrowAndChildren" presStyleCnt="0"/>
      <dgm:spPr/>
    </dgm:pt>
    <dgm:pt modelId="{56159C94-D58F-447B-B19B-21156F0479B4}" type="pres">
      <dgm:prSet presAssocID="{937A5875-51E3-4A50-B3DD-C396EF442BC4}" presName="parentTextArrow" presStyleLbl="node1" presStyleIdx="1" presStyleCnt="3"/>
      <dgm:spPr/>
    </dgm:pt>
    <dgm:pt modelId="{DDD01EE3-BC3E-49EA-9190-6927685ECA25}" type="pres">
      <dgm:prSet presAssocID="{B02BF602-2D94-4F8A-A82E-22533AA4BD5E}" presName="sp" presStyleCnt="0"/>
      <dgm:spPr/>
    </dgm:pt>
    <dgm:pt modelId="{40C2B2F4-0736-42F3-BDC7-BABEC23A44B6}" type="pres">
      <dgm:prSet presAssocID="{29AA43E9-3F62-4677-A70D-59C52A595199}" presName="arrowAndChildren" presStyleCnt="0"/>
      <dgm:spPr/>
    </dgm:pt>
    <dgm:pt modelId="{3ADCEB12-1E04-4F33-815C-2C80F3C4BD89}" type="pres">
      <dgm:prSet presAssocID="{29AA43E9-3F62-4677-A70D-59C52A595199}" presName="parentTextArrow" presStyleLbl="node1" presStyleIdx="1" presStyleCnt="3"/>
      <dgm:spPr/>
    </dgm:pt>
    <dgm:pt modelId="{8088FA20-98EA-45BF-B3F0-5F1FD8A4AB65}" type="pres">
      <dgm:prSet presAssocID="{29AA43E9-3F62-4677-A70D-59C52A595199}" presName="arrow" presStyleLbl="node1" presStyleIdx="2" presStyleCnt="3" custLinFactNeighborX="1190" custLinFactNeighborY="-47"/>
      <dgm:spPr/>
    </dgm:pt>
    <dgm:pt modelId="{9EDEA9AC-A97E-4C1D-AD68-80A27F6D439F}" type="pres">
      <dgm:prSet presAssocID="{29AA43E9-3F62-4677-A70D-59C52A595199}" presName="descendantArrow" presStyleCnt="0"/>
      <dgm:spPr/>
    </dgm:pt>
    <dgm:pt modelId="{4F358BF1-AD60-4B29-A84F-F6250F3372BE}" type="pres">
      <dgm:prSet presAssocID="{429D15C5-F5E5-40D8-B94A-62DEB210A8C5}" presName="childTextArrow" presStyleLbl="fgAccFollowNode1" presStyleIdx="0" presStyleCnt="2">
        <dgm:presLayoutVars>
          <dgm:bulletEnabled val="1"/>
        </dgm:presLayoutVars>
      </dgm:prSet>
      <dgm:spPr/>
    </dgm:pt>
    <dgm:pt modelId="{61432D87-A444-412A-959E-71EDA47433B3}" type="pres">
      <dgm:prSet presAssocID="{D83E462E-5578-4403-A8B9-B3BF9212D566}" presName="childTextArrow" presStyleLbl="fgAccFollowNode1" presStyleIdx="1" presStyleCnt="2">
        <dgm:presLayoutVars>
          <dgm:bulletEnabled val="1"/>
        </dgm:presLayoutVars>
      </dgm:prSet>
      <dgm:spPr/>
    </dgm:pt>
  </dgm:ptLst>
  <dgm:cxnLst>
    <dgm:cxn modelId="{C93BAC18-7C91-484A-A34C-7D39B4BAA5F2}" type="presOf" srcId="{29AA43E9-3F62-4677-A70D-59C52A595199}" destId="{8088FA20-98EA-45BF-B3F0-5F1FD8A4AB65}" srcOrd="1" destOrd="0" presId="urn:microsoft.com/office/officeart/2005/8/layout/process4"/>
    <dgm:cxn modelId="{09A0095F-FC7A-4A37-81E9-290A19425FF9}" type="presOf" srcId="{D608E7F2-0889-4DD9-B70F-7F6BCAB25AD2}" destId="{9C01791E-5E5B-4EBD-A612-781EAD484EBA}" srcOrd="0" destOrd="0" presId="urn:microsoft.com/office/officeart/2005/8/layout/process4"/>
    <dgm:cxn modelId="{9B89154E-62DF-4315-A1C5-B6336AB7D44B}" type="presOf" srcId="{A4EFBD4E-E8DE-4C37-B520-1DF7438B3662}" destId="{042DC793-9D34-40CF-9514-82AA2C808284}" srcOrd="0" destOrd="0" presId="urn:microsoft.com/office/officeart/2005/8/layout/process4"/>
    <dgm:cxn modelId="{01DB3780-C8C2-46C8-86BA-258E0BCA2A65}" srcId="{A4EFBD4E-E8DE-4C37-B520-1DF7438B3662}" destId="{937A5875-51E3-4A50-B3DD-C396EF442BC4}" srcOrd="1" destOrd="0" parTransId="{D831D7D1-9AC3-456B-A5EC-B94C6DB2EFBF}" sibTransId="{FD947671-4C20-4000-83CC-A2335BE15A5B}"/>
    <dgm:cxn modelId="{A12D0C99-CBBF-4FFB-8739-EDFB6BD3D069}" srcId="{29AA43E9-3F62-4677-A70D-59C52A595199}" destId="{D83E462E-5578-4403-A8B9-B3BF9212D566}" srcOrd="1" destOrd="0" parTransId="{DFB72DCD-9214-44D1-B3B4-1B381076D8BC}" sibTransId="{2989923A-C39E-46E0-9AE7-E5475F9E2BBA}"/>
    <dgm:cxn modelId="{B4E5EA9A-9547-479C-A64D-1ABF367A0E4B}" srcId="{29AA43E9-3F62-4677-A70D-59C52A595199}" destId="{429D15C5-F5E5-40D8-B94A-62DEB210A8C5}" srcOrd="0" destOrd="0" parTransId="{BF3F1363-C677-40A6-B621-6DCAA09B99EB}" sibTransId="{30B73A00-F062-4A88-BE08-63ECAEC53DFF}"/>
    <dgm:cxn modelId="{7CB112A1-BB31-4872-8434-F9CE746AC229}" srcId="{A4EFBD4E-E8DE-4C37-B520-1DF7438B3662}" destId="{D608E7F2-0889-4DD9-B70F-7F6BCAB25AD2}" srcOrd="2" destOrd="0" parTransId="{9D2E5BCA-D3A9-4CBE-A29B-1112822CE3B5}" sibTransId="{541A8187-2AD4-4C61-A682-B53A539493E0}"/>
    <dgm:cxn modelId="{C65D26A5-7938-41EE-A499-0C45D8931BED}" type="presOf" srcId="{29AA43E9-3F62-4677-A70D-59C52A595199}" destId="{3ADCEB12-1E04-4F33-815C-2C80F3C4BD89}" srcOrd="0" destOrd="0" presId="urn:microsoft.com/office/officeart/2005/8/layout/process4"/>
    <dgm:cxn modelId="{EB40D4BC-3ACC-42B7-97EB-DDE00E6587DF}" type="presOf" srcId="{429D15C5-F5E5-40D8-B94A-62DEB210A8C5}" destId="{4F358BF1-AD60-4B29-A84F-F6250F3372BE}" srcOrd="0" destOrd="0" presId="urn:microsoft.com/office/officeart/2005/8/layout/process4"/>
    <dgm:cxn modelId="{3B9645D0-7B52-47CA-A7E5-D16C49C4DD48}" type="presOf" srcId="{D83E462E-5578-4403-A8B9-B3BF9212D566}" destId="{61432D87-A444-412A-959E-71EDA47433B3}" srcOrd="0" destOrd="0" presId="urn:microsoft.com/office/officeart/2005/8/layout/process4"/>
    <dgm:cxn modelId="{DC123DD8-0BB5-4CF5-8588-E0F5F723D34B}" srcId="{A4EFBD4E-E8DE-4C37-B520-1DF7438B3662}" destId="{29AA43E9-3F62-4677-A70D-59C52A595199}" srcOrd="0" destOrd="0" parTransId="{076A723A-ED68-4834-B47C-3DF4F0EBA1E2}" sibTransId="{B02BF602-2D94-4F8A-A82E-22533AA4BD5E}"/>
    <dgm:cxn modelId="{D89568EB-9763-4854-9F25-B9A59C9E8D02}" type="presOf" srcId="{937A5875-51E3-4A50-B3DD-C396EF442BC4}" destId="{56159C94-D58F-447B-B19B-21156F0479B4}" srcOrd="0" destOrd="0" presId="urn:microsoft.com/office/officeart/2005/8/layout/process4"/>
    <dgm:cxn modelId="{8660689B-3B2E-4817-8A16-92DE303B4667}" type="presParOf" srcId="{042DC793-9D34-40CF-9514-82AA2C808284}" destId="{F54B6AD3-F752-4AE2-82A0-4AE3249D799E}" srcOrd="0" destOrd="0" presId="urn:microsoft.com/office/officeart/2005/8/layout/process4"/>
    <dgm:cxn modelId="{CD70FA07-478C-48D8-8742-9452C35553EA}" type="presParOf" srcId="{F54B6AD3-F752-4AE2-82A0-4AE3249D799E}" destId="{9C01791E-5E5B-4EBD-A612-781EAD484EBA}" srcOrd="0" destOrd="0" presId="urn:microsoft.com/office/officeart/2005/8/layout/process4"/>
    <dgm:cxn modelId="{097CA8B3-A85A-4E2E-B91D-87027C10D81C}" type="presParOf" srcId="{042DC793-9D34-40CF-9514-82AA2C808284}" destId="{7796C793-89AD-4EA8-AABE-380DC116B398}" srcOrd="1" destOrd="0" presId="urn:microsoft.com/office/officeart/2005/8/layout/process4"/>
    <dgm:cxn modelId="{550EAA29-D79A-470D-A0AA-3B895FA1E981}" type="presParOf" srcId="{042DC793-9D34-40CF-9514-82AA2C808284}" destId="{B8F01FB2-5F34-404C-B9B8-22371F89A094}" srcOrd="2" destOrd="0" presId="urn:microsoft.com/office/officeart/2005/8/layout/process4"/>
    <dgm:cxn modelId="{A1D63686-EA4D-4B2C-A44E-4DB842437D3C}" type="presParOf" srcId="{B8F01FB2-5F34-404C-B9B8-22371F89A094}" destId="{56159C94-D58F-447B-B19B-21156F0479B4}" srcOrd="0" destOrd="0" presId="urn:microsoft.com/office/officeart/2005/8/layout/process4"/>
    <dgm:cxn modelId="{2CFBE69B-DCBF-44B0-B738-2AAA9841A2A3}" type="presParOf" srcId="{042DC793-9D34-40CF-9514-82AA2C808284}" destId="{DDD01EE3-BC3E-49EA-9190-6927685ECA25}" srcOrd="3" destOrd="0" presId="urn:microsoft.com/office/officeart/2005/8/layout/process4"/>
    <dgm:cxn modelId="{B389B761-C763-42A9-88D7-E694F6A7F265}" type="presParOf" srcId="{042DC793-9D34-40CF-9514-82AA2C808284}" destId="{40C2B2F4-0736-42F3-BDC7-BABEC23A44B6}" srcOrd="4" destOrd="0" presId="urn:microsoft.com/office/officeart/2005/8/layout/process4"/>
    <dgm:cxn modelId="{603CF66B-8B54-445C-8776-DDBF381C1BAE}" type="presParOf" srcId="{40C2B2F4-0736-42F3-BDC7-BABEC23A44B6}" destId="{3ADCEB12-1E04-4F33-815C-2C80F3C4BD89}" srcOrd="0" destOrd="0" presId="urn:microsoft.com/office/officeart/2005/8/layout/process4"/>
    <dgm:cxn modelId="{BDB5C803-077A-4750-B388-ADE55F2097E3}" type="presParOf" srcId="{40C2B2F4-0736-42F3-BDC7-BABEC23A44B6}" destId="{8088FA20-98EA-45BF-B3F0-5F1FD8A4AB65}" srcOrd="1" destOrd="0" presId="urn:microsoft.com/office/officeart/2005/8/layout/process4"/>
    <dgm:cxn modelId="{A2A732AD-9521-46DD-824A-C9EC1D5098AC}" type="presParOf" srcId="{40C2B2F4-0736-42F3-BDC7-BABEC23A44B6}" destId="{9EDEA9AC-A97E-4C1D-AD68-80A27F6D439F}" srcOrd="2" destOrd="0" presId="urn:microsoft.com/office/officeart/2005/8/layout/process4"/>
    <dgm:cxn modelId="{827D9228-200E-4741-AC5E-AC02579A1C21}" type="presParOf" srcId="{9EDEA9AC-A97E-4C1D-AD68-80A27F6D439F}" destId="{4F358BF1-AD60-4B29-A84F-F6250F3372BE}" srcOrd="0" destOrd="0" presId="urn:microsoft.com/office/officeart/2005/8/layout/process4"/>
    <dgm:cxn modelId="{5D2EE159-3D8B-43C9-B883-61496C1357A5}" type="presParOf" srcId="{9EDEA9AC-A97E-4C1D-AD68-80A27F6D439F}" destId="{61432D87-A444-412A-959E-71EDA47433B3}" srcOrd="1" destOrd="0" presId="urn:microsoft.com/office/officeart/2005/8/layout/process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01791E-5E5B-4EBD-A612-781EAD484EBA}">
      <dsp:nvSpPr>
        <dsp:cNvPr id="0" name=""/>
        <dsp:cNvSpPr/>
      </dsp:nvSpPr>
      <dsp:spPr>
        <a:xfrm>
          <a:off x="0" y="1252355"/>
          <a:ext cx="5334000" cy="41105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kumimoji="1" lang="ja-JP" altLang="en-US" sz="1200" kern="1200" dirty="0">
              <a:solidFill>
                <a:sysClr val="window" lastClr="FFFFFF"/>
              </a:solidFill>
              <a:latin typeface="游ゴシック" panose="020F0502020204030204"/>
              <a:ea typeface="游ゴシック" panose="020B0400000000000000" pitchFamily="50" charset="-128"/>
              <a:cs typeface="+mn-cs"/>
            </a:rPr>
            <a:t>事業再生</a:t>
          </a:r>
          <a:r>
            <a:rPr kumimoji="1" lang="en-US" altLang="ja-JP" sz="1200" kern="1200" dirty="0">
              <a:solidFill>
                <a:sysClr val="window" lastClr="FFFFFF"/>
              </a:solidFill>
              <a:latin typeface="游ゴシック" panose="020F0502020204030204"/>
              <a:ea typeface="游ゴシック" panose="020B0400000000000000" pitchFamily="50" charset="-128"/>
              <a:cs typeface="+mn-cs"/>
            </a:rPr>
            <a:t>ADR</a:t>
          </a:r>
          <a:r>
            <a:rPr kumimoji="1" lang="ja-JP" altLang="en-US" sz="1200" kern="1200" dirty="0">
              <a:solidFill>
                <a:sysClr val="window" lastClr="FFFFFF"/>
              </a:solidFill>
              <a:latin typeface="游ゴシック" panose="020F0502020204030204"/>
              <a:ea typeface="游ゴシック" panose="020B0400000000000000" pitchFamily="50" charset="-128"/>
              <a:cs typeface="+mn-cs"/>
            </a:rPr>
            <a:t>の申請</a:t>
          </a:r>
        </a:p>
      </dsp:txBody>
      <dsp:txXfrm>
        <a:off x="0" y="1252355"/>
        <a:ext cx="5334000" cy="411050"/>
      </dsp:txXfrm>
    </dsp:sp>
    <dsp:sp modelId="{56159C94-D58F-447B-B19B-21156F0479B4}">
      <dsp:nvSpPr>
        <dsp:cNvPr id="0" name=""/>
        <dsp:cNvSpPr/>
      </dsp:nvSpPr>
      <dsp:spPr>
        <a:xfrm rot="10800000">
          <a:off x="0" y="626324"/>
          <a:ext cx="5334000" cy="632196"/>
        </a:xfrm>
        <a:prstGeom prst="upArrowCallou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kumimoji="1" lang="ja-JP" altLang="en-US" sz="1200" kern="1200" dirty="0">
              <a:solidFill>
                <a:sysClr val="window" lastClr="FFFFFF"/>
              </a:solidFill>
              <a:latin typeface="游ゴシック" panose="020F0502020204030204"/>
              <a:ea typeface="游ゴシック" panose="020B0400000000000000" pitchFamily="50" charset="-128"/>
              <a:cs typeface="+mn-cs"/>
            </a:rPr>
            <a:t>経営環境・財務体質の悪化</a:t>
          </a:r>
        </a:p>
      </dsp:txBody>
      <dsp:txXfrm rot="10800000">
        <a:off x="0" y="626324"/>
        <a:ext cx="5334000" cy="410782"/>
      </dsp:txXfrm>
    </dsp:sp>
    <dsp:sp modelId="{8088FA20-98EA-45BF-B3F0-5F1FD8A4AB65}">
      <dsp:nvSpPr>
        <dsp:cNvPr id="0" name=""/>
        <dsp:cNvSpPr/>
      </dsp:nvSpPr>
      <dsp:spPr>
        <a:xfrm rot="10800000">
          <a:off x="0" y="0"/>
          <a:ext cx="5334000" cy="632196"/>
        </a:xfrm>
        <a:prstGeom prst="upArrowCallou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kumimoji="1" lang="ja-JP" altLang="en-US" sz="1400" kern="1200" dirty="0">
              <a:solidFill>
                <a:sysClr val="window" lastClr="FFFFFF"/>
              </a:solidFill>
              <a:latin typeface="游ゴシック" panose="020F0502020204030204"/>
              <a:ea typeface="游ゴシック" panose="020B0400000000000000" pitchFamily="50" charset="-128"/>
              <a:cs typeface="+mn-cs"/>
            </a:rPr>
            <a:t>北米市場での失敗</a:t>
          </a:r>
        </a:p>
      </dsp:txBody>
      <dsp:txXfrm rot="-10800000">
        <a:off x="0" y="77716"/>
        <a:ext cx="5334000" cy="144184"/>
      </dsp:txXfrm>
    </dsp:sp>
    <dsp:sp modelId="{4F358BF1-AD60-4B29-A84F-F6250F3372BE}">
      <dsp:nvSpPr>
        <dsp:cNvPr id="0" name=""/>
        <dsp:cNvSpPr/>
      </dsp:nvSpPr>
      <dsp:spPr>
        <a:xfrm>
          <a:off x="0" y="222194"/>
          <a:ext cx="2667000" cy="189026"/>
        </a:xfrm>
        <a:prstGeom prst="rect">
          <a:avLst/>
        </a:prstGeom>
        <a:solidFill>
          <a:srgbClr val="4472C4">
            <a:alpha val="90000"/>
            <a:tint val="40000"/>
            <a:hueOff val="0"/>
            <a:satOff val="0"/>
            <a:lumOff val="0"/>
            <a:alphaOff val="0"/>
          </a:srgbClr>
        </a:solidFill>
        <a:ln w="12700" cap="flat" cmpd="sng" algn="ctr">
          <a:solidFill>
            <a:srgbClr val="4472C4">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marL="0" lvl="0" indent="0" algn="ctr" defTabSz="355600">
            <a:lnSpc>
              <a:spcPct val="90000"/>
            </a:lnSpc>
            <a:spcBef>
              <a:spcPct val="0"/>
            </a:spcBef>
            <a:spcAft>
              <a:spcPct val="35000"/>
            </a:spcAft>
            <a:buNone/>
          </a:pPr>
          <a:r>
            <a:rPr kumimoji="1" lang="ja-JP" altLang="en-US" sz="800" kern="1200" dirty="0">
              <a:solidFill>
                <a:sysClr val="windowText" lastClr="000000">
                  <a:hueOff val="0"/>
                  <a:satOff val="0"/>
                  <a:lumOff val="0"/>
                  <a:alphaOff val="0"/>
                </a:sysClr>
              </a:solidFill>
              <a:latin typeface="游ゴシック" panose="020F0502020204030204"/>
              <a:ea typeface="游ゴシック" panose="020B0400000000000000" pitchFamily="50" charset="-128"/>
              <a:cs typeface="+mn-cs"/>
            </a:rPr>
            <a:t>米国メーカーの乗用車生産からの撤退</a:t>
          </a:r>
          <a:endParaRPr kumimoji="1" lang="en-US" altLang="ja-JP" sz="800" kern="1200" dirty="0">
            <a:solidFill>
              <a:sysClr val="windowText" lastClr="000000">
                <a:hueOff val="0"/>
                <a:satOff val="0"/>
                <a:lumOff val="0"/>
                <a:alphaOff val="0"/>
              </a:sysClr>
            </a:solidFill>
            <a:latin typeface="游ゴシック" panose="020F0502020204030204"/>
            <a:ea typeface="游ゴシック" panose="020B0400000000000000" pitchFamily="50" charset="-128"/>
            <a:cs typeface="+mn-cs"/>
          </a:endParaRPr>
        </a:p>
      </dsp:txBody>
      <dsp:txXfrm>
        <a:off x="0" y="222194"/>
        <a:ext cx="2667000" cy="189026"/>
      </dsp:txXfrm>
    </dsp:sp>
    <dsp:sp modelId="{61432D87-A444-412A-959E-71EDA47433B3}">
      <dsp:nvSpPr>
        <dsp:cNvPr id="0" name=""/>
        <dsp:cNvSpPr/>
      </dsp:nvSpPr>
      <dsp:spPr>
        <a:xfrm>
          <a:off x="2667000" y="222194"/>
          <a:ext cx="2667000" cy="189026"/>
        </a:xfrm>
        <a:prstGeom prst="rect">
          <a:avLst/>
        </a:prstGeom>
        <a:solidFill>
          <a:srgbClr val="4472C4">
            <a:alpha val="90000"/>
            <a:tint val="40000"/>
            <a:hueOff val="0"/>
            <a:satOff val="0"/>
            <a:lumOff val="0"/>
            <a:alphaOff val="0"/>
          </a:srgbClr>
        </a:solidFill>
        <a:ln w="12700" cap="flat" cmpd="sng" algn="ctr">
          <a:solidFill>
            <a:srgbClr val="4472C4">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marL="0" lvl="0" indent="0" algn="ctr" defTabSz="355600">
            <a:lnSpc>
              <a:spcPct val="90000"/>
            </a:lnSpc>
            <a:spcBef>
              <a:spcPct val="0"/>
            </a:spcBef>
            <a:spcAft>
              <a:spcPct val="35000"/>
            </a:spcAft>
            <a:buNone/>
          </a:pPr>
          <a:r>
            <a:rPr kumimoji="1" lang="ja-JP" altLang="en-US" sz="800" kern="1200" dirty="0">
              <a:solidFill>
                <a:sysClr val="windowText" lastClr="000000">
                  <a:hueOff val="0"/>
                  <a:satOff val="0"/>
                  <a:lumOff val="0"/>
                  <a:alphaOff val="0"/>
                </a:sysClr>
              </a:solidFill>
              <a:latin typeface="游ゴシック" panose="020F0502020204030204"/>
              <a:ea typeface="游ゴシック" panose="020B0400000000000000" pitchFamily="50" charset="-128"/>
              <a:cs typeface="+mn-cs"/>
            </a:rPr>
            <a:t>生産混乱</a:t>
          </a:r>
        </a:p>
      </dsp:txBody>
      <dsp:txXfrm>
        <a:off x="2667000" y="222194"/>
        <a:ext cx="2667000" cy="18902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9FE54-4DCB-4FD2-979A-5608B9A1F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6</Pages>
  <Words>323</Words>
  <Characters>1843</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MAGA_Phantom</dc:creator>
  <cp:keywords/>
  <dc:description/>
  <cp:lastModifiedBy>MAGA_Phantom</cp:lastModifiedBy>
  <cp:revision>1</cp:revision>
  <dcterms:created xsi:type="dcterms:W3CDTF">2019-09-18T07:18:00Z</dcterms:created>
  <dcterms:modified xsi:type="dcterms:W3CDTF">2019-09-18T17:13:00Z</dcterms:modified>
</cp:coreProperties>
</file>