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6D85" w:rsidRDefault="007A6D85" w:rsidP="007A6D85">
      <w:pPr>
        <w:rPr>
          <w:rFonts w:hAnsi="游ゴシック"/>
        </w:rPr>
      </w:pPr>
      <w:r>
        <w:rPr>
          <w:rFonts w:hAnsi="游ゴシック" w:hint="eastAsia"/>
        </w:rPr>
        <w:t>第一節</w:t>
      </w:r>
    </w:p>
    <w:p w:rsidR="007A6D85" w:rsidRDefault="007A6D85" w:rsidP="007A6D85">
      <w:pPr>
        <w:rPr>
          <w:rFonts w:hAnsi="游ゴシック"/>
        </w:rPr>
      </w:pPr>
      <w:r>
        <w:rPr>
          <w:rFonts w:hAnsi="游ゴシック" w:hint="eastAsia"/>
        </w:rPr>
        <w:t>第一章</w:t>
      </w:r>
    </w:p>
    <w:p w:rsidR="007A6D85" w:rsidRDefault="007A6D85" w:rsidP="007A6D85">
      <w:pPr>
        <w:rPr>
          <w:rFonts w:hAnsi="游ゴシック"/>
        </w:rPr>
      </w:pPr>
      <w:r>
        <w:rPr>
          <w:rFonts w:hAnsi="游ゴシック" w:hint="eastAsia"/>
        </w:rPr>
        <w:t>1-</w:t>
      </w:r>
      <w:r>
        <w:rPr>
          <w:rFonts w:hAnsi="游ゴシック"/>
        </w:rPr>
        <w:t>1.</w:t>
      </w:r>
      <w:r>
        <w:rPr>
          <w:rFonts w:hAnsi="游ゴシック" w:hint="eastAsia"/>
        </w:rPr>
        <w:t>研究の背景・目的</w:t>
      </w:r>
    </w:p>
    <w:p w:rsidR="007A6D85" w:rsidRDefault="007A6D85" w:rsidP="007A6D85">
      <w:pPr>
        <w:rPr>
          <w:rFonts w:hAnsi="游ゴシック"/>
        </w:rPr>
      </w:pPr>
      <w:r>
        <w:rPr>
          <w:rFonts w:hAnsi="游ゴシック" w:hint="eastAsia"/>
        </w:rPr>
        <w:t>近年自動車関連産業の再編が進んでいる。2</w:t>
      </w:r>
      <w:r>
        <w:rPr>
          <w:rFonts w:hAnsi="游ゴシック"/>
        </w:rPr>
        <w:t>016</w:t>
      </w:r>
      <w:r>
        <w:rPr>
          <w:rFonts w:hAnsi="游ゴシック" w:hint="eastAsia"/>
        </w:rPr>
        <w:t>年にはトヨタがダイハツを完全子会社化した他、2</w:t>
      </w:r>
      <w:r>
        <w:rPr>
          <w:rFonts w:hAnsi="游ゴシック"/>
        </w:rPr>
        <w:t>0</w:t>
      </w:r>
      <w:r>
        <w:rPr>
          <w:rFonts w:hAnsi="游ゴシック" w:hint="eastAsia"/>
        </w:rPr>
        <w:t>1</w:t>
      </w:r>
      <w:r>
        <w:rPr>
          <w:rFonts w:hAnsi="游ゴシック"/>
        </w:rPr>
        <w:t>7</w:t>
      </w:r>
      <w:r>
        <w:rPr>
          <w:rFonts w:hAnsi="游ゴシック" w:hint="eastAsia"/>
        </w:rPr>
        <w:t>年、自動車用安全部品を製造していたタカタが負債総額1兆円を超えて製造業としては戦後最大の経営破綻をした後に米国のジョンソン・セイフティ・システムズ社に事業買収されたことは記憶に新しい。AIによる自動運転や電気自動車など新しい技術だけでなく為替や貿易政策にも翻弄される自動車業界であるが、2</w:t>
      </w:r>
      <w:r>
        <w:rPr>
          <w:rFonts w:hAnsi="游ゴシック"/>
        </w:rPr>
        <w:t>019</w:t>
      </w:r>
      <w:r>
        <w:rPr>
          <w:rFonts w:hAnsi="游ゴシック" w:hint="eastAsia"/>
        </w:rPr>
        <w:t>年1月曙ブレーキ工業というブレーキメーカーが経営破たんに陥り、事業再生ADR制度申請を行った</w:t>
      </w:r>
      <w:r w:rsidR="00B569DF">
        <w:rPr>
          <w:rFonts w:hAnsi="游ゴシック" w:hint="eastAsia"/>
        </w:rPr>
        <w:t>。</w:t>
      </w:r>
    </w:p>
    <w:p w:rsidR="007A6D85" w:rsidRDefault="007A6D85" w:rsidP="007A6D85">
      <w:pPr>
        <w:rPr>
          <w:rFonts w:hAnsi="游ゴシック"/>
        </w:rPr>
      </w:pPr>
      <w:r>
        <w:rPr>
          <w:rFonts w:hAnsi="游ゴシック" w:hint="eastAsia"/>
        </w:rPr>
        <w:t>本論文は前半部でブレーキの世界的メーカーである曙ブレーキ工業がなぜ事業再生ADRを選択するに至ったのか、その要因を財務分析による定量的分析と当時の経営判断などを分析する定性的分析の双方から検証し今後他の企業が同じ轍を踏まないよう喚起していく。更に後半部では2</w:t>
      </w:r>
      <w:r>
        <w:rPr>
          <w:rFonts w:hAnsi="游ゴシック"/>
        </w:rPr>
        <w:t>007</w:t>
      </w:r>
      <w:r>
        <w:rPr>
          <w:rFonts w:hAnsi="游ゴシック" w:hint="eastAsia"/>
        </w:rPr>
        <w:t>年の産業活力再生法の改正により制度化された比較的新しい制度である事業再生ADRの有用性を以前から存在する他の制度と比較しながら検証していく他、更なる制度の改善案を提示して</w:t>
      </w:r>
      <w:r w:rsidR="00B569DF">
        <w:rPr>
          <w:rFonts w:hAnsi="游ゴシック" w:hint="eastAsia"/>
        </w:rPr>
        <w:t>い</w:t>
      </w:r>
      <w:r>
        <w:rPr>
          <w:rFonts w:hAnsi="游ゴシック" w:hint="eastAsia"/>
        </w:rPr>
        <w:t>く。</w:t>
      </w:r>
    </w:p>
    <w:p w:rsidR="007A6D85" w:rsidRDefault="007A6D85" w:rsidP="007A6D85">
      <w:pPr>
        <w:jc w:val="left"/>
        <w:rPr>
          <w:rFonts w:hAnsi="游ゴシック"/>
        </w:rPr>
      </w:pPr>
    </w:p>
    <w:p w:rsidR="00B569DF" w:rsidRDefault="00B569DF" w:rsidP="007A6D85">
      <w:pPr>
        <w:jc w:val="left"/>
        <w:rPr>
          <w:rFonts w:hAnsi="游ゴシック"/>
        </w:rPr>
      </w:pPr>
    </w:p>
    <w:p w:rsidR="00B569DF" w:rsidRDefault="00B569DF" w:rsidP="007A6D85">
      <w:pPr>
        <w:jc w:val="left"/>
        <w:rPr>
          <w:rFonts w:hAnsi="游ゴシック"/>
        </w:rPr>
      </w:pPr>
    </w:p>
    <w:p w:rsidR="00B569DF" w:rsidRDefault="00B569DF" w:rsidP="007A6D85">
      <w:pPr>
        <w:jc w:val="left"/>
        <w:rPr>
          <w:rFonts w:hAnsi="游ゴシック"/>
        </w:rPr>
      </w:pPr>
    </w:p>
    <w:p w:rsidR="003D5D15" w:rsidRDefault="003D5D15" w:rsidP="007A6D85">
      <w:pPr>
        <w:jc w:val="left"/>
        <w:rPr>
          <w:rFonts w:hAnsi="游ゴシック" w:hint="eastAsia"/>
        </w:rPr>
      </w:pPr>
    </w:p>
    <w:p w:rsidR="00B569DF" w:rsidRDefault="00B569DF" w:rsidP="007A6D85">
      <w:pPr>
        <w:jc w:val="left"/>
        <w:rPr>
          <w:rFonts w:hAnsi="游ゴシック" w:hint="eastAsia"/>
        </w:rPr>
      </w:pPr>
    </w:p>
    <w:tbl>
      <w:tblPr>
        <w:tblStyle w:val="a7"/>
        <w:tblW w:w="0" w:type="auto"/>
        <w:tblLook w:val="04A0" w:firstRow="1" w:lastRow="0" w:firstColumn="1" w:lastColumn="0" w:noHBand="0" w:noVBand="1"/>
      </w:tblPr>
      <w:tblGrid>
        <w:gridCol w:w="8494"/>
      </w:tblGrid>
      <w:tr w:rsidR="00B569DF" w:rsidTr="00B569DF">
        <w:tc>
          <w:tcPr>
            <w:tcW w:w="8494" w:type="dxa"/>
            <w:tcBorders>
              <w:top w:val="nil"/>
              <w:left w:val="nil"/>
              <w:bottom w:val="single" w:sz="4" w:space="0" w:color="auto"/>
              <w:right w:val="nil"/>
            </w:tcBorders>
          </w:tcPr>
          <w:p w:rsidR="00B569DF" w:rsidRDefault="00B569DF" w:rsidP="007A6D85">
            <w:pPr>
              <w:jc w:val="left"/>
              <w:rPr>
                <w:rFonts w:hAnsi="游ゴシック"/>
              </w:rPr>
            </w:pPr>
          </w:p>
        </w:tc>
      </w:tr>
    </w:tbl>
    <w:p w:rsidR="003D5D15" w:rsidRDefault="003D5D15" w:rsidP="007A6D85">
      <w:pPr>
        <w:jc w:val="left"/>
        <w:rPr>
          <w:rFonts w:hAnsi="游ゴシック" w:hint="eastAsia"/>
        </w:rPr>
      </w:pPr>
      <w:r>
        <w:rPr>
          <w:rFonts w:hAnsi="游ゴシック" w:hint="eastAsia"/>
        </w:rPr>
        <w:t>注釈</w:t>
      </w:r>
    </w:p>
    <w:p w:rsidR="007A6D85" w:rsidRPr="007A6D85" w:rsidRDefault="007A6D85" w:rsidP="007A6D85">
      <w:pPr>
        <w:jc w:val="left"/>
        <w:rPr>
          <w:rFonts w:hAnsi="游ゴシック"/>
        </w:rPr>
      </w:pPr>
      <w:r>
        <w:rPr>
          <w:rFonts w:hAnsi="游ゴシック" w:hint="eastAsia"/>
        </w:rPr>
        <w:t>事業再生ADRとはADR(</w:t>
      </w:r>
      <w:r>
        <w:t>Alternative Dispute Resolution</w:t>
      </w:r>
      <w:r>
        <w:rPr>
          <w:rFonts w:hint="eastAsia"/>
        </w:rPr>
        <w:t>・裁判外紛争解決手続き)の一種であり、</w:t>
      </w:r>
      <w:r w:rsidRPr="00EB0C40">
        <w:rPr>
          <w:rFonts w:hint="eastAsia"/>
        </w:rPr>
        <w:t>会社の経営が行き詰まった企業の事業再生を目指すにあたり、会社更生法や民事再生法（和議）、破産法などによる裁判所の法的な手続きによる紛争解決の手続きを使わずに、当事者間の話し合いで解決する手続きの事である。</w:t>
      </w:r>
    </w:p>
    <w:p w:rsidR="007A6D85" w:rsidRDefault="007A6D85" w:rsidP="007A6D85">
      <w:pPr>
        <w:jc w:val="left"/>
        <w:rPr>
          <w:rFonts w:hAnsi="游ゴシック"/>
        </w:rPr>
      </w:pPr>
      <w:r>
        <w:rPr>
          <w:rFonts w:hAnsi="游ゴシック" w:hint="eastAsia"/>
        </w:rPr>
        <w:t>事業再生ADRは</w:t>
      </w:r>
      <w:r w:rsidRPr="00EA3412">
        <w:rPr>
          <w:rFonts w:hAnsi="游ゴシック" w:hint="eastAsia"/>
        </w:rPr>
        <w:t>民間紛争解決手続を業として行うことを法務大臣により認証され、</w:t>
      </w:r>
      <w:r>
        <w:rPr>
          <w:rFonts w:hAnsi="游ゴシック" w:hint="eastAsia"/>
        </w:rPr>
        <w:t>かつ産活法</w:t>
      </w:r>
      <w:r w:rsidRPr="00EA3412">
        <w:rPr>
          <w:rFonts w:hAnsi="游ゴシック" w:hint="eastAsia"/>
        </w:rPr>
        <w:t>に基づく事業再生ADRに関する特別な用件を満たし、経済産業大臣の認定を受けたADR事業者</w:t>
      </w:r>
      <w:r w:rsidR="00B569DF">
        <w:rPr>
          <w:rFonts w:hAnsi="游ゴシック" w:hint="eastAsia"/>
        </w:rPr>
        <w:t>を介して</w:t>
      </w:r>
      <w:r>
        <w:rPr>
          <w:rFonts w:hAnsi="游ゴシック" w:hint="eastAsia"/>
        </w:rPr>
        <w:t>のみ行うことができる。</w:t>
      </w:r>
    </w:p>
    <w:p w:rsidR="007A6D85" w:rsidRDefault="007A6D85" w:rsidP="007A6D85">
      <w:pPr>
        <w:jc w:val="left"/>
        <w:rPr>
          <w:rFonts w:hAnsi="游ゴシック"/>
        </w:rPr>
      </w:pPr>
      <w:r>
        <w:rPr>
          <w:rFonts w:hAnsi="游ゴシック"/>
          <w:noProof/>
        </w:rPr>
        <w:drawing>
          <wp:inline distT="0" distB="0" distL="0" distR="0" wp14:anchorId="6C1F8C39" wp14:editId="115361F8">
            <wp:extent cx="5400040" cy="988827"/>
            <wp:effectExtent l="0" t="0" r="10160" b="0"/>
            <wp:docPr id="15" name="図表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B569DF" w:rsidRDefault="00B569DF">
      <w:pPr>
        <w:rPr>
          <w:rFonts w:hint="eastAsia"/>
        </w:rPr>
      </w:pPr>
      <w:r>
        <w:rPr>
          <w:rFonts w:hint="eastAsia"/>
        </w:rPr>
        <w:t>図</w:t>
      </w:r>
    </w:p>
    <w:p w:rsidR="007A6D85" w:rsidRDefault="007A6D85" w:rsidP="007A6D85">
      <w:pPr>
        <w:rPr>
          <w:rFonts w:hAnsi="游ゴシック"/>
        </w:rPr>
      </w:pPr>
      <w:r>
        <w:rPr>
          <w:rFonts w:hAnsi="游ゴシック" w:hint="eastAsia"/>
        </w:rPr>
        <w:lastRenderedPageBreak/>
        <w:t>第二章</w:t>
      </w:r>
    </w:p>
    <w:p w:rsidR="007A6D85" w:rsidRPr="001E002D" w:rsidRDefault="007A6D85" w:rsidP="007A6D85">
      <w:pPr>
        <w:rPr>
          <w:rFonts w:hAnsi="游ゴシック"/>
        </w:rPr>
      </w:pPr>
      <w:r>
        <w:rPr>
          <w:rFonts w:hAnsi="游ゴシック" w:hint="eastAsia"/>
        </w:rPr>
        <w:t>2</w:t>
      </w:r>
      <w:r>
        <w:rPr>
          <w:rFonts w:hAnsi="游ゴシック"/>
        </w:rPr>
        <w:t>-</w:t>
      </w:r>
      <w:r>
        <w:rPr>
          <w:rFonts w:hAnsi="游ゴシック" w:hint="eastAsia"/>
        </w:rPr>
        <w:t>1</w:t>
      </w:r>
      <w:r>
        <w:rPr>
          <w:rFonts w:hAnsi="游ゴシック"/>
        </w:rPr>
        <w:t>.</w:t>
      </w:r>
      <w:r w:rsidRPr="001E002D">
        <w:rPr>
          <w:rFonts w:hAnsi="游ゴシック"/>
        </w:rPr>
        <w:t xml:space="preserve"> </w:t>
      </w:r>
      <w:r>
        <w:rPr>
          <w:rFonts w:hAnsi="游ゴシック" w:hint="eastAsia"/>
        </w:rPr>
        <w:t>曙ブレーキ工業の企業情報概略</w:t>
      </w:r>
    </w:p>
    <w:p w:rsidR="003D5D15" w:rsidRDefault="007A6D85" w:rsidP="007A6D85">
      <w:pPr>
        <w:rPr>
          <w:rFonts w:hAnsi="游ゴシック"/>
        </w:rPr>
      </w:pPr>
      <w:r>
        <w:rPr>
          <w:rFonts w:hAnsi="游ゴシック" w:hint="eastAsia"/>
        </w:rPr>
        <w:t>曙ブレーキ工業はその名の通り、自動車・自動二輪車用のブレーキを始め、鉄道車両用や産業機械に使われるブレーキを生産するブレーキ専業メーカーである。</w:t>
      </w:r>
      <w:r w:rsidR="003D5D15">
        <w:rPr>
          <w:rFonts w:hAnsi="游ゴシック" w:hint="eastAsia"/>
        </w:rPr>
        <w:t>創業は1</w:t>
      </w:r>
      <w:r w:rsidR="003D5D15">
        <w:rPr>
          <w:rFonts w:hAnsi="游ゴシック"/>
        </w:rPr>
        <w:t>929</w:t>
      </w:r>
      <w:r w:rsidR="003D5D15">
        <w:rPr>
          <w:rFonts w:hAnsi="游ゴシック" w:hint="eastAsia"/>
        </w:rPr>
        <w:t>年で</w:t>
      </w:r>
      <w:r>
        <w:rPr>
          <w:rFonts w:hAnsi="游ゴシック" w:hint="eastAsia"/>
        </w:rPr>
        <w:t>自動車向けディスクパッドにおいて日本におけるシェアが4</w:t>
      </w:r>
      <w:r>
        <w:rPr>
          <w:rFonts w:hAnsi="游ゴシック"/>
        </w:rPr>
        <w:t>0%</w:t>
      </w:r>
      <w:r>
        <w:rPr>
          <w:rFonts w:hAnsi="游ゴシック" w:hint="eastAsia"/>
        </w:rPr>
        <w:t>を獲得</w:t>
      </w:r>
      <w:r w:rsidR="003D5D15">
        <w:rPr>
          <w:rFonts w:hAnsi="游ゴシック" w:hint="eastAsia"/>
        </w:rPr>
        <w:t>している他</w:t>
      </w:r>
      <w:r>
        <w:rPr>
          <w:rFonts w:hAnsi="游ゴシック" w:hint="eastAsia"/>
        </w:rPr>
        <w:t>、自動車レース「Fomula</w:t>
      </w:r>
      <w:r>
        <w:rPr>
          <w:rFonts w:hAnsi="游ゴシック"/>
        </w:rPr>
        <w:t>1」</w:t>
      </w:r>
      <w:r>
        <w:rPr>
          <w:rFonts w:hAnsi="游ゴシック" w:hint="eastAsia"/>
        </w:rPr>
        <w:t>のマクラーレンチームのオフィシャルサプライヤーとして部品を供給している</w:t>
      </w:r>
      <w:r w:rsidR="003D5D15">
        <w:rPr>
          <w:rFonts w:hAnsi="游ゴシック" w:hint="eastAsia"/>
        </w:rPr>
        <w:t>。また、自動車のみならず鉄道車両向けのブレーキも生産しており新幹線の非常用ブレーキは1</w:t>
      </w:r>
      <w:r w:rsidR="003D5D15">
        <w:rPr>
          <w:rFonts w:hAnsi="游ゴシック"/>
        </w:rPr>
        <w:t>946</w:t>
      </w:r>
      <w:r w:rsidR="003D5D15">
        <w:rPr>
          <w:rFonts w:hAnsi="游ゴシック" w:hint="eastAsia"/>
        </w:rPr>
        <w:t>年の開業以来提供し続けており、非常に高いシェアを持っている。2</w:t>
      </w:r>
      <w:r w:rsidR="003D5D15">
        <w:rPr>
          <w:rFonts w:hAnsi="游ゴシック"/>
        </w:rPr>
        <w:t>018</w:t>
      </w:r>
      <w:r w:rsidR="003D5D15">
        <w:rPr>
          <w:rFonts w:hAnsi="游ゴシック" w:hint="eastAsia"/>
        </w:rPr>
        <w:t>年度の連結売上高は2</w:t>
      </w:r>
      <w:r w:rsidR="003D5D15">
        <w:rPr>
          <w:rFonts w:hAnsi="游ゴシック"/>
        </w:rPr>
        <w:t>,437</w:t>
      </w:r>
      <w:r w:rsidR="003D5D15">
        <w:rPr>
          <w:rFonts w:hAnsi="游ゴシック" w:hint="eastAsia"/>
        </w:rPr>
        <w:t>億円、全世界の連結従業員数は8</w:t>
      </w:r>
      <w:r w:rsidR="003D5D15">
        <w:rPr>
          <w:rFonts w:hAnsi="游ゴシック"/>
        </w:rPr>
        <w:t>,</w:t>
      </w:r>
      <w:r w:rsidR="003D5D15">
        <w:rPr>
          <w:rFonts w:hAnsi="游ゴシック" w:hint="eastAsia"/>
        </w:rPr>
        <w:t>6</w:t>
      </w:r>
      <w:r w:rsidR="003D5D15">
        <w:rPr>
          <w:rFonts w:hAnsi="游ゴシック"/>
        </w:rPr>
        <w:t>78</w:t>
      </w:r>
      <w:r w:rsidR="003D5D15">
        <w:rPr>
          <w:rFonts w:hAnsi="游ゴシック" w:hint="eastAsia"/>
        </w:rPr>
        <w:t>名となっている。</w:t>
      </w:r>
    </w:p>
    <w:p w:rsidR="003D5D15" w:rsidRDefault="003D5D15" w:rsidP="007A6D85">
      <w:pPr>
        <w:rPr>
          <w:rFonts w:hAnsi="游ゴシック" w:hint="eastAsia"/>
        </w:rPr>
      </w:pPr>
    </w:p>
    <w:p w:rsidR="007A6D85" w:rsidRDefault="007A6D85" w:rsidP="007A6D85">
      <w:pPr>
        <w:rPr>
          <w:rFonts w:hAnsi="游ゴシック"/>
        </w:rPr>
      </w:pPr>
      <w:r>
        <w:rPr>
          <w:rFonts w:hAnsi="游ゴシック"/>
        </w:rPr>
        <w:t>2-2.</w:t>
      </w:r>
      <w:r>
        <w:rPr>
          <w:rFonts w:hAnsi="游ゴシック" w:hint="eastAsia"/>
        </w:rPr>
        <w:t>曙ブレーキ工業が事業再生ADR申請に踏み切った主因</w:t>
      </w:r>
    </w:p>
    <w:p w:rsidR="007A6D85" w:rsidRDefault="007A6D85" w:rsidP="007A6D85">
      <w:pPr>
        <w:rPr>
          <w:rFonts w:hAnsi="游ゴシック"/>
        </w:rPr>
      </w:pPr>
      <w:r>
        <w:rPr>
          <w:rFonts w:hAnsi="游ゴシック" w:hint="eastAsia"/>
        </w:rPr>
        <w:t>曙ブレーキ工業が事業再生ADRに踏み切った理由として</w:t>
      </w:r>
      <w:r w:rsidR="003D5D15">
        <w:rPr>
          <w:rFonts w:hAnsi="游ゴシック" w:hint="eastAsia"/>
        </w:rPr>
        <w:t>同社の</w:t>
      </w:r>
      <w:r>
        <w:rPr>
          <w:rFonts w:hAnsi="游ゴシック" w:hint="eastAsia"/>
        </w:rPr>
        <w:t>ニュースリリースには「</w:t>
      </w:r>
      <w:r w:rsidRPr="00E30BA2">
        <w:rPr>
          <w:rFonts w:hAnsi="游ゴシック" w:hint="eastAsia"/>
        </w:rPr>
        <w:t>米国メーカーの乗用車生産からの撤退や、生産混乱に起因して次期モデル用ブレーキ製品の受注を逃したこと等の新たな北米事業の課題が生じ、当社グループの経営環境及び財務体質は依然として厳しい状況にあります。このような厳しい経営状況を踏まえ、当社は、産業競争力強化法に基づく特定認証紛争解決手続（以下、「事業再生ADR手続」といいます。）を利用して関係当事者である金融機関の合意のもとで、今後の再成長に向けた強固な収益体質の確立と財務体質の抜本的な改善を目指すことと致しました。</w:t>
      </w:r>
      <w:r>
        <w:rPr>
          <w:rFonts w:hAnsi="游ゴシック" w:hint="eastAsia"/>
        </w:rPr>
        <w:t>」とある。</w:t>
      </w:r>
      <w:r>
        <w:rPr>
          <w:rFonts w:hAnsi="游ゴシック"/>
        </w:rPr>
        <w:t>(</w:t>
      </w:r>
      <w:r>
        <w:rPr>
          <w:rFonts w:hAnsi="游ゴシック" w:hint="eastAsia"/>
        </w:rPr>
        <w:t>曙ブレーキ工業ニュースリリースより引用)</w:t>
      </w:r>
    </w:p>
    <w:p w:rsidR="007A6D85" w:rsidRDefault="007A6D85" w:rsidP="007A6D85">
      <w:pPr>
        <w:rPr>
          <w:rFonts w:hAnsi="游ゴシック"/>
        </w:rPr>
      </w:pPr>
      <w:r>
        <w:rPr>
          <w:rFonts w:hAnsi="游ゴシック" w:hint="eastAsia"/>
        </w:rPr>
        <w:t>整理すると以下のような流れとなる。</w:t>
      </w:r>
    </w:p>
    <w:p w:rsidR="007A6D85" w:rsidRDefault="007A6D85" w:rsidP="007A6D85">
      <w:pPr>
        <w:rPr>
          <w:rFonts w:hAnsi="游ゴシック"/>
        </w:rPr>
      </w:pPr>
      <w:r>
        <w:rPr>
          <w:noProof/>
        </w:rPr>
        <w:drawing>
          <wp:inline distT="0" distB="0" distL="0" distR="0" wp14:anchorId="254EA1F3" wp14:editId="54A7B5CD">
            <wp:extent cx="5334000" cy="2028825"/>
            <wp:effectExtent l="0" t="0" r="19050" b="9525"/>
            <wp:docPr id="1" name="図表 1">
              <a:extLst xmlns:a="http://schemas.openxmlformats.org/drawingml/2006/main">
                <a:ext uri="{FF2B5EF4-FFF2-40B4-BE49-F238E27FC236}">
                  <a16:creationId xmlns:a16="http://schemas.microsoft.com/office/drawing/2014/main" id="{AC3C1B26-4895-4D85-A24A-2E6BCEC474B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7A6D85" w:rsidRDefault="007A6D85"/>
    <w:p w:rsidR="003D5D15" w:rsidRDefault="003D5D15"/>
    <w:p w:rsidR="003D5D15" w:rsidRDefault="003D5D15"/>
    <w:p w:rsidR="003D5D15" w:rsidRDefault="003D5D15"/>
    <w:p w:rsidR="003D5D15" w:rsidRDefault="003D5D15"/>
    <w:p w:rsidR="003D5D15" w:rsidRDefault="003D5D15"/>
    <w:p w:rsidR="003D5D15" w:rsidRDefault="003D5D15"/>
    <w:p w:rsidR="003D5D15" w:rsidRDefault="003D5D15">
      <w:pPr>
        <w:rPr>
          <w:rFonts w:hint="eastAsia"/>
        </w:rPr>
      </w:pPr>
      <w:bookmarkStart w:id="0" w:name="_GoBack"/>
      <w:bookmarkEnd w:id="0"/>
    </w:p>
    <w:sectPr w:rsidR="003D5D15" w:rsidSect="00703F2D">
      <w:pgSz w:w="11906" w:h="16838" w:code="9"/>
      <w:pgMar w:top="1985" w:right="1701" w:bottom="1701" w:left="1701" w:header="851" w:footer="284" w:gutter="0"/>
      <w:paperSrc w:first="7"/>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6388" w:rsidRDefault="00D66388" w:rsidP="00B569DF">
      <w:r>
        <w:separator/>
      </w:r>
    </w:p>
  </w:endnote>
  <w:endnote w:type="continuationSeparator" w:id="0">
    <w:p w:rsidR="00D66388" w:rsidRDefault="00D66388" w:rsidP="00B56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6388" w:rsidRDefault="00D66388" w:rsidP="00B569DF">
      <w:r>
        <w:separator/>
      </w:r>
    </w:p>
  </w:footnote>
  <w:footnote w:type="continuationSeparator" w:id="0">
    <w:p w:rsidR="00D66388" w:rsidRDefault="00D66388" w:rsidP="00B569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D85"/>
    <w:rsid w:val="000F6DDF"/>
    <w:rsid w:val="003D5D15"/>
    <w:rsid w:val="00703F2D"/>
    <w:rsid w:val="007A6D85"/>
    <w:rsid w:val="00920598"/>
    <w:rsid w:val="00AD0AF5"/>
    <w:rsid w:val="00B569DF"/>
    <w:rsid w:val="00D66388"/>
    <w:rsid w:val="00FA4F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BE10ADC"/>
  <w15:chartTrackingRefBased/>
  <w15:docId w15:val="{B254534B-7CEC-422C-980E-A97E9E0D6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EastAsia" w:eastAsiaTheme="maj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6D85"/>
    <w:pPr>
      <w:widowControl w:val="0"/>
      <w:jc w:val="both"/>
    </w:pPr>
    <w:rPr>
      <w:rFonts w:ascii="游ゴシック" w:eastAsia="游ゴシック"/>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69DF"/>
    <w:pPr>
      <w:tabs>
        <w:tab w:val="center" w:pos="4252"/>
        <w:tab w:val="right" w:pos="8504"/>
      </w:tabs>
      <w:snapToGrid w:val="0"/>
    </w:pPr>
  </w:style>
  <w:style w:type="character" w:customStyle="1" w:styleId="a4">
    <w:name w:val="ヘッダー (文字)"/>
    <w:basedOn w:val="a0"/>
    <w:link w:val="a3"/>
    <w:uiPriority w:val="99"/>
    <w:rsid w:val="00B569DF"/>
    <w:rPr>
      <w:rFonts w:ascii="游ゴシック" w:eastAsia="游ゴシック"/>
    </w:rPr>
  </w:style>
  <w:style w:type="paragraph" w:styleId="a5">
    <w:name w:val="footer"/>
    <w:basedOn w:val="a"/>
    <w:link w:val="a6"/>
    <w:uiPriority w:val="99"/>
    <w:unhideWhenUsed/>
    <w:rsid w:val="00B569DF"/>
    <w:pPr>
      <w:tabs>
        <w:tab w:val="center" w:pos="4252"/>
        <w:tab w:val="right" w:pos="8504"/>
      </w:tabs>
      <w:snapToGrid w:val="0"/>
    </w:pPr>
  </w:style>
  <w:style w:type="character" w:customStyle="1" w:styleId="a6">
    <w:name w:val="フッター (文字)"/>
    <w:basedOn w:val="a0"/>
    <w:link w:val="a5"/>
    <w:uiPriority w:val="99"/>
    <w:rsid w:val="00B569DF"/>
    <w:rPr>
      <w:rFonts w:ascii="游ゴシック" w:eastAsia="游ゴシック"/>
    </w:rPr>
  </w:style>
  <w:style w:type="table" w:styleId="a7">
    <w:name w:val="Table Grid"/>
    <w:basedOn w:val="a1"/>
    <w:uiPriority w:val="59"/>
    <w:rsid w:val="00B569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3" Type="http://schemas.openxmlformats.org/officeDocument/2006/relationships/webSettings" Target="webSetting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endnotes" Target="endnotes.xml"/><Relationship Id="rId15" Type="http://schemas.microsoft.com/office/2007/relationships/diagramDrawing" Target="diagrams/drawing2.xml"/><Relationship Id="rId10" Type="http://schemas.microsoft.com/office/2007/relationships/diagramDrawing" Target="diagrams/drawing1.xml"/><Relationship Id="rId4" Type="http://schemas.openxmlformats.org/officeDocument/2006/relationships/footnotes" Target="footnote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1AA7FA1-4023-4D55-807A-D78E81FC2BEB}" type="doc">
      <dgm:prSet loTypeId="urn:microsoft.com/office/officeart/2005/8/layout/process1" loCatId="process" qsTypeId="urn:microsoft.com/office/officeart/2005/8/quickstyle/simple1" qsCatId="simple" csTypeId="urn:microsoft.com/office/officeart/2005/8/colors/accent1_2" csCatId="accent1" phldr="1"/>
      <dgm:spPr/>
    </dgm:pt>
    <dgm:pt modelId="{D9F0F7F7-EA3D-443B-8F55-DD1FD9947761}">
      <dgm:prSet phldrT="[テキスト]"/>
      <dgm:spPr/>
      <dgm:t>
        <a:bodyPr/>
        <a:lstStyle/>
        <a:p>
          <a:r>
            <a:rPr kumimoji="1" lang="ja-JP" altLang="en-US"/>
            <a:t>企業</a:t>
          </a:r>
        </a:p>
      </dgm:t>
    </dgm:pt>
    <dgm:pt modelId="{89E7DE41-C706-47B3-A5DD-FB3AFB2DEBE3}" type="parTrans" cxnId="{4623A3CF-AE28-4223-AA68-22BAA8564B4A}">
      <dgm:prSet/>
      <dgm:spPr/>
      <dgm:t>
        <a:bodyPr/>
        <a:lstStyle/>
        <a:p>
          <a:endParaRPr kumimoji="1" lang="ja-JP" altLang="en-US"/>
        </a:p>
      </dgm:t>
    </dgm:pt>
    <dgm:pt modelId="{404837D0-9D20-4FD0-866A-A86F4EC827CC}" type="sibTrans" cxnId="{4623A3CF-AE28-4223-AA68-22BAA8564B4A}">
      <dgm:prSet/>
      <dgm:spPr/>
      <dgm:t>
        <a:bodyPr/>
        <a:lstStyle/>
        <a:p>
          <a:endParaRPr kumimoji="1" lang="ja-JP" altLang="en-US"/>
        </a:p>
      </dgm:t>
    </dgm:pt>
    <dgm:pt modelId="{285E4CF0-32EF-4DAF-A021-B335901E3FA7}">
      <dgm:prSet phldrT="[テキスト]"/>
      <dgm:spPr/>
      <dgm:t>
        <a:bodyPr/>
        <a:lstStyle/>
        <a:p>
          <a:r>
            <a:rPr kumimoji="1" lang="ja-JP" altLang="en-US"/>
            <a:t>事業再生</a:t>
          </a:r>
          <a:r>
            <a:rPr kumimoji="1" lang="en-US" altLang="ja-JP"/>
            <a:t>ADR</a:t>
          </a:r>
          <a:r>
            <a:rPr kumimoji="1" lang="ja-JP" altLang="en-US"/>
            <a:t>事業者</a:t>
          </a:r>
        </a:p>
      </dgm:t>
    </dgm:pt>
    <dgm:pt modelId="{7E787794-C339-4CDD-A51D-973400A9452A}" type="parTrans" cxnId="{C064A033-AAAC-4314-91EF-8FA307D76D23}">
      <dgm:prSet/>
      <dgm:spPr/>
      <dgm:t>
        <a:bodyPr/>
        <a:lstStyle/>
        <a:p>
          <a:endParaRPr kumimoji="1" lang="ja-JP" altLang="en-US"/>
        </a:p>
      </dgm:t>
    </dgm:pt>
    <dgm:pt modelId="{70E6B365-4FEA-45E8-A709-B26559997FCE}" type="sibTrans" cxnId="{C064A033-AAAC-4314-91EF-8FA307D76D23}">
      <dgm:prSet/>
      <dgm:spPr/>
      <dgm:t>
        <a:bodyPr/>
        <a:lstStyle/>
        <a:p>
          <a:endParaRPr kumimoji="1" lang="ja-JP" altLang="en-US"/>
        </a:p>
      </dgm:t>
    </dgm:pt>
    <dgm:pt modelId="{2F907BF3-633F-4465-9A49-9413A2BB7233}">
      <dgm:prSet phldrT="[テキスト]"/>
      <dgm:spPr/>
      <dgm:t>
        <a:bodyPr/>
        <a:lstStyle/>
        <a:p>
          <a:r>
            <a:rPr kumimoji="1" lang="ja-JP" altLang="en-US"/>
            <a:t>債権者</a:t>
          </a:r>
        </a:p>
      </dgm:t>
    </dgm:pt>
    <dgm:pt modelId="{33C98A2F-8F94-468A-A5C8-264DB707216C}" type="parTrans" cxnId="{9083153A-D4F0-476C-B6D5-1854AECFB8CC}">
      <dgm:prSet/>
      <dgm:spPr/>
      <dgm:t>
        <a:bodyPr/>
        <a:lstStyle/>
        <a:p>
          <a:endParaRPr kumimoji="1" lang="ja-JP" altLang="en-US"/>
        </a:p>
      </dgm:t>
    </dgm:pt>
    <dgm:pt modelId="{A17DC6E6-C02D-4809-A14C-9971151AD11A}" type="sibTrans" cxnId="{9083153A-D4F0-476C-B6D5-1854AECFB8CC}">
      <dgm:prSet/>
      <dgm:spPr/>
      <dgm:t>
        <a:bodyPr/>
        <a:lstStyle/>
        <a:p>
          <a:endParaRPr kumimoji="1" lang="ja-JP" altLang="en-US"/>
        </a:p>
      </dgm:t>
    </dgm:pt>
    <dgm:pt modelId="{A9C9C54B-BDCD-4F32-93C5-4B2F90CA5C7B}" type="pres">
      <dgm:prSet presAssocID="{71AA7FA1-4023-4D55-807A-D78E81FC2BEB}" presName="Name0" presStyleCnt="0">
        <dgm:presLayoutVars>
          <dgm:dir/>
          <dgm:resizeHandles val="exact"/>
        </dgm:presLayoutVars>
      </dgm:prSet>
      <dgm:spPr/>
    </dgm:pt>
    <dgm:pt modelId="{01AF51B9-2C7A-46EF-A168-3EE1ACEE41FE}" type="pres">
      <dgm:prSet presAssocID="{D9F0F7F7-EA3D-443B-8F55-DD1FD9947761}" presName="node" presStyleLbl="node1" presStyleIdx="0" presStyleCnt="3">
        <dgm:presLayoutVars>
          <dgm:bulletEnabled val="1"/>
        </dgm:presLayoutVars>
      </dgm:prSet>
      <dgm:spPr/>
    </dgm:pt>
    <dgm:pt modelId="{5C8F65A5-1EA9-4A14-B5C4-D4DF066CBF38}" type="pres">
      <dgm:prSet presAssocID="{404837D0-9D20-4FD0-866A-A86F4EC827CC}" presName="sibTrans" presStyleLbl="sibTrans2D1" presStyleIdx="0" presStyleCnt="2"/>
      <dgm:spPr/>
    </dgm:pt>
    <dgm:pt modelId="{B624E3E5-A483-4526-B6AD-BCB2F29B03E9}" type="pres">
      <dgm:prSet presAssocID="{404837D0-9D20-4FD0-866A-A86F4EC827CC}" presName="connectorText" presStyleLbl="sibTrans2D1" presStyleIdx="0" presStyleCnt="2"/>
      <dgm:spPr/>
    </dgm:pt>
    <dgm:pt modelId="{3166F7A7-192A-4191-928F-94EF83A4B3D4}" type="pres">
      <dgm:prSet presAssocID="{285E4CF0-32EF-4DAF-A021-B335901E3FA7}" presName="node" presStyleLbl="node1" presStyleIdx="1" presStyleCnt="3">
        <dgm:presLayoutVars>
          <dgm:bulletEnabled val="1"/>
        </dgm:presLayoutVars>
      </dgm:prSet>
      <dgm:spPr/>
    </dgm:pt>
    <dgm:pt modelId="{7CC94B54-EBE5-4938-A337-6E1E4E7F8255}" type="pres">
      <dgm:prSet presAssocID="{70E6B365-4FEA-45E8-A709-B26559997FCE}" presName="sibTrans" presStyleLbl="sibTrans2D1" presStyleIdx="1" presStyleCnt="2"/>
      <dgm:spPr/>
    </dgm:pt>
    <dgm:pt modelId="{F3F57413-D117-4EA3-924E-58A3C6CF41B9}" type="pres">
      <dgm:prSet presAssocID="{70E6B365-4FEA-45E8-A709-B26559997FCE}" presName="connectorText" presStyleLbl="sibTrans2D1" presStyleIdx="1" presStyleCnt="2"/>
      <dgm:spPr/>
    </dgm:pt>
    <dgm:pt modelId="{9264EBC6-A5C3-4F11-BC62-37648345E32A}" type="pres">
      <dgm:prSet presAssocID="{2F907BF3-633F-4465-9A49-9413A2BB7233}" presName="node" presStyleLbl="node1" presStyleIdx="2" presStyleCnt="3">
        <dgm:presLayoutVars>
          <dgm:bulletEnabled val="1"/>
        </dgm:presLayoutVars>
      </dgm:prSet>
      <dgm:spPr/>
    </dgm:pt>
  </dgm:ptLst>
  <dgm:cxnLst>
    <dgm:cxn modelId="{C8AF3314-10DA-452E-AF39-7C8C213798AA}" type="presOf" srcId="{285E4CF0-32EF-4DAF-A021-B335901E3FA7}" destId="{3166F7A7-192A-4191-928F-94EF83A4B3D4}" srcOrd="0" destOrd="0" presId="urn:microsoft.com/office/officeart/2005/8/layout/process1"/>
    <dgm:cxn modelId="{58F0D515-C8E3-45BE-B8F9-6C1D9E33AD6A}" type="presOf" srcId="{70E6B365-4FEA-45E8-A709-B26559997FCE}" destId="{F3F57413-D117-4EA3-924E-58A3C6CF41B9}" srcOrd="1" destOrd="0" presId="urn:microsoft.com/office/officeart/2005/8/layout/process1"/>
    <dgm:cxn modelId="{8F7A2C19-D26B-4ED9-826C-549B0BC8DF49}" type="presOf" srcId="{404837D0-9D20-4FD0-866A-A86F4EC827CC}" destId="{B624E3E5-A483-4526-B6AD-BCB2F29B03E9}" srcOrd="1" destOrd="0" presId="urn:microsoft.com/office/officeart/2005/8/layout/process1"/>
    <dgm:cxn modelId="{49D7FB21-76D2-4DA1-900D-CDD45FBC5CF0}" type="presOf" srcId="{2F907BF3-633F-4465-9A49-9413A2BB7233}" destId="{9264EBC6-A5C3-4F11-BC62-37648345E32A}" srcOrd="0" destOrd="0" presId="urn:microsoft.com/office/officeart/2005/8/layout/process1"/>
    <dgm:cxn modelId="{C064A033-AAAC-4314-91EF-8FA307D76D23}" srcId="{71AA7FA1-4023-4D55-807A-D78E81FC2BEB}" destId="{285E4CF0-32EF-4DAF-A021-B335901E3FA7}" srcOrd="1" destOrd="0" parTransId="{7E787794-C339-4CDD-A51D-973400A9452A}" sibTransId="{70E6B365-4FEA-45E8-A709-B26559997FCE}"/>
    <dgm:cxn modelId="{97C5E936-FEB7-4D88-B27C-F6B7CC697D59}" type="presOf" srcId="{71AA7FA1-4023-4D55-807A-D78E81FC2BEB}" destId="{A9C9C54B-BDCD-4F32-93C5-4B2F90CA5C7B}" srcOrd="0" destOrd="0" presId="urn:microsoft.com/office/officeart/2005/8/layout/process1"/>
    <dgm:cxn modelId="{9083153A-D4F0-476C-B6D5-1854AECFB8CC}" srcId="{71AA7FA1-4023-4D55-807A-D78E81FC2BEB}" destId="{2F907BF3-633F-4465-9A49-9413A2BB7233}" srcOrd="2" destOrd="0" parTransId="{33C98A2F-8F94-468A-A5C8-264DB707216C}" sibTransId="{A17DC6E6-C02D-4809-A14C-9971151AD11A}"/>
    <dgm:cxn modelId="{67856E67-F377-47AD-8524-BCE3D6B9B98E}" type="presOf" srcId="{404837D0-9D20-4FD0-866A-A86F4EC827CC}" destId="{5C8F65A5-1EA9-4A14-B5C4-D4DF066CBF38}" srcOrd="0" destOrd="0" presId="urn:microsoft.com/office/officeart/2005/8/layout/process1"/>
    <dgm:cxn modelId="{F7B8D24A-95E8-459C-B897-C769C8D63CF4}" type="presOf" srcId="{70E6B365-4FEA-45E8-A709-B26559997FCE}" destId="{7CC94B54-EBE5-4938-A337-6E1E4E7F8255}" srcOrd="0" destOrd="0" presId="urn:microsoft.com/office/officeart/2005/8/layout/process1"/>
    <dgm:cxn modelId="{C082F46F-E967-43F1-9A11-1D39D28E7514}" type="presOf" srcId="{D9F0F7F7-EA3D-443B-8F55-DD1FD9947761}" destId="{01AF51B9-2C7A-46EF-A168-3EE1ACEE41FE}" srcOrd="0" destOrd="0" presId="urn:microsoft.com/office/officeart/2005/8/layout/process1"/>
    <dgm:cxn modelId="{4623A3CF-AE28-4223-AA68-22BAA8564B4A}" srcId="{71AA7FA1-4023-4D55-807A-D78E81FC2BEB}" destId="{D9F0F7F7-EA3D-443B-8F55-DD1FD9947761}" srcOrd="0" destOrd="0" parTransId="{89E7DE41-C706-47B3-A5DD-FB3AFB2DEBE3}" sibTransId="{404837D0-9D20-4FD0-866A-A86F4EC827CC}"/>
    <dgm:cxn modelId="{0C9DE12E-9AD1-44E0-867A-5180C2402BEE}" type="presParOf" srcId="{A9C9C54B-BDCD-4F32-93C5-4B2F90CA5C7B}" destId="{01AF51B9-2C7A-46EF-A168-3EE1ACEE41FE}" srcOrd="0" destOrd="0" presId="urn:microsoft.com/office/officeart/2005/8/layout/process1"/>
    <dgm:cxn modelId="{71CDF2C5-DBC3-4944-AB70-36A045CA3E20}" type="presParOf" srcId="{A9C9C54B-BDCD-4F32-93C5-4B2F90CA5C7B}" destId="{5C8F65A5-1EA9-4A14-B5C4-D4DF066CBF38}" srcOrd="1" destOrd="0" presId="urn:microsoft.com/office/officeart/2005/8/layout/process1"/>
    <dgm:cxn modelId="{2F27B67A-1C86-41C5-91C0-3293E8615981}" type="presParOf" srcId="{5C8F65A5-1EA9-4A14-B5C4-D4DF066CBF38}" destId="{B624E3E5-A483-4526-B6AD-BCB2F29B03E9}" srcOrd="0" destOrd="0" presId="urn:microsoft.com/office/officeart/2005/8/layout/process1"/>
    <dgm:cxn modelId="{85CADEB8-7261-4912-B62C-120332406725}" type="presParOf" srcId="{A9C9C54B-BDCD-4F32-93C5-4B2F90CA5C7B}" destId="{3166F7A7-192A-4191-928F-94EF83A4B3D4}" srcOrd="2" destOrd="0" presId="urn:microsoft.com/office/officeart/2005/8/layout/process1"/>
    <dgm:cxn modelId="{6E756642-C7C6-4C99-B8E2-51C8AFB8A369}" type="presParOf" srcId="{A9C9C54B-BDCD-4F32-93C5-4B2F90CA5C7B}" destId="{7CC94B54-EBE5-4938-A337-6E1E4E7F8255}" srcOrd="3" destOrd="0" presId="urn:microsoft.com/office/officeart/2005/8/layout/process1"/>
    <dgm:cxn modelId="{AF2D26D2-72D0-46E6-93F5-19EC93213757}" type="presParOf" srcId="{7CC94B54-EBE5-4938-A337-6E1E4E7F8255}" destId="{F3F57413-D117-4EA3-924E-58A3C6CF41B9}" srcOrd="0" destOrd="0" presId="urn:microsoft.com/office/officeart/2005/8/layout/process1"/>
    <dgm:cxn modelId="{45A49458-4A60-489B-AD52-AFDA3A1CF264}" type="presParOf" srcId="{A9C9C54B-BDCD-4F32-93C5-4B2F90CA5C7B}" destId="{9264EBC6-A5C3-4F11-BC62-37648345E32A}" srcOrd="4"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4EFBD4E-E8DE-4C37-B520-1DF7438B3662}"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kumimoji="1" lang="ja-JP" altLang="en-US"/>
        </a:p>
      </dgm:t>
    </dgm:pt>
    <dgm:pt modelId="{29AA43E9-3F62-4677-A70D-59C52A595199}">
      <dgm:prSet phldrT="[テキスト]" custT="1"/>
      <dgm:spPr>
        <a:xfrm rot="10800000">
          <a:off x="0" y="957"/>
          <a:ext cx="8128000" cy="2059061"/>
        </a:xfrm>
        <a:prstGeom prst="upArrowCallou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kumimoji="1" lang="ja-JP" altLang="en-US" sz="1000" dirty="0">
              <a:solidFill>
                <a:sysClr val="window" lastClr="FFFFFF"/>
              </a:solidFill>
              <a:latin typeface="游ゴシック" panose="020F0502020204030204"/>
              <a:ea typeface="游ゴシック" panose="020B0400000000000000" pitchFamily="50" charset="-128"/>
              <a:cs typeface="+mn-cs"/>
            </a:rPr>
            <a:t>北米市場での失敗</a:t>
          </a:r>
        </a:p>
      </dgm:t>
    </dgm:pt>
    <dgm:pt modelId="{076A723A-ED68-4834-B47C-3DF4F0EBA1E2}" type="parTrans" cxnId="{DC123DD8-0BB5-4CF5-8588-E0F5F723D34B}">
      <dgm:prSet/>
      <dgm:spPr/>
      <dgm:t>
        <a:bodyPr/>
        <a:lstStyle/>
        <a:p>
          <a:endParaRPr kumimoji="1" lang="ja-JP" altLang="en-US" sz="1000"/>
        </a:p>
      </dgm:t>
    </dgm:pt>
    <dgm:pt modelId="{B02BF602-2D94-4F8A-A82E-22533AA4BD5E}" type="sibTrans" cxnId="{DC123DD8-0BB5-4CF5-8588-E0F5F723D34B}">
      <dgm:prSet/>
      <dgm:spPr/>
      <dgm:t>
        <a:bodyPr/>
        <a:lstStyle/>
        <a:p>
          <a:endParaRPr kumimoji="1" lang="ja-JP" altLang="en-US" sz="1000"/>
        </a:p>
      </dgm:t>
    </dgm:pt>
    <dgm:pt modelId="{429D15C5-F5E5-40D8-B94A-62DEB210A8C5}">
      <dgm:prSet phldrT="[テキスト]" custT="1"/>
      <dgm:spPr>
        <a:xfrm>
          <a:off x="0" y="723688"/>
          <a:ext cx="4064000" cy="615659"/>
        </a:xfrm>
        <a:prstGeom prst="rect">
          <a:avLst/>
        </a:prstGeom>
        <a:solidFill>
          <a:srgbClr val="4472C4">
            <a:alpha val="90000"/>
            <a:tint val="40000"/>
            <a:hueOff val="0"/>
            <a:satOff val="0"/>
            <a:lumOff val="0"/>
            <a:alphaOff val="0"/>
          </a:srgbClr>
        </a:solidFill>
        <a:ln w="12700" cap="flat" cmpd="sng" algn="ctr">
          <a:solidFill>
            <a:srgbClr val="4472C4">
              <a:alpha val="90000"/>
              <a:tint val="40000"/>
              <a:hueOff val="0"/>
              <a:satOff val="0"/>
              <a:lumOff val="0"/>
              <a:alphaOff val="0"/>
            </a:srgbClr>
          </a:solidFill>
          <a:prstDash val="solid"/>
          <a:miter lim="800000"/>
        </a:ln>
        <a:effectLst/>
      </dgm:spPr>
      <dgm:t>
        <a:bodyPr/>
        <a:lstStyle/>
        <a:p>
          <a:pPr>
            <a:buNone/>
          </a:pPr>
          <a:r>
            <a:rPr kumimoji="1" lang="ja-JP" altLang="en-US" sz="1000" dirty="0">
              <a:solidFill>
                <a:sysClr val="windowText" lastClr="000000">
                  <a:hueOff val="0"/>
                  <a:satOff val="0"/>
                  <a:lumOff val="0"/>
                  <a:alphaOff val="0"/>
                </a:sysClr>
              </a:solidFill>
              <a:latin typeface="游ゴシック" panose="020F0502020204030204"/>
              <a:ea typeface="游ゴシック" panose="020B0400000000000000" pitchFamily="50" charset="-128"/>
              <a:cs typeface="+mn-cs"/>
            </a:rPr>
            <a:t>米国メーカーの乗用車生産撤退・生産混乱→次期モデルの用のブレーキ製品の失注</a:t>
          </a:r>
          <a:endParaRPr kumimoji="1" lang="en-US" altLang="ja-JP" sz="1000" dirty="0">
            <a:solidFill>
              <a:sysClr val="windowText" lastClr="000000">
                <a:hueOff val="0"/>
                <a:satOff val="0"/>
                <a:lumOff val="0"/>
                <a:alphaOff val="0"/>
              </a:sysClr>
            </a:solidFill>
            <a:latin typeface="游ゴシック" panose="020F0502020204030204"/>
            <a:ea typeface="游ゴシック" panose="020B0400000000000000" pitchFamily="50" charset="-128"/>
            <a:cs typeface="+mn-cs"/>
          </a:endParaRPr>
        </a:p>
      </dgm:t>
    </dgm:pt>
    <dgm:pt modelId="{BF3F1363-C677-40A6-B621-6DCAA09B99EB}" type="parTrans" cxnId="{B4E5EA9A-9547-479C-A64D-1ABF367A0E4B}">
      <dgm:prSet/>
      <dgm:spPr/>
      <dgm:t>
        <a:bodyPr/>
        <a:lstStyle/>
        <a:p>
          <a:endParaRPr kumimoji="1" lang="ja-JP" altLang="en-US" sz="1000"/>
        </a:p>
      </dgm:t>
    </dgm:pt>
    <dgm:pt modelId="{30B73A00-F062-4A88-BE08-63ECAEC53DFF}" type="sibTrans" cxnId="{B4E5EA9A-9547-479C-A64D-1ABF367A0E4B}">
      <dgm:prSet/>
      <dgm:spPr/>
      <dgm:t>
        <a:bodyPr/>
        <a:lstStyle/>
        <a:p>
          <a:endParaRPr kumimoji="1" lang="ja-JP" altLang="en-US" sz="1000"/>
        </a:p>
      </dgm:t>
    </dgm:pt>
    <dgm:pt modelId="{937A5875-51E3-4A50-B3DD-C396EF442BC4}">
      <dgm:prSet phldrT="[テキスト]" custT="1"/>
      <dgm:spPr>
        <a:xfrm rot="10800000">
          <a:off x="0" y="2039937"/>
          <a:ext cx="8128000" cy="2059061"/>
        </a:xfrm>
        <a:prstGeom prst="upArrowCallou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kumimoji="1" lang="ja-JP" altLang="en-US" sz="1000" dirty="0">
              <a:solidFill>
                <a:sysClr val="window" lastClr="FFFFFF"/>
              </a:solidFill>
              <a:latin typeface="游ゴシック" panose="020F0502020204030204"/>
              <a:ea typeface="游ゴシック" panose="020B0400000000000000" pitchFamily="50" charset="-128"/>
              <a:cs typeface="+mn-cs"/>
            </a:rPr>
            <a:t>経営環境・財務体質の悪化</a:t>
          </a:r>
        </a:p>
      </dgm:t>
    </dgm:pt>
    <dgm:pt modelId="{D831D7D1-9AC3-456B-A5EC-B94C6DB2EFBF}" type="parTrans" cxnId="{01DB3780-C8C2-46C8-86BA-258E0BCA2A65}">
      <dgm:prSet/>
      <dgm:spPr/>
      <dgm:t>
        <a:bodyPr/>
        <a:lstStyle/>
        <a:p>
          <a:endParaRPr kumimoji="1" lang="ja-JP" altLang="en-US" sz="1000"/>
        </a:p>
      </dgm:t>
    </dgm:pt>
    <dgm:pt modelId="{FD947671-4C20-4000-83CC-A2335BE15A5B}" type="sibTrans" cxnId="{01DB3780-C8C2-46C8-86BA-258E0BCA2A65}">
      <dgm:prSet/>
      <dgm:spPr/>
      <dgm:t>
        <a:bodyPr/>
        <a:lstStyle/>
        <a:p>
          <a:endParaRPr kumimoji="1" lang="ja-JP" altLang="en-US" sz="1000"/>
        </a:p>
      </dgm:t>
    </dgm:pt>
    <dgm:pt modelId="{D608E7F2-0889-4DD9-B70F-7F6BCAB25AD2}">
      <dgm:prSet phldrT="[テキスト]" custT="1"/>
      <dgm:spPr>
        <a:xfrm>
          <a:off x="0" y="4078917"/>
          <a:ext cx="8128000" cy="133879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kumimoji="1" lang="ja-JP" altLang="en-US" sz="1000" dirty="0">
              <a:solidFill>
                <a:sysClr val="window" lastClr="FFFFFF"/>
              </a:solidFill>
              <a:latin typeface="游ゴシック" panose="020F0502020204030204"/>
              <a:ea typeface="游ゴシック" panose="020B0400000000000000" pitchFamily="50" charset="-128"/>
              <a:cs typeface="+mn-cs"/>
            </a:rPr>
            <a:t>事業再生</a:t>
          </a:r>
          <a:r>
            <a:rPr kumimoji="1" lang="en-US" altLang="ja-JP" sz="1000" dirty="0">
              <a:solidFill>
                <a:sysClr val="window" lastClr="FFFFFF"/>
              </a:solidFill>
              <a:latin typeface="游ゴシック" panose="020F0502020204030204"/>
              <a:ea typeface="游ゴシック" panose="020B0400000000000000" pitchFamily="50" charset="-128"/>
              <a:cs typeface="+mn-cs"/>
            </a:rPr>
            <a:t>ADR</a:t>
          </a:r>
          <a:r>
            <a:rPr kumimoji="1" lang="ja-JP" altLang="en-US" sz="1000" dirty="0">
              <a:solidFill>
                <a:sysClr val="window" lastClr="FFFFFF"/>
              </a:solidFill>
              <a:latin typeface="游ゴシック" panose="020F0502020204030204"/>
              <a:ea typeface="游ゴシック" panose="020B0400000000000000" pitchFamily="50" charset="-128"/>
              <a:cs typeface="+mn-cs"/>
            </a:rPr>
            <a:t>の申請</a:t>
          </a:r>
        </a:p>
      </dgm:t>
    </dgm:pt>
    <dgm:pt modelId="{9D2E5BCA-D3A9-4CBE-A29B-1112822CE3B5}" type="parTrans" cxnId="{7CB112A1-BB31-4872-8434-F9CE746AC229}">
      <dgm:prSet/>
      <dgm:spPr/>
      <dgm:t>
        <a:bodyPr/>
        <a:lstStyle/>
        <a:p>
          <a:endParaRPr kumimoji="1" lang="ja-JP" altLang="en-US" sz="1000"/>
        </a:p>
      </dgm:t>
    </dgm:pt>
    <dgm:pt modelId="{541A8187-2AD4-4C61-A682-B53A539493E0}" type="sibTrans" cxnId="{7CB112A1-BB31-4872-8434-F9CE746AC229}">
      <dgm:prSet/>
      <dgm:spPr/>
      <dgm:t>
        <a:bodyPr/>
        <a:lstStyle/>
        <a:p>
          <a:endParaRPr kumimoji="1" lang="ja-JP" altLang="en-US" sz="1000"/>
        </a:p>
      </dgm:t>
    </dgm:pt>
    <dgm:pt modelId="{042DC793-9D34-40CF-9514-82AA2C808284}" type="pres">
      <dgm:prSet presAssocID="{A4EFBD4E-E8DE-4C37-B520-1DF7438B3662}" presName="Name0" presStyleCnt="0">
        <dgm:presLayoutVars>
          <dgm:dir/>
          <dgm:animLvl val="lvl"/>
          <dgm:resizeHandles val="exact"/>
        </dgm:presLayoutVars>
      </dgm:prSet>
      <dgm:spPr/>
    </dgm:pt>
    <dgm:pt modelId="{F54B6AD3-F752-4AE2-82A0-4AE3249D799E}" type="pres">
      <dgm:prSet presAssocID="{D608E7F2-0889-4DD9-B70F-7F6BCAB25AD2}" presName="boxAndChildren" presStyleCnt="0"/>
      <dgm:spPr/>
    </dgm:pt>
    <dgm:pt modelId="{9C01791E-5E5B-4EBD-A612-781EAD484EBA}" type="pres">
      <dgm:prSet presAssocID="{D608E7F2-0889-4DD9-B70F-7F6BCAB25AD2}" presName="parentTextBox" presStyleLbl="node1" presStyleIdx="0" presStyleCnt="3"/>
      <dgm:spPr/>
    </dgm:pt>
    <dgm:pt modelId="{7796C793-89AD-4EA8-AABE-380DC116B398}" type="pres">
      <dgm:prSet presAssocID="{FD947671-4C20-4000-83CC-A2335BE15A5B}" presName="sp" presStyleCnt="0"/>
      <dgm:spPr/>
    </dgm:pt>
    <dgm:pt modelId="{B8F01FB2-5F34-404C-B9B8-22371F89A094}" type="pres">
      <dgm:prSet presAssocID="{937A5875-51E3-4A50-B3DD-C396EF442BC4}" presName="arrowAndChildren" presStyleCnt="0"/>
      <dgm:spPr/>
    </dgm:pt>
    <dgm:pt modelId="{56159C94-D58F-447B-B19B-21156F0479B4}" type="pres">
      <dgm:prSet presAssocID="{937A5875-51E3-4A50-B3DD-C396EF442BC4}" presName="parentTextArrow" presStyleLbl="node1" presStyleIdx="1" presStyleCnt="3"/>
      <dgm:spPr/>
    </dgm:pt>
    <dgm:pt modelId="{DDD01EE3-BC3E-49EA-9190-6927685ECA25}" type="pres">
      <dgm:prSet presAssocID="{B02BF602-2D94-4F8A-A82E-22533AA4BD5E}" presName="sp" presStyleCnt="0"/>
      <dgm:spPr/>
    </dgm:pt>
    <dgm:pt modelId="{40C2B2F4-0736-42F3-BDC7-BABEC23A44B6}" type="pres">
      <dgm:prSet presAssocID="{29AA43E9-3F62-4677-A70D-59C52A595199}" presName="arrowAndChildren" presStyleCnt="0"/>
      <dgm:spPr/>
    </dgm:pt>
    <dgm:pt modelId="{3ADCEB12-1E04-4F33-815C-2C80F3C4BD89}" type="pres">
      <dgm:prSet presAssocID="{29AA43E9-3F62-4677-A70D-59C52A595199}" presName="parentTextArrow" presStyleLbl="node1" presStyleIdx="1" presStyleCnt="3"/>
      <dgm:spPr/>
    </dgm:pt>
    <dgm:pt modelId="{8088FA20-98EA-45BF-B3F0-5F1FD8A4AB65}" type="pres">
      <dgm:prSet presAssocID="{29AA43E9-3F62-4677-A70D-59C52A595199}" presName="arrow" presStyleLbl="node1" presStyleIdx="2" presStyleCnt="3" custLinFactNeighborX="-3214" custLinFactNeighborY="-47"/>
      <dgm:spPr/>
    </dgm:pt>
    <dgm:pt modelId="{9EDEA9AC-A97E-4C1D-AD68-80A27F6D439F}" type="pres">
      <dgm:prSet presAssocID="{29AA43E9-3F62-4677-A70D-59C52A595199}" presName="descendantArrow" presStyleCnt="0"/>
      <dgm:spPr/>
    </dgm:pt>
    <dgm:pt modelId="{4F358BF1-AD60-4B29-A84F-F6250F3372BE}" type="pres">
      <dgm:prSet presAssocID="{429D15C5-F5E5-40D8-B94A-62DEB210A8C5}" presName="childTextArrow" presStyleLbl="fgAccFollowNode1" presStyleIdx="0" presStyleCnt="1">
        <dgm:presLayoutVars>
          <dgm:bulletEnabled val="1"/>
        </dgm:presLayoutVars>
      </dgm:prSet>
      <dgm:spPr/>
    </dgm:pt>
  </dgm:ptLst>
  <dgm:cxnLst>
    <dgm:cxn modelId="{C93BAC18-7C91-484A-A34C-7D39B4BAA5F2}" type="presOf" srcId="{29AA43E9-3F62-4677-A70D-59C52A595199}" destId="{8088FA20-98EA-45BF-B3F0-5F1FD8A4AB65}" srcOrd="1" destOrd="0" presId="urn:microsoft.com/office/officeart/2005/8/layout/process4"/>
    <dgm:cxn modelId="{09A0095F-FC7A-4A37-81E9-290A19425FF9}" type="presOf" srcId="{D608E7F2-0889-4DD9-B70F-7F6BCAB25AD2}" destId="{9C01791E-5E5B-4EBD-A612-781EAD484EBA}" srcOrd="0" destOrd="0" presId="urn:microsoft.com/office/officeart/2005/8/layout/process4"/>
    <dgm:cxn modelId="{9B89154E-62DF-4315-A1C5-B6336AB7D44B}" type="presOf" srcId="{A4EFBD4E-E8DE-4C37-B520-1DF7438B3662}" destId="{042DC793-9D34-40CF-9514-82AA2C808284}" srcOrd="0" destOrd="0" presId="urn:microsoft.com/office/officeart/2005/8/layout/process4"/>
    <dgm:cxn modelId="{01DB3780-C8C2-46C8-86BA-258E0BCA2A65}" srcId="{A4EFBD4E-E8DE-4C37-B520-1DF7438B3662}" destId="{937A5875-51E3-4A50-B3DD-C396EF442BC4}" srcOrd="1" destOrd="0" parTransId="{D831D7D1-9AC3-456B-A5EC-B94C6DB2EFBF}" sibTransId="{FD947671-4C20-4000-83CC-A2335BE15A5B}"/>
    <dgm:cxn modelId="{B4E5EA9A-9547-479C-A64D-1ABF367A0E4B}" srcId="{29AA43E9-3F62-4677-A70D-59C52A595199}" destId="{429D15C5-F5E5-40D8-B94A-62DEB210A8C5}" srcOrd="0" destOrd="0" parTransId="{BF3F1363-C677-40A6-B621-6DCAA09B99EB}" sibTransId="{30B73A00-F062-4A88-BE08-63ECAEC53DFF}"/>
    <dgm:cxn modelId="{7CB112A1-BB31-4872-8434-F9CE746AC229}" srcId="{A4EFBD4E-E8DE-4C37-B520-1DF7438B3662}" destId="{D608E7F2-0889-4DD9-B70F-7F6BCAB25AD2}" srcOrd="2" destOrd="0" parTransId="{9D2E5BCA-D3A9-4CBE-A29B-1112822CE3B5}" sibTransId="{541A8187-2AD4-4C61-A682-B53A539493E0}"/>
    <dgm:cxn modelId="{C65D26A5-7938-41EE-A499-0C45D8931BED}" type="presOf" srcId="{29AA43E9-3F62-4677-A70D-59C52A595199}" destId="{3ADCEB12-1E04-4F33-815C-2C80F3C4BD89}" srcOrd="0" destOrd="0" presId="urn:microsoft.com/office/officeart/2005/8/layout/process4"/>
    <dgm:cxn modelId="{EB40D4BC-3ACC-42B7-97EB-DDE00E6587DF}" type="presOf" srcId="{429D15C5-F5E5-40D8-B94A-62DEB210A8C5}" destId="{4F358BF1-AD60-4B29-A84F-F6250F3372BE}" srcOrd="0" destOrd="0" presId="urn:microsoft.com/office/officeart/2005/8/layout/process4"/>
    <dgm:cxn modelId="{DC123DD8-0BB5-4CF5-8588-E0F5F723D34B}" srcId="{A4EFBD4E-E8DE-4C37-B520-1DF7438B3662}" destId="{29AA43E9-3F62-4677-A70D-59C52A595199}" srcOrd="0" destOrd="0" parTransId="{076A723A-ED68-4834-B47C-3DF4F0EBA1E2}" sibTransId="{B02BF602-2D94-4F8A-A82E-22533AA4BD5E}"/>
    <dgm:cxn modelId="{D89568EB-9763-4854-9F25-B9A59C9E8D02}" type="presOf" srcId="{937A5875-51E3-4A50-B3DD-C396EF442BC4}" destId="{56159C94-D58F-447B-B19B-21156F0479B4}" srcOrd="0" destOrd="0" presId="urn:microsoft.com/office/officeart/2005/8/layout/process4"/>
    <dgm:cxn modelId="{8660689B-3B2E-4817-8A16-92DE303B4667}" type="presParOf" srcId="{042DC793-9D34-40CF-9514-82AA2C808284}" destId="{F54B6AD3-F752-4AE2-82A0-4AE3249D799E}" srcOrd="0" destOrd="0" presId="urn:microsoft.com/office/officeart/2005/8/layout/process4"/>
    <dgm:cxn modelId="{CD70FA07-478C-48D8-8742-9452C35553EA}" type="presParOf" srcId="{F54B6AD3-F752-4AE2-82A0-4AE3249D799E}" destId="{9C01791E-5E5B-4EBD-A612-781EAD484EBA}" srcOrd="0" destOrd="0" presId="urn:microsoft.com/office/officeart/2005/8/layout/process4"/>
    <dgm:cxn modelId="{097CA8B3-A85A-4E2E-B91D-87027C10D81C}" type="presParOf" srcId="{042DC793-9D34-40CF-9514-82AA2C808284}" destId="{7796C793-89AD-4EA8-AABE-380DC116B398}" srcOrd="1" destOrd="0" presId="urn:microsoft.com/office/officeart/2005/8/layout/process4"/>
    <dgm:cxn modelId="{550EAA29-D79A-470D-A0AA-3B895FA1E981}" type="presParOf" srcId="{042DC793-9D34-40CF-9514-82AA2C808284}" destId="{B8F01FB2-5F34-404C-B9B8-22371F89A094}" srcOrd="2" destOrd="0" presId="urn:microsoft.com/office/officeart/2005/8/layout/process4"/>
    <dgm:cxn modelId="{A1D63686-EA4D-4B2C-A44E-4DB842437D3C}" type="presParOf" srcId="{B8F01FB2-5F34-404C-B9B8-22371F89A094}" destId="{56159C94-D58F-447B-B19B-21156F0479B4}" srcOrd="0" destOrd="0" presId="urn:microsoft.com/office/officeart/2005/8/layout/process4"/>
    <dgm:cxn modelId="{2CFBE69B-DCBF-44B0-B738-2AAA9841A2A3}" type="presParOf" srcId="{042DC793-9D34-40CF-9514-82AA2C808284}" destId="{DDD01EE3-BC3E-49EA-9190-6927685ECA25}" srcOrd="3" destOrd="0" presId="urn:microsoft.com/office/officeart/2005/8/layout/process4"/>
    <dgm:cxn modelId="{B389B761-C763-42A9-88D7-E694F6A7F265}" type="presParOf" srcId="{042DC793-9D34-40CF-9514-82AA2C808284}" destId="{40C2B2F4-0736-42F3-BDC7-BABEC23A44B6}" srcOrd="4" destOrd="0" presId="urn:microsoft.com/office/officeart/2005/8/layout/process4"/>
    <dgm:cxn modelId="{603CF66B-8B54-445C-8776-DDBF381C1BAE}" type="presParOf" srcId="{40C2B2F4-0736-42F3-BDC7-BABEC23A44B6}" destId="{3ADCEB12-1E04-4F33-815C-2C80F3C4BD89}" srcOrd="0" destOrd="0" presId="urn:microsoft.com/office/officeart/2005/8/layout/process4"/>
    <dgm:cxn modelId="{BDB5C803-077A-4750-B388-ADE55F2097E3}" type="presParOf" srcId="{40C2B2F4-0736-42F3-BDC7-BABEC23A44B6}" destId="{8088FA20-98EA-45BF-B3F0-5F1FD8A4AB65}" srcOrd="1" destOrd="0" presId="urn:microsoft.com/office/officeart/2005/8/layout/process4"/>
    <dgm:cxn modelId="{A2A732AD-9521-46DD-824A-C9EC1D5098AC}" type="presParOf" srcId="{40C2B2F4-0736-42F3-BDC7-BABEC23A44B6}" destId="{9EDEA9AC-A97E-4C1D-AD68-80A27F6D439F}" srcOrd="2" destOrd="0" presId="urn:microsoft.com/office/officeart/2005/8/layout/process4"/>
    <dgm:cxn modelId="{827D9228-200E-4741-AC5E-AC02579A1C21}" type="presParOf" srcId="{9EDEA9AC-A97E-4C1D-AD68-80A27F6D439F}" destId="{4F358BF1-AD60-4B29-A84F-F6250F3372BE}" srcOrd="0" destOrd="0" presId="urn:microsoft.com/office/officeart/2005/8/layout/process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AF51B9-2C7A-46EF-A168-3EE1ACEE41FE}">
      <dsp:nvSpPr>
        <dsp:cNvPr id="0" name=""/>
        <dsp:cNvSpPr/>
      </dsp:nvSpPr>
      <dsp:spPr>
        <a:xfrm>
          <a:off x="4746" y="68843"/>
          <a:ext cx="1418565" cy="8511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kumimoji="1" lang="ja-JP" altLang="en-US" sz="1800" kern="1200"/>
            <a:t>企業</a:t>
          </a:r>
        </a:p>
      </dsp:txBody>
      <dsp:txXfrm>
        <a:off x="29675" y="93772"/>
        <a:ext cx="1368707" cy="801281"/>
      </dsp:txXfrm>
    </dsp:sp>
    <dsp:sp modelId="{5C8F65A5-1EA9-4A14-B5C4-D4DF066CBF38}">
      <dsp:nvSpPr>
        <dsp:cNvPr id="0" name=""/>
        <dsp:cNvSpPr/>
      </dsp:nvSpPr>
      <dsp:spPr>
        <a:xfrm>
          <a:off x="1565167" y="318511"/>
          <a:ext cx="300735" cy="3518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kumimoji="1" lang="ja-JP" altLang="en-US" sz="1400" kern="1200"/>
        </a:p>
      </dsp:txBody>
      <dsp:txXfrm>
        <a:off x="1565167" y="388872"/>
        <a:ext cx="210515" cy="211082"/>
      </dsp:txXfrm>
    </dsp:sp>
    <dsp:sp modelId="{3166F7A7-192A-4191-928F-94EF83A4B3D4}">
      <dsp:nvSpPr>
        <dsp:cNvPr id="0" name=""/>
        <dsp:cNvSpPr/>
      </dsp:nvSpPr>
      <dsp:spPr>
        <a:xfrm>
          <a:off x="1990737" y="68843"/>
          <a:ext cx="1418565" cy="8511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kumimoji="1" lang="ja-JP" altLang="en-US" sz="1800" kern="1200"/>
            <a:t>事業再生</a:t>
          </a:r>
          <a:r>
            <a:rPr kumimoji="1" lang="en-US" altLang="ja-JP" sz="1800" kern="1200"/>
            <a:t>ADR</a:t>
          </a:r>
          <a:r>
            <a:rPr kumimoji="1" lang="ja-JP" altLang="en-US" sz="1800" kern="1200"/>
            <a:t>事業者</a:t>
          </a:r>
        </a:p>
      </dsp:txBody>
      <dsp:txXfrm>
        <a:off x="2015666" y="93772"/>
        <a:ext cx="1368707" cy="801281"/>
      </dsp:txXfrm>
    </dsp:sp>
    <dsp:sp modelId="{7CC94B54-EBE5-4938-A337-6E1E4E7F8255}">
      <dsp:nvSpPr>
        <dsp:cNvPr id="0" name=""/>
        <dsp:cNvSpPr/>
      </dsp:nvSpPr>
      <dsp:spPr>
        <a:xfrm>
          <a:off x="3551159" y="318511"/>
          <a:ext cx="300735" cy="3518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kumimoji="1" lang="ja-JP" altLang="en-US" sz="1400" kern="1200"/>
        </a:p>
      </dsp:txBody>
      <dsp:txXfrm>
        <a:off x="3551159" y="388872"/>
        <a:ext cx="210515" cy="211082"/>
      </dsp:txXfrm>
    </dsp:sp>
    <dsp:sp modelId="{9264EBC6-A5C3-4F11-BC62-37648345E32A}">
      <dsp:nvSpPr>
        <dsp:cNvPr id="0" name=""/>
        <dsp:cNvSpPr/>
      </dsp:nvSpPr>
      <dsp:spPr>
        <a:xfrm>
          <a:off x="3976728" y="68843"/>
          <a:ext cx="1418565" cy="8511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kumimoji="1" lang="ja-JP" altLang="en-US" sz="1800" kern="1200"/>
            <a:t>債権者</a:t>
          </a:r>
        </a:p>
      </dsp:txBody>
      <dsp:txXfrm>
        <a:off x="4001657" y="93772"/>
        <a:ext cx="1368707" cy="80128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01791E-5E5B-4EBD-A612-781EAD484EBA}">
      <dsp:nvSpPr>
        <dsp:cNvPr id="0" name=""/>
        <dsp:cNvSpPr/>
      </dsp:nvSpPr>
      <dsp:spPr>
        <a:xfrm>
          <a:off x="0" y="1527203"/>
          <a:ext cx="5334000" cy="50126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dirty="0">
              <a:solidFill>
                <a:sysClr val="window" lastClr="FFFFFF"/>
              </a:solidFill>
              <a:latin typeface="游ゴシック" panose="020F0502020204030204"/>
              <a:ea typeface="游ゴシック" panose="020B0400000000000000" pitchFamily="50" charset="-128"/>
              <a:cs typeface="+mn-cs"/>
            </a:rPr>
            <a:t>事業再生</a:t>
          </a:r>
          <a:r>
            <a:rPr kumimoji="1" lang="en-US" altLang="ja-JP" sz="1000" kern="1200" dirty="0">
              <a:solidFill>
                <a:sysClr val="window" lastClr="FFFFFF"/>
              </a:solidFill>
              <a:latin typeface="游ゴシック" panose="020F0502020204030204"/>
              <a:ea typeface="游ゴシック" panose="020B0400000000000000" pitchFamily="50" charset="-128"/>
              <a:cs typeface="+mn-cs"/>
            </a:rPr>
            <a:t>ADR</a:t>
          </a:r>
          <a:r>
            <a:rPr kumimoji="1" lang="ja-JP" altLang="en-US" sz="1000" kern="1200" dirty="0">
              <a:solidFill>
                <a:sysClr val="window" lastClr="FFFFFF"/>
              </a:solidFill>
              <a:latin typeface="游ゴシック" panose="020F0502020204030204"/>
              <a:ea typeface="游ゴシック" panose="020B0400000000000000" pitchFamily="50" charset="-128"/>
              <a:cs typeface="+mn-cs"/>
            </a:rPr>
            <a:t>の申請</a:t>
          </a:r>
        </a:p>
      </dsp:txBody>
      <dsp:txXfrm>
        <a:off x="0" y="1527203"/>
        <a:ext cx="5334000" cy="501262"/>
      </dsp:txXfrm>
    </dsp:sp>
    <dsp:sp modelId="{56159C94-D58F-447B-B19B-21156F0479B4}">
      <dsp:nvSpPr>
        <dsp:cNvPr id="0" name=""/>
        <dsp:cNvSpPr/>
      </dsp:nvSpPr>
      <dsp:spPr>
        <a:xfrm rot="10800000">
          <a:off x="0" y="763781"/>
          <a:ext cx="5334000" cy="770941"/>
        </a:xfrm>
        <a:prstGeom prst="upArrowCallou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dirty="0">
              <a:solidFill>
                <a:sysClr val="window" lastClr="FFFFFF"/>
              </a:solidFill>
              <a:latin typeface="游ゴシック" panose="020F0502020204030204"/>
              <a:ea typeface="游ゴシック" panose="020B0400000000000000" pitchFamily="50" charset="-128"/>
              <a:cs typeface="+mn-cs"/>
            </a:rPr>
            <a:t>経営環境・財務体質の悪化</a:t>
          </a:r>
        </a:p>
      </dsp:txBody>
      <dsp:txXfrm rot="10800000">
        <a:off x="0" y="763781"/>
        <a:ext cx="5334000" cy="500934"/>
      </dsp:txXfrm>
    </dsp:sp>
    <dsp:sp modelId="{8088FA20-98EA-45BF-B3F0-5F1FD8A4AB65}">
      <dsp:nvSpPr>
        <dsp:cNvPr id="0" name=""/>
        <dsp:cNvSpPr/>
      </dsp:nvSpPr>
      <dsp:spPr>
        <a:xfrm rot="10800000">
          <a:off x="0" y="0"/>
          <a:ext cx="5334000" cy="770941"/>
        </a:xfrm>
        <a:prstGeom prst="upArrowCallou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dirty="0">
              <a:solidFill>
                <a:sysClr val="window" lastClr="FFFFFF"/>
              </a:solidFill>
              <a:latin typeface="游ゴシック" panose="020F0502020204030204"/>
              <a:ea typeface="游ゴシック" panose="020B0400000000000000" pitchFamily="50" charset="-128"/>
              <a:cs typeface="+mn-cs"/>
            </a:rPr>
            <a:t>北米市場での失敗</a:t>
          </a:r>
        </a:p>
      </dsp:txBody>
      <dsp:txXfrm rot="-10800000">
        <a:off x="0" y="94772"/>
        <a:ext cx="5334000" cy="175828"/>
      </dsp:txXfrm>
    </dsp:sp>
    <dsp:sp modelId="{4F358BF1-AD60-4B29-A84F-F6250F3372BE}">
      <dsp:nvSpPr>
        <dsp:cNvPr id="0" name=""/>
        <dsp:cNvSpPr/>
      </dsp:nvSpPr>
      <dsp:spPr>
        <a:xfrm>
          <a:off x="0" y="270959"/>
          <a:ext cx="5334000" cy="230511"/>
        </a:xfrm>
        <a:prstGeom prst="rect">
          <a:avLst/>
        </a:prstGeom>
        <a:solidFill>
          <a:srgbClr val="4472C4">
            <a:alpha val="90000"/>
            <a:tint val="40000"/>
            <a:hueOff val="0"/>
            <a:satOff val="0"/>
            <a:lumOff val="0"/>
            <a:alphaOff val="0"/>
          </a:srgbClr>
        </a:solidFill>
        <a:ln w="12700" cap="flat" cmpd="sng" algn="ctr">
          <a:solidFill>
            <a:srgbClr val="4472C4">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dirty="0">
              <a:solidFill>
                <a:sysClr val="windowText" lastClr="000000">
                  <a:hueOff val="0"/>
                  <a:satOff val="0"/>
                  <a:lumOff val="0"/>
                  <a:alphaOff val="0"/>
                </a:sysClr>
              </a:solidFill>
              <a:latin typeface="游ゴシック" panose="020F0502020204030204"/>
              <a:ea typeface="游ゴシック" panose="020B0400000000000000" pitchFamily="50" charset="-128"/>
              <a:cs typeface="+mn-cs"/>
            </a:rPr>
            <a:t>米国メーカーの乗用車生産撤退・生産混乱→次期モデルの用のブレーキ製品の失注</a:t>
          </a:r>
          <a:endParaRPr kumimoji="1" lang="en-US" altLang="ja-JP" sz="1000" kern="1200" dirty="0">
            <a:solidFill>
              <a:sysClr val="windowText" lastClr="000000">
                <a:hueOff val="0"/>
                <a:satOff val="0"/>
                <a:lumOff val="0"/>
                <a:alphaOff val="0"/>
              </a:sysClr>
            </a:solidFill>
            <a:latin typeface="游ゴシック" panose="020F0502020204030204"/>
            <a:ea typeface="游ゴシック" panose="020B0400000000000000" pitchFamily="50" charset="-128"/>
            <a:cs typeface="+mn-cs"/>
          </a:endParaRPr>
        </a:p>
      </dsp:txBody>
      <dsp:txXfrm>
        <a:off x="0" y="270959"/>
        <a:ext cx="5334000" cy="23051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TotalTime>
  <Pages>3</Pages>
  <Words>215</Words>
  <Characters>1229</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MAGA_Phantom</dc:creator>
  <cp:keywords/>
  <dc:description/>
  <cp:lastModifiedBy>MAGA_Phantom</cp:lastModifiedBy>
  <cp:revision>2</cp:revision>
  <dcterms:created xsi:type="dcterms:W3CDTF">2019-11-05T06:35:00Z</dcterms:created>
  <dcterms:modified xsi:type="dcterms:W3CDTF">2019-11-07T01:38:00Z</dcterms:modified>
</cp:coreProperties>
</file>