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86A4B">
      <w:pPr>
        <w:spacing w:after="120" w:line="252" w:lineRule="auto"/>
        <w:jc w:val="center"/>
      </w:pPr>
      <w:r>
        <w:rPr>
          <w:rFonts w:ascii="Times New Roman" w:hAnsi="Times New Roman" w:eastAsia="Times New Roman"/>
          <w:b/>
          <w:sz w:val="32"/>
        </w:rPr>
        <w:t>Summary of Data Collection Procedures and Variable Coding Scheme</w:t>
      </w:r>
    </w:p>
    <w:p w14:paraId="24BFEE89">
      <w:pPr>
        <w:spacing w:after="240" w:line="252" w:lineRule="auto"/>
        <w:jc w:val="center"/>
      </w:pPr>
      <w:r>
        <w:rPr>
          <w:rFonts w:ascii="Times New Roman" w:hAnsi="Times New Roman" w:eastAsia="Times New Roman"/>
          <w:i/>
          <w:sz w:val="22"/>
        </w:rPr>
        <w:t>For Methodological Supplementation and Editorial Response</w:t>
      </w:r>
    </w:p>
    <w:p w14:paraId="7A989FF3">
      <w:pPr>
        <w:pStyle w:val="3"/>
        <w:spacing w:line="252" w:lineRule="auto"/>
      </w:pPr>
      <w:bookmarkStart w:id="0" w:name="_GoBack"/>
      <w:bookmarkEnd w:id="0"/>
      <w:r>
        <w:rPr>
          <w:rFonts w:ascii="Times New Roman" w:hAnsi="Times New Roman" w:eastAsia="Times New Roman"/>
          <w:b/>
          <w:sz w:val="28"/>
        </w:rPr>
        <w:t>1. Data Collection Time Points</w:t>
      </w:r>
    </w:p>
    <w:p w14:paraId="1B3B3AFC">
      <w:pPr>
        <w:spacing w:after="80" w:line="252" w:lineRule="auto"/>
        <w:jc w:val="center"/>
      </w:pPr>
      <w:r>
        <w:rPr>
          <w:rFonts w:ascii="Times New Roman" w:hAnsi="Times New Roman" w:eastAsia="Times New Roman"/>
          <w:b/>
          <w:sz w:val="20"/>
        </w:rPr>
        <w:t>Table 1. Data Collection Time Points</w:t>
      </w:r>
    </w:p>
    <w:tbl>
      <w:tblPr>
        <w:tblStyle w:val="33"/>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4752"/>
        <w:gridCol w:w="4752"/>
        <w:gridCol w:w="4752"/>
      </w:tblGrid>
      <w:tr w14:paraId="5A1E131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2232" w:type="dxa"/>
            <w:shd w:val="clear" w:color="auto" w:fill="D9EAF7"/>
            <w:vAlign w:val="center"/>
          </w:tcPr>
          <w:p w14:paraId="16046CF5">
            <w:pPr>
              <w:spacing w:before="0" w:after="0" w:line="240" w:lineRule="auto"/>
              <w:jc w:val="center"/>
            </w:pPr>
            <w:r>
              <w:rPr>
                <w:rFonts w:ascii="Times New Roman" w:hAnsi="Times New Roman" w:eastAsia="Times New Roman"/>
                <w:b/>
                <w:sz w:val="18"/>
              </w:rPr>
              <w:t>Stage</w:t>
            </w:r>
          </w:p>
        </w:tc>
        <w:tc>
          <w:tcPr>
            <w:tcW w:w="3311" w:type="dxa"/>
            <w:shd w:val="clear" w:color="auto" w:fill="D9EAF7"/>
            <w:vAlign w:val="center"/>
          </w:tcPr>
          <w:p w14:paraId="40C3E74D">
            <w:pPr>
              <w:spacing w:before="0" w:after="0" w:line="240" w:lineRule="auto"/>
              <w:jc w:val="center"/>
            </w:pPr>
            <w:r>
              <w:rPr>
                <w:rFonts w:ascii="Times New Roman" w:hAnsi="Times New Roman" w:eastAsia="Times New Roman"/>
                <w:b/>
                <w:sz w:val="18"/>
              </w:rPr>
              <w:t>Data Collected</w:t>
            </w:r>
          </w:p>
        </w:tc>
        <w:tc>
          <w:tcPr>
            <w:tcW w:w="9576" w:type="dxa"/>
            <w:shd w:val="clear" w:color="auto" w:fill="D9EAF7"/>
            <w:vAlign w:val="center"/>
          </w:tcPr>
          <w:p w14:paraId="76BE9268">
            <w:pPr>
              <w:spacing w:before="0" w:after="0" w:line="240" w:lineRule="auto"/>
              <w:jc w:val="center"/>
            </w:pPr>
            <w:r>
              <w:rPr>
                <w:rFonts w:ascii="Times New Roman" w:hAnsi="Times New Roman" w:eastAsia="Times New Roman"/>
                <w:b/>
                <w:sz w:val="18"/>
              </w:rPr>
              <w:t>Description</w:t>
            </w:r>
          </w:p>
        </w:tc>
      </w:tr>
      <w:tr w14:paraId="49B7DAF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232" w:type="dxa"/>
            <w:vAlign w:val="center"/>
          </w:tcPr>
          <w:p w14:paraId="2E907F13">
            <w:pPr>
              <w:spacing w:before="0" w:after="0" w:line="240" w:lineRule="auto"/>
              <w:jc w:val="left"/>
            </w:pPr>
            <w:r>
              <w:rPr>
                <w:rFonts w:ascii="Times New Roman" w:hAnsi="Times New Roman" w:eastAsia="Times New Roman"/>
                <w:b w:val="0"/>
                <w:sz w:val="18"/>
              </w:rPr>
              <w:t>Before the intervention</w:t>
            </w:r>
          </w:p>
        </w:tc>
        <w:tc>
          <w:tcPr>
            <w:tcW w:w="3311" w:type="dxa"/>
            <w:vAlign w:val="center"/>
          </w:tcPr>
          <w:p w14:paraId="087A0D2A">
            <w:pPr>
              <w:spacing w:before="0" w:after="0" w:line="240" w:lineRule="auto"/>
              <w:jc w:val="left"/>
            </w:pPr>
            <w:r>
              <w:rPr>
                <w:rFonts w:ascii="Times New Roman" w:hAnsi="Times New Roman" w:eastAsia="Times New Roman"/>
                <w:b w:val="0"/>
                <w:sz w:val="18"/>
              </w:rPr>
              <w:t>Pre-test scores / baseline data</w:t>
            </w:r>
          </w:p>
        </w:tc>
        <w:tc>
          <w:tcPr>
            <w:tcW w:w="9576" w:type="dxa"/>
            <w:vAlign w:val="center"/>
          </w:tcPr>
          <w:p w14:paraId="78879F16">
            <w:pPr>
              <w:spacing w:before="0" w:after="0" w:line="240" w:lineRule="auto"/>
              <w:jc w:val="left"/>
            </w:pPr>
            <w:r>
              <w:rPr>
                <w:rFonts w:ascii="Times New Roman" w:hAnsi="Times New Roman" w:eastAsia="Times New Roman"/>
                <w:b w:val="0"/>
                <w:sz w:val="18"/>
              </w:rPr>
              <w:t>Used to examine whether the experimental and control groups were comparable in initial learning performance; the pre-test score could also be used as a covariate in subsequent ANCOVA.</w:t>
            </w:r>
          </w:p>
        </w:tc>
      </w:tr>
      <w:tr w14:paraId="0489C0A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232" w:type="dxa"/>
            <w:vAlign w:val="center"/>
          </w:tcPr>
          <w:p w14:paraId="6297DFD1">
            <w:pPr>
              <w:spacing w:before="0" w:after="0" w:line="240" w:lineRule="auto"/>
              <w:jc w:val="left"/>
            </w:pPr>
            <w:r>
              <w:rPr>
                <w:rFonts w:ascii="Times New Roman" w:hAnsi="Times New Roman" w:eastAsia="Times New Roman"/>
                <w:b w:val="0"/>
                <w:sz w:val="18"/>
              </w:rPr>
              <w:t>During the collaborative task</w:t>
            </w:r>
          </w:p>
        </w:tc>
        <w:tc>
          <w:tcPr>
            <w:tcW w:w="3311" w:type="dxa"/>
            <w:vAlign w:val="center"/>
          </w:tcPr>
          <w:p w14:paraId="182327C5">
            <w:pPr>
              <w:spacing w:before="0" w:after="0" w:line="240" w:lineRule="auto"/>
              <w:jc w:val="left"/>
            </w:pPr>
            <w:r>
              <w:rPr>
                <w:rFonts w:ascii="Times New Roman" w:hAnsi="Times New Roman" w:eastAsia="Times New Roman"/>
                <w:b w:val="0"/>
                <w:sz w:val="18"/>
              </w:rPr>
              <w:t>Collaborative learning task products</w:t>
            </w:r>
          </w:p>
        </w:tc>
        <w:tc>
          <w:tcPr>
            <w:tcW w:w="9576" w:type="dxa"/>
            <w:vAlign w:val="center"/>
          </w:tcPr>
          <w:p w14:paraId="59356E84">
            <w:pPr>
              <w:spacing w:before="0" w:after="0" w:line="240" w:lineRule="auto"/>
              <w:jc w:val="left"/>
            </w:pPr>
            <w:r>
              <w:rPr>
                <w:rFonts w:ascii="Times New Roman" w:hAnsi="Times New Roman" w:eastAsia="Times New Roman"/>
                <w:b w:val="0"/>
                <w:sz w:val="18"/>
              </w:rPr>
              <w:t>Students completed a micro-lesson instructional design document in pairs. The experimental group used an AI learning companion during collaboration, whereas the control group did not use AI.</w:t>
            </w:r>
          </w:p>
        </w:tc>
      </w:tr>
      <w:tr w14:paraId="281E3D2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232" w:type="dxa"/>
            <w:vAlign w:val="center"/>
          </w:tcPr>
          <w:p w14:paraId="1E599D03">
            <w:pPr>
              <w:spacing w:before="0" w:after="0" w:line="240" w:lineRule="auto"/>
              <w:jc w:val="left"/>
            </w:pPr>
            <w:r>
              <w:rPr>
                <w:rFonts w:ascii="Times New Roman" w:hAnsi="Times New Roman" w:eastAsia="Times New Roman"/>
                <w:b w:val="0"/>
                <w:sz w:val="18"/>
              </w:rPr>
              <w:t>After the intervention</w:t>
            </w:r>
          </w:p>
        </w:tc>
        <w:tc>
          <w:tcPr>
            <w:tcW w:w="3311" w:type="dxa"/>
            <w:vAlign w:val="center"/>
          </w:tcPr>
          <w:p w14:paraId="0241C518">
            <w:pPr>
              <w:spacing w:before="0" w:after="0" w:line="240" w:lineRule="auto"/>
              <w:jc w:val="left"/>
            </w:pPr>
            <w:r>
              <w:rPr>
                <w:rFonts w:ascii="Times New Roman" w:hAnsi="Times New Roman" w:eastAsia="Times New Roman"/>
                <w:b w:val="0"/>
                <w:sz w:val="18"/>
              </w:rPr>
              <w:t>Questionnaire data</w:t>
            </w:r>
          </w:p>
        </w:tc>
        <w:tc>
          <w:tcPr>
            <w:tcW w:w="9576" w:type="dxa"/>
            <w:vAlign w:val="center"/>
          </w:tcPr>
          <w:p w14:paraId="739B1419">
            <w:pPr>
              <w:spacing w:before="0" w:after="0" w:line="240" w:lineRule="auto"/>
              <w:jc w:val="left"/>
            </w:pPr>
            <w:r>
              <w:rPr>
                <w:rFonts w:ascii="Times New Roman" w:hAnsi="Times New Roman" w:eastAsia="Times New Roman"/>
                <w:b w:val="0"/>
                <w:sz w:val="18"/>
              </w:rPr>
              <w:t>Used to measure core psychological and learning-experience variables, including social presence, negative emotions, and collaborative learning orientation.</w:t>
            </w:r>
          </w:p>
        </w:tc>
      </w:tr>
      <w:tr w14:paraId="4BA139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232" w:type="dxa"/>
            <w:vAlign w:val="center"/>
          </w:tcPr>
          <w:p w14:paraId="469D442A">
            <w:pPr>
              <w:spacing w:before="0" w:after="0" w:line="240" w:lineRule="auto"/>
              <w:jc w:val="left"/>
            </w:pPr>
            <w:r>
              <w:rPr>
                <w:rFonts w:ascii="Times New Roman" w:hAnsi="Times New Roman" w:eastAsia="Times New Roman"/>
                <w:b w:val="0"/>
                <w:sz w:val="18"/>
              </w:rPr>
              <w:t>After the intervention</w:t>
            </w:r>
          </w:p>
        </w:tc>
        <w:tc>
          <w:tcPr>
            <w:tcW w:w="3311" w:type="dxa"/>
            <w:vAlign w:val="center"/>
          </w:tcPr>
          <w:p w14:paraId="3C814EBE">
            <w:pPr>
              <w:spacing w:before="0" w:after="0" w:line="240" w:lineRule="auto"/>
              <w:jc w:val="left"/>
            </w:pPr>
            <w:r>
              <w:rPr>
                <w:rFonts w:ascii="Times New Roman" w:hAnsi="Times New Roman" w:eastAsia="Times New Roman"/>
                <w:b w:val="0"/>
                <w:sz w:val="18"/>
              </w:rPr>
              <w:t>Post-test scores / academic performance data</w:t>
            </w:r>
          </w:p>
        </w:tc>
        <w:tc>
          <w:tcPr>
            <w:tcW w:w="9576" w:type="dxa"/>
            <w:vAlign w:val="center"/>
          </w:tcPr>
          <w:p w14:paraId="255BF26A">
            <w:pPr>
              <w:spacing w:before="0" w:after="0" w:line="240" w:lineRule="auto"/>
              <w:jc w:val="left"/>
            </w:pPr>
            <w:r>
              <w:rPr>
                <w:rFonts w:ascii="Times New Roman" w:hAnsi="Times New Roman" w:eastAsia="Times New Roman"/>
                <w:b w:val="0"/>
                <w:sz w:val="18"/>
              </w:rPr>
              <w:t>Used to measure students’ learning performance or task-product performance after the intervention and to calculate score gains together with pre-test scores.</w:t>
            </w:r>
          </w:p>
        </w:tc>
      </w:tr>
      <w:tr w14:paraId="564BB4E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232" w:type="dxa"/>
            <w:vAlign w:val="center"/>
          </w:tcPr>
          <w:p w14:paraId="460DE612">
            <w:pPr>
              <w:spacing w:before="0" w:after="0" w:line="240" w:lineRule="auto"/>
              <w:jc w:val="left"/>
            </w:pPr>
            <w:r>
              <w:rPr>
                <w:rFonts w:ascii="Times New Roman" w:hAnsi="Times New Roman" w:eastAsia="Times New Roman"/>
                <w:b w:val="0"/>
                <w:sz w:val="18"/>
              </w:rPr>
              <w:t>After the intervention</w:t>
            </w:r>
          </w:p>
        </w:tc>
        <w:tc>
          <w:tcPr>
            <w:tcW w:w="3311" w:type="dxa"/>
            <w:vAlign w:val="center"/>
          </w:tcPr>
          <w:p w14:paraId="3FE0BBAB">
            <w:pPr>
              <w:spacing w:before="0" w:after="0" w:line="240" w:lineRule="auto"/>
              <w:jc w:val="left"/>
            </w:pPr>
            <w:r>
              <w:rPr>
                <w:rFonts w:ascii="Times New Roman" w:hAnsi="Times New Roman" w:eastAsia="Times New Roman"/>
                <w:b w:val="0"/>
                <w:sz w:val="18"/>
              </w:rPr>
              <w:t>Semi-structured interview data</w:t>
            </w:r>
          </w:p>
        </w:tc>
        <w:tc>
          <w:tcPr>
            <w:tcW w:w="9576" w:type="dxa"/>
            <w:vAlign w:val="center"/>
          </w:tcPr>
          <w:p w14:paraId="234413AC">
            <w:pPr>
              <w:spacing w:before="0" w:after="0" w:line="240" w:lineRule="auto"/>
              <w:jc w:val="left"/>
            </w:pPr>
            <w:r>
              <w:rPr>
                <w:rFonts w:ascii="Times New Roman" w:hAnsi="Times New Roman" w:eastAsia="Times New Roman"/>
                <w:b w:val="0"/>
                <w:sz w:val="18"/>
              </w:rPr>
              <w:t>Ten students from the experimental group were interviewed to explore their perceptions of the AI learning companion’s task support, collaboration facilitation, expression support, intervention timing, and limitations.</w:t>
            </w:r>
          </w:p>
        </w:tc>
      </w:tr>
    </w:tbl>
    <w:p w14:paraId="518509E7">
      <w:pPr>
        <w:pStyle w:val="3"/>
        <w:spacing w:line="252" w:lineRule="auto"/>
      </w:pPr>
      <w:r>
        <w:rPr>
          <w:rFonts w:ascii="Times New Roman" w:hAnsi="Times New Roman" w:eastAsia="Times New Roman"/>
          <w:b/>
          <w:sz w:val="28"/>
        </w:rPr>
        <w:t>2. Summary Table of Quantitative Variables</w:t>
      </w:r>
    </w:p>
    <w:p w14:paraId="4736842B">
      <w:pPr>
        <w:spacing w:after="80" w:line="252" w:lineRule="auto"/>
        <w:jc w:val="center"/>
      </w:pPr>
      <w:r>
        <w:rPr>
          <w:rFonts w:ascii="Times New Roman" w:hAnsi="Times New Roman" w:eastAsia="Times New Roman"/>
          <w:b/>
          <w:sz w:val="20"/>
        </w:rPr>
        <w:t>Table 2. Summary Table of Quantitative Variables</w:t>
      </w:r>
    </w:p>
    <w:tbl>
      <w:tblPr>
        <w:tblStyle w:val="33"/>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2037"/>
        <w:gridCol w:w="2037"/>
        <w:gridCol w:w="2037"/>
        <w:gridCol w:w="2037"/>
        <w:gridCol w:w="2037"/>
        <w:gridCol w:w="2037"/>
        <w:gridCol w:w="2037"/>
      </w:tblGrid>
      <w:tr w14:paraId="6461988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1584" w:type="dxa"/>
            <w:shd w:val="clear" w:color="auto" w:fill="D9EAF7"/>
            <w:vAlign w:val="center"/>
          </w:tcPr>
          <w:p w14:paraId="67151AA5">
            <w:pPr>
              <w:spacing w:before="0" w:after="0" w:line="240" w:lineRule="auto"/>
              <w:jc w:val="center"/>
            </w:pPr>
            <w:r>
              <w:rPr>
                <w:rFonts w:ascii="Times New Roman" w:hAnsi="Times New Roman" w:eastAsia="Times New Roman"/>
                <w:b/>
                <w:sz w:val="14"/>
              </w:rPr>
              <w:t>Variable Name</w:t>
            </w:r>
          </w:p>
        </w:tc>
        <w:tc>
          <w:tcPr>
            <w:tcW w:w="892" w:type="dxa"/>
            <w:shd w:val="clear" w:color="auto" w:fill="D9EAF7"/>
            <w:vAlign w:val="center"/>
          </w:tcPr>
          <w:p w14:paraId="6425E73C">
            <w:pPr>
              <w:spacing w:before="0" w:after="0" w:line="240" w:lineRule="auto"/>
              <w:jc w:val="center"/>
            </w:pPr>
            <w:r>
              <w:rPr>
                <w:rFonts w:ascii="Times New Roman" w:hAnsi="Times New Roman" w:eastAsia="Times New Roman"/>
                <w:b/>
                <w:sz w:val="14"/>
              </w:rPr>
              <w:t>Abbrev.</w:t>
            </w:r>
          </w:p>
        </w:tc>
        <w:tc>
          <w:tcPr>
            <w:tcW w:w="1555" w:type="dxa"/>
            <w:shd w:val="clear" w:color="auto" w:fill="D9EAF7"/>
            <w:vAlign w:val="center"/>
          </w:tcPr>
          <w:p w14:paraId="34BA76FE">
            <w:pPr>
              <w:spacing w:before="0" w:after="0" w:line="240" w:lineRule="auto"/>
              <w:jc w:val="center"/>
            </w:pPr>
            <w:r>
              <w:rPr>
                <w:rFonts w:ascii="Times New Roman" w:hAnsi="Times New Roman" w:eastAsia="Times New Roman"/>
                <w:b/>
                <w:sz w:val="14"/>
              </w:rPr>
              <w:t>Type</w:t>
            </w:r>
          </w:p>
        </w:tc>
        <w:tc>
          <w:tcPr>
            <w:tcW w:w="1612" w:type="dxa"/>
            <w:shd w:val="clear" w:color="auto" w:fill="D9EAF7"/>
            <w:vAlign w:val="center"/>
          </w:tcPr>
          <w:p w14:paraId="1D026E0D">
            <w:pPr>
              <w:spacing w:before="0" w:after="0" w:line="240" w:lineRule="auto"/>
              <w:jc w:val="center"/>
            </w:pPr>
            <w:r>
              <w:rPr>
                <w:rFonts w:ascii="Times New Roman" w:hAnsi="Times New Roman" w:eastAsia="Times New Roman"/>
                <w:b/>
                <w:sz w:val="14"/>
              </w:rPr>
              <w:t>Data Source</w:t>
            </w:r>
          </w:p>
        </w:tc>
        <w:tc>
          <w:tcPr>
            <w:tcW w:w="2951" w:type="dxa"/>
            <w:shd w:val="clear" w:color="auto" w:fill="D9EAF7"/>
            <w:vAlign w:val="center"/>
          </w:tcPr>
          <w:p w14:paraId="4F689089">
            <w:pPr>
              <w:spacing w:before="0" w:after="0" w:line="240" w:lineRule="auto"/>
              <w:jc w:val="center"/>
            </w:pPr>
            <w:r>
              <w:rPr>
                <w:rFonts w:ascii="Times New Roman" w:hAnsi="Times New Roman" w:eastAsia="Times New Roman"/>
                <w:b/>
                <w:sz w:val="14"/>
              </w:rPr>
              <w:t>Definition</w:t>
            </w:r>
          </w:p>
        </w:tc>
        <w:tc>
          <w:tcPr>
            <w:tcW w:w="3283" w:type="dxa"/>
            <w:shd w:val="clear" w:color="auto" w:fill="D9EAF7"/>
            <w:vAlign w:val="center"/>
          </w:tcPr>
          <w:p w14:paraId="7B04D8B0">
            <w:pPr>
              <w:spacing w:before="0" w:after="0" w:line="240" w:lineRule="auto"/>
              <w:jc w:val="center"/>
            </w:pPr>
            <w:r>
              <w:rPr>
                <w:rFonts w:ascii="Times New Roman" w:hAnsi="Times New Roman" w:eastAsia="Times New Roman"/>
                <w:b/>
                <w:sz w:val="14"/>
              </w:rPr>
              <w:t>Coding / Scoring Method</w:t>
            </w:r>
          </w:p>
        </w:tc>
        <w:tc>
          <w:tcPr>
            <w:tcW w:w="3240" w:type="dxa"/>
            <w:shd w:val="clear" w:color="auto" w:fill="D9EAF7"/>
            <w:vAlign w:val="center"/>
          </w:tcPr>
          <w:p w14:paraId="705F99E8">
            <w:pPr>
              <w:spacing w:before="0" w:after="0" w:line="240" w:lineRule="auto"/>
              <w:jc w:val="center"/>
            </w:pPr>
            <w:r>
              <w:rPr>
                <w:rFonts w:ascii="Times New Roman" w:hAnsi="Times New Roman" w:eastAsia="Times New Roman"/>
                <w:b/>
                <w:sz w:val="14"/>
              </w:rPr>
              <w:t>Data Transformation / Analytical Use</w:t>
            </w:r>
          </w:p>
        </w:tc>
      </w:tr>
      <w:tr w14:paraId="73203E7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5BCD4C95">
            <w:pPr>
              <w:spacing w:before="0" w:after="0" w:line="240" w:lineRule="auto"/>
              <w:jc w:val="left"/>
            </w:pPr>
            <w:r>
              <w:rPr>
                <w:rFonts w:ascii="Times New Roman" w:hAnsi="Times New Roman" w:eastAsia="Times New Roman"/>
                <w:b w:val="0"/>
                <w:sz w:val="14"/>
              </w:rPr>
              <w:t>Experimental condition / group</w:t>
            </w:r>
          </w:p>
        </w:tc>
        <w:tc>
          <w:tcPr>
            <w:tcW w:w="892" w:type="dxa"/>
            <w:vAlign w:val="center"/>
          </w:tcPr>
          <w:p w14:paraId="355E2213">
            <w:pPr>
              <w:spacing w:before="0" w:after="0" w:line="240" w:lineRule="auto"/>
              <w:jc w:val="left"/>
            </w:pPr>
            <w:r>
              <w:rPr>
                <w:rFonts w:ascii="Times New Roman" w:hAnsi="Times New Roman" w:eastAsia="Times New Roman"/>
                <w:b w:val="0"/>
                <w:sz w:val="14"/>
              </w:rPr>
              <w:t>Group</w:t>
            </w:r>
          </w:p>
        </w:tc>
        <w:tc>
          <w:tcPr>
            <w:tcW w:w="1555" w:type="dxa"/>
            <w:vAlign w:val="center"/>
          </w:tcPr>
          <w:p w14:paraId="5B317C54">
            <w:pPr>
              <w:spacing w:before="0" w:after="0" w:line="240" w:lineRule="auto"/>
              <w:jc w:val="left"/>
            </w:pPr>
            <w:r>
              <w:rPr>
                <w:rFonts w:ascii="Times New Roman" w:hAnsi="Times New Roman" w:eastAsia="Times New Roman"/>
                <w:b w:val="0"/>
                <w:sz w:val="14"/>
              </w:rPr>
              <w:t>Independent variable; binary variable</w:t>
            </w:r>
          </w:p>
        </w:tc>
        <w:tc>
          <w:tcPr>
            <w:tcW w:w="1612" w:type="dxa"/>
            <w:vAlign w:val="center"/>
          </w:tcPr>
          <w:p w14:paraId="08FC0BAB">
            <w:pPr>
              <w:spacing w:before="0" w:after="0" w:line="240" w:lineRule="auto"/>
              <w:jc w:val="left"/>
            </w:pPr>
            <w:r>
              <w:rPr>
                <w:rFonts w:ascii="Times New Roman" w:hAnsi="Times New Roman" w:eastAsia="Times New Roman"/>
                <w:b w:val="0"/>
                <w:sz w:val="14"/>
              </w:rPr>
              <w:t>Quasi-experimental grouping</w:t>
            </w:r>
          </w:p>
        </w:tc>
        <w:tc>
          <w:tcPr>
            <w:tcW w:w="2951" w:type="dxa"/>
            <w:vAlign w:val="center"/>
          </w:tcPr>
          <w:p w14:paraId="3F27A4B5">
            <w:pPr>
              <w:spacing w:before="0" w:after="0" w:line="240" w:lineRule="auto"/>
              <w:jc w:val="left"/>
            </w:pPr>
            <w:r>
              <w:rPr>
                <w:rFonts w:ascii="Times New Roman" w:hAnsi="Times New Roman" w:eastAsia="Times New Roman"/>
                <w:b w:val="0"/>
                <w:sz w:val="14"/>
              </w:rPr>
              <w:t>Whether students used the AI learning companion during collaborative learning.</w:t>
            </w:r>
          </w:p>
        </w:tc>
        <w:tc>
          <w:tcPr>
            <w:tcW w:w="3283" w:type="dxa"/>
            <w:vAlign w:val="center"/>
          </w:tcPr>
          <w:p w14:paraId="20B9CE7E">
            <w:pPr>
              <w:spacing w:before="0" w:after="0" w:line="240" w:lineRule="auto"/>
              <w:jc w:val="left"/>
            </w:pPr>
            <w:r>
              <w:rPr>
                <w:rFonts w:ascii="Times New Roman" w:hAnsi="Times New Roman" w:eastAsia="Times New Roman"/>
                <w:b w:val="0"/>
                <w:sz w:val="14"/>
              </w:rPr>
              <w:t>Recommended coding: 0 = control group; 1 = experimental group.</w:t>
            </w:r>
          </w:p>
        </w:tc>
        <w:tc>
          <w:tcPr>
            <w:tcW w:w="3240" w:type="dxa"/>
            <w:vAlign w:val="center"/>
          </w:tcPr>
          <w:p w14:paraId="28D8400B">
            <w:pPr>
              <w:spacing w:before="0" w:after="0" w:line="240" w:lineRule="auto"/>
              <w:jc w:val="left"/>
            </w:pPr>
            <w:r>
              <w:rPr>
                <w:rFonts w:ascii="Times New Roman" w:hAnsi="Times New Roman" w:eastAsia="Times New Roman"/>
                <w:b w:val="0"/>
                <w:sz w:val="14"/>
              </w:rPr>
              <w:t>Used as the grouping variable in t-tests, ANCOVA, and the mediation model; entered into the mediation analysis as a dummy variable.</w:t>
            </w:r>
          </w:p>
        </w:tc>
      </w:tr>
      <w:tr w14:paraId="5B0298E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716D504C">
            <w:pPr>
              <w:spacing w:before="0" w:after="0" w:line="240" w:lineRule="auto"/>
              <w:jc w:val="left"/>
            </w:pPr>
            <w:r>
              <w:rPr>
                <w:rFonts w:ascii="Times New Roman" w:hAnsi="Times New Roman" w:eastAsia="Times New Roman"/>
                <w:b w:val="0"/>
                <w:sz w:val="14"/>
              </w:rPr>
              <w:t>Social presence</w:t>
            </w:r>
          </w:p>
        </w:tc>
        <w:tc>
          <w:tcPr>
            <w:tcW w:w="892" w:type="dxa"/>
            <w:vAlign w:val="center"/>
          </w:tcPr>
          <w:p w14:paraId="2D804A6A">
            <w:pPr>
              <w:spacing w:before="0" w:after="0" w:line="240" w:lineRule="auto"/>
              <w:jc w:val="left"/>
            </w:pPr>
            <w:r>
              <w:rPr>
                <w:rFonts w:ascii="Times New Roman" w:hAnsi="Times New Roman" w:eastAsia="Times New Roman"/>
                <w:b w:val="0"/>
                <w:sz w:val="14"/>
              </w:rPr>
              <w:t>SP</w:t>
            </w:r>
          </w:p>
        </w:tc>
        <w:tc>
          <w:tcPr>
            <w:tcW w:w="1555" w:type="dxa"/>
            <w:vAlign w:val="center"/>
          </w:tcPr>
          <w:p w14:paraId="21FB2618">
            <w:pPr>
              <w:spacing w:before="0" w:after="0" w:line="240" w:lineRule="auto"/>
              <w:jc w:val="left"/>
            </w:pPr>
            <w:r>
              <w:rPr>
                <w:rFonts w:ascii="Times New Roman" w:hAnsi="Times New Roman" w:eastAsia="Times New Roman"/>
                <w:b w:val="0"/>
                <w:sz w:val="14"/>
              </w:rPr>
              <w:t>Continuous variable</w:t>
            </w:r>
          </w:p>
        </w:tc>
        <w:tc>
          <w:tcPr>
            <w:tcW w:w="1612" w:type="dxa"/>
            <w:vAlign w:val="center"/>
          </w:tcPr>
          <w:p w14:paraId="7BE0AFDE">
            <w:pPr>
              <w:spacing w:before="0" w:after="0" w:line="240" w:lineRule="auto"/>
              <w:jc w:val="left"/>
            </w:pPr>
            <w:r>
              <w:rPr>
                <w:rFonts w:ascii="Times New Roman" w:hAnsi="Times New Roman" w:eastAsia="Times New Roman"/>
                <w:b w:val="0"/>
                <w:sz w:val="14"/>
              </w:rPr>
              <w:t>Post-intervention questionnaire</w:t>
            </w:r>
          </w:p>
        </w:tc>
        <w:tc>
          <w:tcPr>
            <w:tcW w:w="2951" w:type="dxa"/>
            <w:vAlign w:val="center"/>
          </w:tcPr>
          <w:p w14:paraId="763C1B4F">
            <w:pPr>
              <w:spacing w:before="0" w:after="0" w:line="240" w:lineRule="auto"/>
              <w:jc w:val="left"/>
            </w:pPr>
            <w:r>
              <w:rPr>
                <w:rFonts w:ascii="Times New Roman" w:hAnsi="Times New Roman" w:eastAsia="Times New Roman"/>
                <w:b w:val="0"/>
                <w:sz w:val="14"/>
              </w:rPr>
              <w:t>The degree to which students perceived others’ presence, interactional responsiveness, and social connection during collaborative learning.</w:t>
            </w:r>
          </w:p>
        </w:tc>
        <w:tc>
          <w:tcPr>
            <w:tcW w:w="3283" w:type="dxa"/>
            <w:vAlign w:val="center"/>
          </w:tcPr>
          <w:p w14:paraId="595DB407">
            <w:pPr>
              <w:spacing w:before="0" w:after="0" w:line="240" w:lineRule="auto"/>
              <w:jc w:val="left"/>
            </w:pPr>
            <w:r>
              <w:rPr>
                <w:rFonts w:ascii="Times New Roman" w:hAnsi="Times New Roman" w:eastAsia="Times New Roman"/>
                <w:b w:val="0"/>
                <w:sz w:val="14"/>
              </w:rPr>
              <w:t>Based on the scale by Arbaugh et al. (2008); item means or total scores may be used. Higher scores indicate stronger social presence.</w:t>
            </w:r>
          </w:p>
        </w:tc>
        <w:tc>
          <w:tcPr>
            <w:tcW w:w="3240" w:type="dxa"/>
            <w:vAlign w:val="center"/>
          </w:tcPr>
          <w:p w14:paraId="3749ADF7">
            <w:pPr>
              <w:spacing w:before="0" w:after="0" w:line="240" w:lineRule="auto"/>
              <w:jc w:val="left"/>
            </w:pPr>
            <w:r>
              <w:rPr>
                <w:rFonts w:ascii="Times New Roman" w:hAnsi="Times New Roman" w:eastAsia="Times New Roman"/>
                <w:b w:val="0"/>
                <w:sz w:val="14"/>
              </w:rPr>
              <w:t>Computed as a composite scale score; Cronbach’s α = .96.</w:t>
            </w:r>
          </w:p>
        </w:tc>
      </w:tr>
      <w:tr w14:paraId="0523203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3BD1AF72">
            <w:pPr>
              <w:spacing w:before="0" w:after="0" w:line="240" w:lineRule="auto"/>
              <w:jc w:val="left"/>
            </w:pPr>
            <w:r>
              <w:rPr>
                <w:rFonts w:ascii="Times New Roman" w:hAnsi="Times New Roman" w:eastAsia="Times New Roman"/>
                <w:b w:val="0"/>
                <w:sz w:val="14"/>
              </w:rPr>
              <w:t>Negative emotions</w:t>
            </w:r>
          </w:p>
        </w:tc>
        <w:tc>
          <w:tcPr>
            <w:tcW w:w="892" w:type="dxa"/>
            <w:vAlign w:val="center"/>
          </w:tcPr>
          <w:p w14:paraId="49579505">
            <w:pPr>
              <w:spacing w:before="0" w:after="0" w:line="240" w:lineRule="auto"/>
              <w:jc w:val="left"/>
            </w:pPr>
            <w:r>
              <w:rPr>
                <w:rFonts w:ascii="Times New Roman" w:hAnsi="Times New Roman" w:eastAsia="Times New Roman"/>
                <w:b w:val="0"/>
                <w:sz w:val="14"/>
              </w:rPr>
              <w:t>NE</w:t>
            </w:r>
          </w:p>
        </w:tc>
        <w:tc>
          <w:tcPr>
            <w:tcW w:w="1555" w:type="dxa"/>
            <w:vAlign w:val="center"/>
          </w:tcPr>
          <w:p w14:paraId="04330C2B">
            <w:pPr>
              <w:spacing w:before="0" w:after="0" w:line="240" w:lineRule="auto"/>
              <w:jc w:val="left"/>
            </w:pPr>
            <w:r>
              <w:rPr>
                <w:rFonts w:ascii="Times New Roman" w:hAnsi="Times New Roman" w:eastAsia="Times New Roman"/>
                <w:b w:val="0"/>
                <w:sz w:val="14"/>
              </w:rPr>
              <w:t>Continuous variable; mediator</w:t>
            </w:r>
          </w:p>
        </w:tc>
        <w:tc>
          <w:tcPr>
            <w:tcW w:w="1612" w:type="dxa"/>
            <w:vAlign w:val="center"/>
          </w:tcPr>
          <w:p w14:paraId="003F0AFA">
            <w:pPr>
              <w:spacing w:before="0" w:after="0" w:line="240" w:lineRule="auto"/>
              <w:jc w:val="left"/>
            </w:pPr>
            <w:r>
              <w:rPr>
                <w:rFonts w:ascii="Times New Roman" w:hAnsi="Times New Roman" w:eastAsia="Times New Roman"/>
                <w:b w:val="0"/>
                <w:sz w:val="14"/>
              </w:rPr>
              <w:t>Post-intervention questionnaire</w:t>
            </w:r>
          </w:p>
        </w:tc>
        <w:tc>
          <w:tcPr>
            <w:tcW w:w="2951" w:type="dxa"/>
            <w:vAlign w:val="center"/>
          </w:tcPr>
          <w:p w14:paraId="4B46EF94">
            <w:pPr>
              <w:spacing w:before="0" w:after="0" w:line="240" w:lineRule="auto"/>
              <w:jc w:val="left"/>
            </w:pPr>
            <w:r>
              <w:rPr>
                <w:rFonts w:ascii="Times New Roman" w:hAnsi="Times New Roman" w:eastAsia="Times New Roman"/>
                <w:b w:val="0"/>
                <w:sz w:val="14"/>
              </w:rPr>
              <w:t>Students’ experiences of anxiety, tension, frustration, or discomfort during collaborative learning.</w:t>
            </w:r>
          </w:p>
        </w:tc>
        <w:tc>
          <w:tcPr>
            <w:tcW w:w="3283" w:type="dxa"/>
            <w:vAlign w:val="center"/>
          </w:tcPr>
          <w:p w14:paraId="6BFCCA03">
            <w:pPr>
              <w:spacing w:before="0" w:after="0" w:line="240" w:lineRule="auto"/>
              <w:jc w:val="left"/>
            </w:pPr>
            <w:r>
              <w:rPr>
                <w:rFonts w:ascii="Times New Roman" w:hAnsi="Times New Roman" w:eastAsia="Times New Roman"/>
                <w:b w:val="0"/>
                <w:sz w:val="14"/>
              </w:rPr>
              <w:t>Based on the scale by Liu &amp; Ding (2025); item means or total scores may be used. Higher scores indicate stronger negative emotions.</w:t>
            </w:r>
          </w:p>
        </w:tc>
        <w:tc>
          <w:tcPr>
            <w:tcW w:w="3240" w:type="dxa"/>
            <w:vAlign w:val="center"/>
          </w:tcPr>
          <w:p w14:paraId="73F1D596">
            <w:pPr>
              <w:spacing w:before="0" w:after="0" w:line="240" w:lineRule="auto"/>
              <w:jc w:val="left"/>
            </w:pPr>
            <w:r>
              <w:rPr>
                <w:rFonts w:ascii="Times New Roman" w:hAnsi="Times New Roman" w:eastAsia="Times New Roman"/>
                <w:b w:val="0"/>
                <w:sz w:val="14"/>
              </w:rPr>
              <w:t>Computed as a composite scale score; Cronbach’s α = .96; used as the mediator in the mediation model.</w:t>
            </w:r>
          </w:p>
        </w:tc>
      </w:tr>
      <w:tr w14:paraId="5CB2B3E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35A2CEF8">
            <w:pPr>
              <w:spacing w:before="0" w:after="0" w:line="240" w:lineRule="auto"/>
              <w:jc w:val="left"/>
            </w:pPr>
            <w:r>
              <w:rPr>
                <w:rFonts w:ascii="Times New Roman" w:hAnsi="Times New Roman" w:eastAsia="Times New Roman"/>
                <w:b w:val="0"/>
                <w:sz w:val="14"/>
              </w:rPr>
              <w:t>Collaborative learning orientation</w:t>
            </w:r>
          </w:p>
        </w:tc>
        <w:tc>
          <w:tcPr>
            <w:tcW w:w="892" w:type="dxa"/>
            <w:vAlign w:val="center"/>
          </w:tcPr>
          <w:p w14:paraId="7687E7F1">
            <w:pPr>
              <w:spacing w:before="0" w:after="0" w:line="240" w:lineRule="auto"/>
              <w:jc w:val="left"/>
            </w:pPr>
            <w:r>
              <w:rPr>
                <w:rFonts w:ascii="Times New Roman" w:hAnsi="Times New Roman" w:eastAsia="Times New Roman"/>
                <w:b w:val="0"/>
                <w:sz w:val="14"/>
              </w:rPr>
              <w:t>CL</w:t>
            </w:r>
          </w:p>
        </w:tc>
        <w:tc>
          <w:tcPr>
            <w:tcW w:w="1555" w:type="dxa"/>
            <w:vAlign w:val="center"/>
          </w:tcPr>
          <w:p w14:paraId="395439C9">
            <w:pPr>
              <w:spacing w:before="0" w:after="0" w:line="240" w:lineRule="auto"/>
              <w:jc w:val="left"/>
            </w:pPr>
            <w:r>
              <w:rPr>
                <w:rFonts w:ascii="Times New Roman" w:hAnsi="Times New Roman" w:eastAsia="Times New Roman"/>
                <w:b w:val="0"/>
                <w:sz w:val="14"/>
              </w:rPr>
              <w:t>Continuous variable; outcome variable</w:t>
            </w:r>
          </w:p>
        </w:tc>
        <w:tc>
          <w:tcPr>
            <w:tcW w:w="1612" w:type="dxa"/>
            <w:vAlign w:val="center"/>
          </w:tcPr>
          <w:p w14:paraId="3FB35D8A">
            <w:pPr>
              <w:spacing w:before="0" w:after="0" w:line="240" w:lineRule="auto"/>
              <w:jc w:val="left"/>
            </w:pPr>
            <w:r>
              <w:rPr>
                <w:rFonts w:ascii="Times New Roman" w:hAnsi="Times New Roman" w:eastAsia="Times New Roman"/>
                <w:b w:val="0"/>
                <w:sz w:val="14"/>
              </w:rPr>
              <w:t>Post-intervention questionnaire</w:t>
            </w:r>
          </w:p>
        </w:tc>
        <w:tc>
          <w:tcPr>
            <w:tcW w:w="2951" w:type="dxa"/>
            <w:vAlign w:val="center"/>
          </w:tcPr>
          <w:p w14:paraId="6E824883">
            <w:pPr>
              <w:spacing w:before="0" w:after="0" w:line="240" w:lineRule="auto"/>
              <w:jc w:val="left"/>
            </w:pPr>
            <w:r>
              <w:rPr>
                <w:rFonts w:ascii="Times New Roman" w:hAnsi="Times New Roman" w:eastAsia="Times New Roman"/>
                <w:b w:val="0"/>
                <w:sz w:val="14"/>
              </w:rPr>
              <w:t>Students’ acceptance of, willingness to participate in, and positive orientation toward collaborative learning activities.</w:t>
            </w:r>
          </w:p>
        </w:tc>
        <w:tc>
          <w:tcPr>
            <w:tcW w:w="3283" w:type="dxa"/>
            <w:vAlign w:val="center"/>
          </w:tcPr>
          <w:p w14:paraId="4829E227">
            <w:pPr>
              <w:spacing w:before="0" w:after="0" w:line="240" w:lineRule="auto"/>
              <w:jc w:val="left"/>
            </w:pPr>
            <w:r>
              <w:rPr>
                <w:rFonts w:ascii="Times New Roman" w:hAnsi="Times New Roman" w:eastAsia="Times New Roman"/>
                <w:b w:val="0"/>
                <w:sz w:val="14"/>
              </w:rPr>
              <w:t>Based on the scale by Hwang et al. (2011); item means or total scores may be used. Higher scores indicate stronger collaborative learning orientation.</w:t>
            </w:r>
          </w:p>
        </w:tc>
        <w:tc>
          <w:tcPr>
            <w:tcW w:w="3240" w:type="dxa"/>
            <w:vAlign w:val="center"/>
          </w:tcPr>
          <w:p w14:paraId="00DEC78F">
            <w:pPr>
              <w:spacing w:before="0" w:after="0" w:line="240" w:lineRule="auto"/>
              <w:jc w:val="left"/>
            </w:pPr>
            <w:r>
              <w:rPr>
                <w:rFonts w:ascii="Times New Roman" w:hAnsi="Times New Roman" w:eastAsia="Times New Roman"/>
                <w:b w:val="0"/>
                <w:sz w:val="14"/>
              </w:rPr>
              <w:t>Computed as a composite scale score; Cronbach’s α = .85; used as the outcome variable in the mediation model.</w:t>
            </w:r>
          </w:p>
        </w:tc>
      </w:tr>
      <w:tr w14:paraId="2B01D83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01699B28">
            <w:pPr>
              <w:spacing w:before="0" w:after="0" w:line="240" w:lineRule="auto"/>
              <w:jc w:val="left"/>
            </w:pPr>
            <w:r>
              <w:rPr>
                <w:rFonts w:ascii="Times New Roman" w:hAnsi="Times New Roman" w:eastAsia="Times New Roman"/>
                <w:b w:val="0"/>
                <w:sz w:val="14"/>
              </w:rPr>
              <w:t>Pre-test score</w:t>
            </w:r>
          </w:p>
        </w:tc>
        <w:tc>
          <w:tcPr>
            <w:tcW w:w="892" w:type="dxa"/>
            <w:vAlign w:val="center"/>
          </w:tcPr>
          <w:p w14:paraId="2D726CA7">
            <w:pPr>
              <w:spacing w:before="0" w:after="0" w:line="240" w:lineRule="auto"/>
              <w:jc w:val="left"/>
            </w:pPr>
            <w:r>
              <w:rPr>
                <w:rFonts w:ascii="Times New Roman" w:hAnsi="Times New Roman" w:eastAsia="Times New Roman"/>
                <w:b w:val="0"/>
                <w:sz w:val="14"/>
              </w:rPr>
              <w:t>PR</w:t>
            </w:r>
          </w:p>
        </w:tc>
        <w:tc>
          <w:tcPr>
            <w:tcW w:w="1555" w:type="dxa"/>
            <w:vAlign w:val="center"/>
          </w:tcPr>
          <w:p w14:paraId="0BF1EF47">
            <w:pPr>
              <w:spacing w:before="0" w:after="0" w:line="240" w:lineRule="auto"/>
              <w:jc w:val="left"/>
            </w:pPr>
            <w:r>
              <w:rPr>
                <w:rFonts w:ascii="Times New Roman" w:hAnsi="Times New Roman" w:eastAsia="Times New Roman"/>
                <w:b w:val="0"/>
                <w:sz w:val="14"/>
              </w:rPr>
              <w:t>Continuous variable; covariate</w:t>
            </w:r>
          </w:p>
        </w:tc>
        <w:tc>
          <w:tcPr>
            <w:tcW w:w="1612" w:type="dxa"/>
            <w:vAlign w:val="center"/>
          </w:tcPr>
          <w:p w14:paraId="6CE7B707">
            <w:pPr>
              <w:spacing w:before="0" w:after="0" w:line="240" w:lineRule="auto"/>
              <w:jc w:val="left"/>
            </w:pPr>
            <w:r>
              <w:rPr>
                <w:rFonts w:ascii="Times New Roman" w:hAnsi="Times New Roman" w:eastAsia="Times New Roman"/>
                <w:b w:val="0"/>
                <w:sz w:val="14"/>
              </w:rPr>
              <w:t>Pre-intervention assessment</w:t>
            </w:r>
          </w:p>
        </w:tc>
        <w:tc>
          <w:tcPr>
            <w:tcW w:w="2951" w:type="dxa"/>
            <w:vAlign w:val="center"/>
          </w:tcPr>
          <w:p w14:paraId="45467469">
            <w:pPr>
              <w:spacing w:before="0" w:after="0" w:line="240" w:lineRule="auto"/>
              <w:jc w:val="left"/>
            </w:pPr>
            <w:r>
              <w:rPr>
                <w:rFonts w:ascii="Times New Roman" w:hAnsi="Times New Roman" w:eastAsia="Times New Roman"/>
                <w:b w:val="0"/>
                <w:sz w:val="14"/>
              </w:rPr>
              <w:t>Students’ learning performance or baseline performance before the intervention.</w:t>
            </w:r>
          </w:p>
        </w:tc>
        <w:tc>
          <w:tcPr>
            <w:tcW w:w="3283" w:type="dxa"/>
            <w:vAlign w:val="center"/>
          </w:tcPr>
          <w:p w14:paraId="0C4C887F">
            <w:pPr>
              <w:spacing w:before="0" w:after="0" w:line="240" w:lineRule="auto"/>
              <w:jc w:val="left"/>
            </w:pPr>
            <w:r>
              <w:rPr>
                <w:rFonts w:ascii="Times New Roman" w:hAnsi="Times New Roman" w:eastAsia="Times New Roman"/>
                <w:b w:val="0"/>
                <w:sz w:val="14"/>
              </w:rPr>
              <w:t>Recorded as the raw pre-test score.</w:t>
            </w:r>
          </w:p>
        </w:tc>
        <w:tc>
          <w:tcPr>
            <w:tcW w:w="3240" w:type="dxa"/>
            <w:vAlign w:val="center"/>
          </w:tcPr>
          <w:p w14:paraId="08CEE151">
            <w:pPr>
              <w:spacing w:before="0" w:after="0" w:line="240" w:lineRule="auto"/>
              <w:jc w:val="left"/>
            </w:pPr>
            <w:r>
              <w:rPr>
                <w:rFonts w:ascii="Times New Roman" w:hAnsi="Times New Roman" w:eastAsia="Times New Roman"/>
                <w:b w:val="0"/>
                <w:sz w:val="14"/>
              </w:rPr>
              <w:t>Used to test baseline equivalence between groups; used as a covariate in ANCOVA; used to calculate the score-gain variable.</w:t>
            </w:r>
          </w:p>
        </w:tc>
      </w:tr>
      <w:tr w14:paraId="625E38F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3582BE64">
            <w:pPr>
              <w:spacing w:before="0" w:after="0" w:line="240" w:lineRule="auto"/>
              <w:jc w:val="left"/>
            </w:pPr>
            <w:r>
              <w:rPr>
                <w:rFonts w:ascii="Times New Roman" w:hAnsi="Times New Roman" w:eastAsia="Times New Roman"/>
                <w:b w:val="0"/>
                <w:sz w:val="14"/>
              </w:rPr>
              <w:t>Post-test score</w:t>
            </w:r>
          </w:p>
        </w:tc>
        <w:tc>
          <w:tcPr>
            <w:tcW w:w="892" w:type="dxa"/>
            <w:vAlign w:val="center"/>
          </w:tcPr>
          <w:p w14:paraId="5BDFEA22">
            <w:pPr>
              <w:spacing w:before="0" w:after="0" w:line="240" w:lineRule="auto"/>
              <w:jc w:val="left"/>
            </w:pPr>
            <w:r>
              <w:rPr>
                <w:rFonts w:ascii="Times New Roman" w:hAnsi="Times New Roman" w:eastAsia="Times New Roman"/>
                <w:b w:val="0"/>
                <w:sz w:val="14"/>
              </w:rPr>
              <w:t>PO</w:t>
            </w:r>
          </w:p>
        </w:tc>
        <w:tc>
          <w:tcPr>
            <w:tcW w:w="1555" w:type="dxa"/>
            <w:vAlign w:val="center"/>
          </w:tcPr>
          <w:p w14:paraId="4E1BA0DD">
            <w:pPr>
              <w:spacing w:before="0" w:after="0" w:line="240" w:lineRule="auto"/>
              <w:jc w:val="left"/>
            </w:pPr>
            <w:r>
              <w:rPr>
                <w:rFonts w:ascii="Times New Roman" w:hAnsi="Times New Roman" w:eastAsia="Times New Roman"/>
                <w:b w:val="0"/>
                <w:sz w:val="14"/>
              </w:rPr>
              <w:t>Continuous variable; outcome variable</w:t>
            </w:r>
          </w:p>
        </w:tc>
        <w:tc>
          <w:tcPr>
            <w:tcW w:w="1612" w:type="dxa"/>
            <w:vAlign w:val="center"/>
          </w:tcPr>
          <w:p w14:paraId="01BDF0DA">
            <w:pPr>
              <w:spacing w:before="0" w:after="0" w:line="240" w:lineRule="auto"/>
              <w:jc w:val="left"/>
            </w:pPr>
            <w:r>
              <w:rPr>
                <w:rFonts w:ascii="Times New Roman" w:hAnsi="Times New Roman" w:eastAsia="Times New Roman"/>
                <w:b w:val="0"/>
                <w:sz w:val="14"/>
              </w:rPr>
              <w:t>Post-intervention assessment / learning-product scoring</w:t>
            </w:r>
          </w:p>
        </w:tc>
        <w:tc>
          <w:tcPr>
            <w:tcW w:w="2951" w:type="dxa"/>
            <w:vAlign w:val="center"/>
          </w:tcPr>
          <w:p w14:paraId="10413F0F">
            <w:pPr>
              <w:spacing w:before="0" w:after="0" w:line="240" w:lineRule="auto"/>
              <w:jc w:val="left"/>
            </w:pPr>
            <w:r>
              <w:rPr>
                <w:rFonts w:ascii="Times New Roman" w:hAnsi="Times New Roman" w:eastAsia="Times New Roman"/>
                <w:b w:val="0"/>
                <w:sz w:val="14"/>
              </w:rPr>
              <w:t>Students’ learning performance or final task-product performance after the intervention.</w:t>
            </w:r>
          </w:p>
        </w:tc>
        <w:tc>
          <w:tcPr>
            <w:tcW w:w="3283" w:type="dxa"/>
            <w:vAlign w:val="center"/>
          </w:tcPr>
          <w:p w14:paraId="7831BC19">
            <w:pPr>
              <w:spacing w:before="0" w:after="0" w:line="240" w:lineRule="auto"/>
              <w:jc w:val="left"/>
            </w:pPr>
            <w:r>
              <w:rPr>
                <w:rFonts w:ascii="Times New Roman" w:hAnsi="Times New Roman" w:eastAsia="Times New Roman"/>
                <w:b w:val="0"/>
                <w:sz w:val="14"/>
              </w:rPr>
              <w:t>Recorded as the raw post-test score.</w:t>
            </w:r>
          </w:p>
        </w:tc>
        <w:tc>
          <w:tcPr>
            <w:tcW w:w="3240" w:type="dxa"/>
            <w:vAlign w:val="center"/>
          </w:tcPr>
          <w:p w14:paraId="14E6139D">
            <w:pPr>
              <w:spacing w:before="0" w:after="0" w:line="240" w:lineRule="auto"/>
              <w:jc w:val="left"/>
            </w:pPr>
            <w:r>
              <w:rPr>
                <w:rFonts w:ascii="Times New Roman" w:hAnsi="Times New Roman" w:eastAsia="Times New Roman"/>
                <w:b w:val="0"/>
                <w:sz w:val="14"/>
              </w:rPr>
              <w:t>Used as the academic performance outcome; combined with the pre-test score to calculate score gain.</w:t>
            </w:r>
          </w:p>
        </w:tc>
      </w:tr>
      <w:tr w14:paraId="0243B43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1584" w:type="dxa"/>
            <w:vAlign w:val="center"/>
          </w:tcPr>
          <w:p w14:paraId="32AC29E0">
            <w:pPr>
              <w:spacing w:before="0" w:after="0" w:line="240" w:lineRule="auto"/>
              <w:jc w:val="left"/>
            </w:pPr>
            <w:r>
              <w:rPr>
                <w:rFonts w:ascii="Times New Roman" w:hAnsi="Times New Roman" w:eastAsia="Times New Roman"/>
                <w:b w:val="0"/>
                <w:sz w:val="14"/>
              </w:rPr>
              <w:t>Score gain</w:t>
            </w:r>
          </w:p>
        </w:tc>
        <w:tc>
          <w:tcPr>
            <w:tcW w:w="892" w:type="dxa"/>
            <w:vAlign w:val="center"/>
          </w:tcPr>
          <w:p w14:paraId="3B0C7D34">
            <w:pPr>
              <w:spacing w:before="0" w:after="0" w:line="240" w:lineRule="auto"/>
              <w:jc w:val="left"/>
            </w:pPr>
            <w:r>
              <w:rPr>
                <w:rFonts w:ascii="Times New Roman" w:hAnsi="Times New Roman" w:eastAsia="Times New Roman"/>
                <w:b w:val="0"/>
                <w:sz w:val="14"/>
              </w:rPr>
              <w:t>PP</w:t>
            </w:r>
          </w:p>
        </w:tc>
        <w:tc>
          <w:tcPr>
            <w:tcW w:w="1555" w:type="dxa"/>
            <w:vAlign w:val="center"/>
          </w:tcPr>
          <w:p w14:paraId="273AD407">
            <w:pPr>
              <w:spacing w:before="0" w:after="0" w:line="240" w:lineRule="auto"/>
              <w:jc w:val="left"/>
            </w:pPr>
            <w:r>
              <w:rPr>
                <w:rFonts w:ascii="Times New Roman" w:hAnsi="Times New Roman" w:eastAsia="Times New Roman"/>
                <w:b w:val="0"/>
                <w:sz w:val="14"/>
              </w:rPr>
              <w:t>Continuous variable; derived variable</w:t>
            </w:r>
          </w:p>
        </w:tc>
        <w:tc>
          <w:tcPr>
            <w:tcW w:w="1612" w:type="dxa"/>
            <w:vAlign w:val="center"/>
          </w:tcPr>
          <w:p w14:paraId="590465E2">
            <w:pPr>
              <w:spacing w:before="0" w:after="0" w:line="240" w:lineRule="auto"/>
              <w:jc w:val="left"/>
            </w:pPr>
            <w:r>
              <w:rPr>
                <w:rFonts w:ascii="Times New Roman" w:hAnsi="Times New Roman" w:eastAsia="Times New Roman"/>
                <w:b w:val="0"/>
                <w:sz w:val="14"/>
              </w:rPr>
              <w:t>Calculated from PR and PO</w:t>
            </w:r>
          </w:p>
        </w:tc>
        <w:tc>
          <w:tcPr>
            <w:tcW w:w="2951" w:type="dxa"/>
            <w:vAlign w:val="center"/>
          </w:tcPr>
          <w:p w14:paraId="1A8E680D">
            <w:pPr>
              <w:spacing w:before="0" w:after="0" w:line="240" w:lineRule="auto"/>
              <w:jc w:val="left"/>
            </w:pPr>
            <w:r>
              <w:rPr>
                <w:rFonts w:ascii="Times New Roman" w:hAnsi="Times New Roman" w:eastAsia="Times New Roman"/>
                <w:b w:val="0"/>
                <w:sz w:val="14"/>
              </w:rPr>
              <w:t>The change in students’ performance from pre-test to post-test.</w:t>
            </w:r>
          </w:p>
        </w:tc>
        <w:tc>
          <w:tcPr>
            <w:tcW w:w="3283" w:type="dxa"/>
            <w:vAlign w:val="center"/>
          </w:tcPr>
          <w:p w14:paraId="04A8B39C">
            <w:pPr>
              <w:spacing w:before="0" w:after="0" w:line="240" w:lineRule="auto"/>
              <w:jc w:val="left"/>
            </w:pPr>
            <w:r>
              <w:rPr>
                <w:rFonts w:ascii="Times New Roman" w:hAnsi="Times New Roman" w:eastAsia="Times New Roman"/>
                <w:b w:val="0"/>
                <w:sz w:val="14"/>
              </w:rPr>
              <w:t>PP = PO − PR.</w:t>
            </w:r>
          </w:p>
        </w:tc>
        <w:tc>
          <w:tcPr>
            <w:tcW w:w="3240" w:type="dxa"/>
            <w:vAlign w:val="center"/>
          </w:tcPr>
          <w:p w14:paraId="03A7C165">
            <w:pPr>
              <w:spacing w:before="0" w:after="0" w:line="240" w:lineRule="auto"/>
              <w:jc w:val="left"/>
            </w:pPr>
            <w:r>
              <w:rPr>
                <w:rFonts w:ascii="Times New Roman" w:hAnsi="Times New Roman" w:eastAsia="Times New Roman"/>
                <w:b w:val="0"/>
                <w:sz w:val="14"/>
              </w:rPr>
              <w:t>A derived difference-score variable used to describe or compare learning improvement.</w:t>
            </w:r>
          </w:p>
        </w:tc>
      </w:tr>
    </w:tbl>
    <w:p w14:paraId="4F8DCAA7">
      <w:pPr>
        <w:spacing w:before="80" w:after="160" w:line="252" w:lineRule="auto"/>
      </w:pPr>
      <w:r>
        <w:rPr>
          <w:rFonts w:ascii="Times New Roman" w:hAnsi="Times New Roman" w:eastAsia="Times New Roman"/>
          <w:b/>
          <w:sz w:val="20"/>
        </w:rPr>
        <w:t xml:space="preserve">Remark: </w:t>
      </w:r>
      <w:r>
        <w:rPr>
          <w:rFonts w:ascii="Times New Roman" w:hAnsi="Times New Roman" w:eastAsia="Times New Roman"/>
          <w:sz w:val="20"/>
        </w:rPr>
        <w:t>In the current manuscript results, SP, NE, and CL are treated as continuous composite scale variables. If the original data use item means, the manuscript should state that “item responses were averaged”; if total scores are used, it should state that “item responses were summed.”</w:t>
      </w:r>
    </w:p>
    <w:p w14:paraId="5CB2C755">
      <w:pPr>
        <w:pStyle w:val="3"/>
        <w:spacing w:line="252" w:lineRule="auto"/>
      </w:pPr>
      <w:r>
        <w:rPr>
          <w:rFonts w:ascii="Times New Roman" w:hAnsi="Times New Roman" w:eastAsia="Times New Roman"/>
          <w:b/>
          <w:sz w:val="28"/>
        </w:rPr>
        <w:t>3. Qualitative Coding Table</w:t>
      </w:r>
    </w:p>
    <w:p w14:paraId="31AF67B9">
      <w:pPr>
        <w:spacing w:after="80" w:line="252" w:lineRule="auto"/>
        <w:jc w:val="center"/>
      </w:pPr>
      <w:r>
        <w:rPr>
          <w:rFonts w:ascii="Times New Roman" w:hAnsi="Times New Roman" w:eastAsia="Times New Roman"/>
          <w:b/>
          <w:sz w:val="20"/>
        </w:rPr>
        <w:t>Table 3. Qualitative Coding Table</w:t>
      </w:r>
    </w:p>
    <w:tbl>
      <w:tblPr>
        <w:tblStyle w:val="33"/>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564"/>
        <w:gridCol w:w="3564"/>
        <w:gridCol w:w="3564"/>
        <w:gridCol w:w="3564"/>
      </w:tblGrid>
      <w:tr w14:paraId="7B92A56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tblHeader/>
          <w:jc w:val="center"/>
        </w:trPr>
        <w:tc>
          <w:tcPr>
            <w:tcW w:w="2376" w:type="dxa"/>
            <w:shd w:val="clear" w:color="auto" w:fill="D9EAF7"/>
            <w:vAlign w:val="center"/>
          </w:tcPr>
          <w:p w14:paraId="55A1A3DF">
            <w:pPr>
              <w:spacing w:before="0" w:after="0" w:line="240" w:lineRule="auto"/>
              <w:jc w:val="center"/>
            </w:pPr>
            <w:r>
              <w:rPr>
                <w:rFonts w:ascii="Times New Roman" w:hAnsi="Times New Roman" w:eastAsia="Times New Roman"/>
                <w:b/>
                <w:sz w:val="16"/>
              </w:rPr>
              <w:t>Theme</w:t>
            </w:r>
          </w:p>
        </w:tc>
        <w:tc>
          <w:tcPr>
            <w:tcW w:w="3671" w:type="dxa"/>
            <w:shd w:val="clear" w:color="auto" w:fill="D9EAF7"/>
            <w:vAlign w:val="center"/>
          </w:tcPr>
          <w:p w14:paraId="2169850D">
            <w:pPr>
              <w:spacing w:before="0" w:after="0" w:line="240" w:lineRule="auto"/>
              <w:jc w:val="center"/>
            </w:pPr>
            <w:r>
              <w:rPr>
                <w:rFonts w:ascii="Times New Roman" w:hAnsi="Times New Roman" w:eastAsia="Times New Roman"/>
                <w:b/>
                <w:sz w:val="16"/>
              </w:rPr>
              <w:t>Initial Codes</w:t>
            </w:r>
          </w:p>
        </w:tc>
        <w:tc>
          <w:tcPr>
            <w:tcW w:w="4680" w:type="dxa"/>
            <w:shd w:val="clear" w:color="auto" w:fill="D9EAF7"/>
            <w:vAlign w:val="center"/>
          </w:tcPr>
          <w:p w14:paraId="39256638">
            <w:pPr>
              <w:spacing w:before="0" w:after="0" w:line="240" w:lineRule="auto"/>
              <w:jc w:val="center"/>
            </w:pPr>
            <w:r>
              <w:rPr>
                <w:rFonts w:ascii="Times New Roman" w:hAnsi="Times New Roman" w:eastAsia="Times New Roman"/>
                <w:b/>
                <w:sz w:val="16"/>
              </w:rPr>
              <w:t>Definition</w:t>
            </w:r>
          </w:p>
        </w:tc>
        <w:tc>
          <w:tcPr>
            <w:tcW w:w="4392" w:type="dxa"/>
            <w:shd w:val="clear" w:color="auto" w:fill="D9EAF7"/>
            <w:vAlign w:val="center"/>
          </w:tcPr>
          <w:p w14:paraId="1ABE1E0E">
            <w:pPr>
              <w:spacing w:before="0" w:after="0" w:line="240" w:lineRule="auto"/>
              <w:jc w:val="center"/>
            </w:pPr>
            <w:r>
              <w:rPr>
                <w:rFonts w:ascii="Times New Roman" w:hAnsi="Times New Roman" w:eastAsia="Times New Roman"/>
                <w:b/>
                <w:sz w:val="16"/>
              </w:rPr>
              <w:t>Typical Interpretation</w:t>
            </w:r>
          </w:p>
        </w:tc>
      </w:tr>
      <w:tr w14:paraId="40A8885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vAlign w:val="center"/>
          </w:tcPr>
          <w:p w14:paraId="0F746BBE">
            <w:pPr>
              <w:spacing w:before="0" w:after="0" w:line="240" w:lineRule="auto"/>
              <w:jc w:val="left"/>
            </w:pPr>
            <w:r>
              <w:rPr>
                <w:rFonts w:ascii="Times New Roman" w:hAnsi="Times New Roman" w:eastAsia="Times New Roman"/>
                <w:b w:val="0"/>
                <w:sz w:val="16"/>
              </w:rPr>
              <w:t>Task support and structural review</w:t>
            </w:r>
          </w:p>
        </w:tc>
        <w:tc>
          <w:tcPr>
            <w:tcW w:w="3671" w:type="dxa"/>
            <w:vAlign w:val="center"/>
          </w:tcPr>
          <w:p w14:paraId="12FF28CD">
            <w:pPr>
              <w:spacing w:before="0" w:after="0" w:line="240" w:lineRule="auto"/>
              <w:jc w:val="left"/>
            </w:pPr>
            <w:r>
              <w:rPr>
                <w:rFonts w:ascii="Times New Roman" w:hAnsi="Times New Roman" w:eastAsia="Times New Roman"/>
                <w:b w:val="0"/>
                <w:sz w:val="16"/>
              </w:rPr>
              <w:t>Knowledge supplementation; case provision; organization of scattered ideas; identification of missing details</w:t>
            </w:r>
          </w:p>
        </w:tc>
        <w:tc>
          <w:tcPr>
            <w:tcW w:w="4680" w:type="dxa"/>
            <w:vAlign w:val="center"/>
          </w:tcPr>
          <w:p w14:paraId="189002F2">
            <w:pPr>
              <w:spacing w:before="0" w:after="0" w:line="240" w:lineRule="auto"/>
              <w:jc w:val="left"/>
            </w:pPr>
            <w:r>
              <w:rPr>
                <w:rFonts w:ascii="Times New Roman" w:hAnsi="Times New Roman" w:eastAsia="Times New Roman"/>
                <w:b w:val="0"/>
                <w:sz w:val="16"/>
              </w:rPr>
              <w:t>AI helped students improve the instructional design content, supplement knowledge and cases, and enhance the structural quality of group products.</w:t>
            </w:r>
          </w:p>
        </w:tc>
        <w:tc>
          <w:tcPr>
            <w:tcW w:w="4392" w:type="dxa"/>
            <w:vAlign w:val="center"/>
          </w:tcPr>
          <w:p w14:paraId="206C948E">
            <w:pPr>
              <w:spacing w:before="0" w:after="0" w:line="240" w:lineRule="auto"/>
              <w:jc w:val="left"/>
            </w:pPr>
            <w:r>
              <w:rPr>
                <w:rFonts w:ascii="Times New Roman" w:hAnsi="Times New Roman" w:eastAsia="Times New Roman"/>
                <w:b w:val="0"/>
                <w:sz w:val="16"/>
              </w:rPr>
              <w:t>AI mainly functioned as a task supporter and structure organizer rather than an executor replacing group members.</w:t>
            </w:r>
          </w:p>
        </w:tc>
      </w:tr>
      <w:tr w14:paraId="1E045CD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vAlign w:val="center"/>
          </w:tcPr>
          <w:p w14:paraId="097C9255">
            <w:pPr>
              <w:spacing w:before="0" w:after="0" w:line="240" w:lineRule="auto"/>
              <w:jc w:val="left"/>
            </w:pPr>
            <w:r>
              <w:rPr>
                <w:rFonts w:ascii="Times New Roman" w:hAnsi="Times New Roman" w:eastAsia="Times New Roman"/>
                <w:b w:val="0"/>
                <w:sz w:val="16"/>
              </w:rPr>
              <w:t>Launching and advancing collaboration</w:t>
            </w:r>
          </w:p>
        </w:tc>
        <w:tc>
          <w:tcPr>
            <w:tcW w:w="3671" w:type="dxa"/>
            <w:vAlign w:val="center"/>
          </w:tcPr>
          <w:p w14:paraId="108D0C04">
            <w:pPr>
              <w:spacing w:before="0" w:after="0" w:line="240" w:lineRule="auto"/>
              <w:jc w:val="left"/>
            </w:pPr>
            <w:r>
              <w:rPr>
                <w:rFonts w:ascii="Times New Roman" w:hAnsi="Times New Roman" w:eastAsia="Times New Roman"/>
                <w:b w:val="0"/>
                <w:sz w:val="16"/>
              </w:rPr>
              <w:t>Discussion prompts; shared reference points; breaking silence; lowering the threshold for participation</w:t>
            </w:r>
          </w:p>
        </w:tc>
        <w:tc>
          <w:tcPr>
            <w:tcW w:w="4680" w:type="dxa"/>
            <w:vAlign w:val="center"/>
          </w:tcPr>
          <w:p w14:paraId="1AA74EBB">
            <w:pPr>
              <w:spacing w:before="0" w:after="0" w:line="240" w:lineRule="auto"/>
              <w:jc w:val="left"/>
            </w:pPr>
            <w:r>
              <w:rPr>
                <w:rFonts w:ascii="Times New Roman" w:hAnsi="Times New Roman" w:eastAsia="Times New Roman"/>
                <w:b w:val="0"/>
                <w:sz w:val="16"/>
              </w:rPr>
              <w:t>AI provided entry points at the beginning of discussions or when groups became stuck, making it easier for students to initiate communication and maintain collaboration.</w:t>
            </w:r>
          </w:p>
        </w:tc>
        <w:tc>
          <w:tcPr>
            <w:tcW w:w="4392" w:type="dxa"/>
            <w:vAlign w:val="center"/>
          </w:tcPr>
          <w:p w14:paraId="51DE4D36">
            <w:pPr>
              <w:spacing w:before="0" w:after="0" w:line="240" w:lineRule="auto"/>
              <w:jc w:val="left"/>
            </w:pPr>
            <w:r>
              <w:rPr>
                <w:rFonts w:ascii="Times New Roman" w:hAnsi="Times New Roman" w:eastAsia="Times New Roman"/>
                <w:b w:val="0"/>
                <w:sz w:val="16"/>
              </w:rPr>
              <w:t>AI mainly functioned as a collaboration initiator and discussion facilitator.</w:t>
            </w:r>
          </w:p>
        </w:tc>
      </w:tr>
      <w:tr w14:paraId="14F95F1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vAlign w:val="center"/>
          </w:tcPr>
          <w:p w14:paraId="49122A1B">
            <w:pPr>
              <w:spacing w:before="0" w:after="0" w:line="240" w:lineRule="auto"/>
              <w:jc w:val="left"/>
            </w:pPr>
            <w:r>
              <w:rPr>
                <w:rFonts w:ascii="Times New Roman" w:hAnsi="Times New Roman" w:eastAsia="Times New Roman"/>
                <w:b w:val="0"/>
                <w:sz w:val="16"/>
              </w:rPr>
              <w:t>Response style and willingness to express ideas</w:t>
            </w:r>
          </w:p>
        </w:tc>
        <w:tc>
          <w:tcPr>
            <w:tcW w:w="3671" w:type="dxa"/>
            <w:vAlign w:val="center"/>
          </w:tcPr>
          <w:p w14:paraId="483C24B7">
            <w:pPr>
              <w:spacing w:before="0" w:after="0" w:line="240" w:lineRule="auto"/>
              <w:jc w:val="left"/>
            </w:pPr>
            <w:r>
              <w:rPr>
                <w:rFonts w:ascii="Times New Roman" w:hAnsi="Times New Roman" w:eastAsia="Times New Roman"/>
                <w:b w:val="0"/>
                <w:sz w:val="16"/>
              </w:rPr>
              <w:t>Open-ended prompts; multiple-option suggestions; standard-answer effect; task-irrelevant responses</w:t>
            </w:r>
          </w:p>
        </w:tc>
        <w:tc>
          <w:tcPr>
            <w:tcW w:w="4680" w:type="dxa"/>
            <w:vAlign w:val="center"/>
          </w:tcPr>
          <w:p w14:paraId="164D7E2A">
            <w:pPr>
              <w:spacing w:before="0" w:after="0" w:line="240" w:lineRule="auto"/>
              <w:jc w:val="left"/>
            </w:pPr>
            <w:r>
              <w:rPr>
                <w:rFonts w:ascii="Times New Roman" w:hAnsi="Times New Roman" w:eastAsia="Times New Roman"/>
                <w:b w:val="0"/>
                <w:sz w:val="16"/>
              </w:rPr>
              <w:t>Open-ended, probing, or multiple-option AI responses were more likely to stimulate expression, whereas overly complete, overly definitive, or task-deviating responses could reduce students’ willingness to continue expressing ideas.</w:t>
            </w:r>
          </w:p>
        </w:tc>
        <w:tc>
          <w:tcPr>
            <w:tcW w:w="4392" w:type="dxa"/>
            <w:vAlign w:val="center"/>
          </w:tcPr>
          <w:p w14:paraId="655613AC">
            <w:pPr>
              <w:spacing w:before="0" w:after="0" w:line="240" w:lineRule="auto"/>
              <w:jc w:val="left"/>
            </w:pPr>
            <w:r>
              <w:rPr>
                <w:rFonts w:ascii="Times New Roman" w:hAnsi="Times New Roman" w:eastAsia="Times New Roman"/>
                <w:b w:val="0"/>
                <w:sz w:val="16"/>
              </w:rPr>
              <w:t>The way AI responded affected whether students were willing to continue proposing views, adding opinions, or participating in discussion.</w:t>
            </w:r>
          </w:p>
        </w:tc>
      </w:tr>
      <w:tr w14:paraId="55384EB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0" w:type="dxa"/>
            <w:left w:w="108" w:type="dxa"/>
            <w:bottom w:w="0" w:type="dxa"/>
            <w:right w:w="108" w:type="dxa"/>
          </w:tblCellMar>
        </w:tblPrEx>
        <w:trPr>
          <w:cantSplit/>
          <w:jc w:val="center"/>
        </w:trPr>
        <w:tc>
          <w:tcPr>
            <w:tcW w:w="2376" w:type="dxa"/>
            <w:vAlign w:val="center"/>
          </w:tcPr>
          <w:p w14:paraId="0368D7CF">
            <w:pPr>
              <w:spacing w:before="0" w:after="0" w:line="240" w:lineRule="auto"/>
              <w:jc w:val="left"/>
            </w:pPr>
            <w:r>
              <w:rPr>
                <w:rFonts w:ascii="Times New Roman" w:hAnsi="Times New Roman" w:eastAsia="Times New Roman"/>
                <w:b w:val="0"/>
                <w:sz w:val="16"/>
              </w:rPr>
              <w:t>Timing and limitations of intervention</w:t>
            </w:r>
          </w:p>
        </w:tc>
        <w:tc>
          <w:tcPr>
            <w:tcW w:w="3671" w:type="dxa"/>
            <w:vAlign w:val="center"/>
          </w:tcPr>
          <w:p w14:paraId="2CCF60EE">
            <w:pPr>
              <w:spacing w:before="0" w:after="0" w:line="240" w:lineRule="auto"/>
              <w:jc w:val="left"/>
            </w:pPr>
            <w:r>
              <w:rPr>
                <w:rFonts w:ascii="Times New Roman" w:hAnsi="Times New Roman" w:eastAsia="Times New Roman"/>
                <w:b w:val="0"/>
                <w:sz w:val="16"/>
              </w:rPr>
              <w:t>Proactive support in the initial stage; stepping back after the group direction became clear; contextual discontinuity; adaptability of response style</w:t>
            </w:r>
          </w:p>
        </w:tc>
        <w:tc>
          <w:tcPr>
            <w:tcW w:w="4680" w:type="dxa"/>
            <w:vAlign w:val="center"/>
          </w:tcPr>
          <w:p w14:paraId="59E996DB">
            <w:pPr>
              <w:spacing w:before="0" w:after="0" w:line="240" w:lineRule="auto"/>
              <w:jc w:val="left"/>
            </w:pPr>
            <w:r>
              <w:rPr>
                <w:rFonts w:ascii="Times New Roman" w:hAnsi="Times New Roman" w:eastAsia="Times New Roman"/>
                <w:b w:val="0"/>
                <w:sz w:val="16"/>
              </w:rPr>
              <w:t>Students expected AI to intervene proactively when they lacked ideas, encountered silence, deviated from the task, or reached a discussion impasse, but preferred less intervention when the group had a clear direction or was engaged in in-depth negotiation.</w:t>
            </w:r>
          </w:p>
        </w:tc>
        <w:tc>
          <w:tcPr>
            <w:tcW w:w="4392" w:type="dxa"/>
            <w:vAlign w:val="center"/>
          </w:tcPr>
          <w:p w14:paraId="612C0B2E">
            <w:pPr>
              <w:spacing w:before="0" w:after="0" w:line="240" w:lineRule="auto"/>
              <w:jc w:val="left"/>
            </w:pPr>
            <w:r>
              <w:rPr>
                <w:rFonts w:ascii="Times New Roman" w:hAnsi="Times New Roman" w:eastAsia="Times New Roman"/>
                <w:b w:val="0"/>
                <w:sz w:val="16"/>
              </w:rPr>
              <w:t>AI needs contextual sensitivity and should adjust its level of intervention according to the collaboration stage and group needs.</w:t>
            </w:r>
          </w:p>
        </w:tc>
      </w:tr>
    </w:tbl>
    <w:p w14:paraId="5CE048FA">
      <w:pPr>
        <w:spacing w:before="80" w:after="160" w:line="252" w:lineRule="auto"/>
      </w:pPr>
      <w:r>
        <w:rPr>
          <w:rFonts w:ascii="Times New Roman" w:hAnsi="Times New Roman" w:eastAsia="Times New Roman"/>
          <w:b/>
          <w:sz w:val="20"/>
        </w:rPr>
        <w:t xml:space="preserve">Remark: </w:t>
      </w:r>
      <w:r>
        <w:rPr>
          <w:rFonts w:ascii="Times New Roman" w:hAnsi="Times New Roman" w:eastAsia="Times New Roman"/>
          <w:sz w:val="20"/>
        </w:rPr>
        <w:t>The qualitative data were analyzed using an RQ-guided inductive thematic analysis. Interview transcripts were first coded by meaning units, and the initial codes were then grouped into themes based on conceptual similarity. Under the current manuscript design, the interview data were not transformed into numeric variables; they were mainly used to explain and supplement the quantitative findings.</w:t>
      </w:r>
    </w:p>
    <w:sectPr>
      <w:footerReference r:id="rId5" w:type="default"/>
      <w:pgSz w:w="15840" w:h="12240"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4D9E6">
    <w:pPr>
      <w:pStyle w:val="24"/>
      <w:jc w:val="center"/>
    </w:pPr>
    <w:r>
      <w:rPr>
        <w:rFonts w:ascii="Times New Roman" w:hAnsi="Times New Roman" w:eastAsia="Times New Roman"/>
        <w:sz w:val="16"/>
      </w:rPr>
      <w:t>Data Collection Procedures and Variable Coding Scheme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AF62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992</Words>
  <Characters>6294</Characters>
  <Lines>0</Lines>
  <Paragraphs>0</Paragraphs>
  <TotalTime>0</TotalTime>
  <ScaleCrop>false</ScaleCrop>
  <LinksUpToDate>false</LinksUpToDate>
  <CharactersWithSpaces>7181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Sh1va</cp:lastModifiedBy>
  <dcterms:modified xsi:type="dcterms:W3CDTF">2026-05-25T14:09:12Z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eyJoZGlkIjoiMWFkYzdjMGNjYjRkYTU2MjU1YWM4OGY2MjIyNmMwMTIiLCJ1c2VySWQiOiIxMTM1MTU3OTY2In0=</vt:lpwstr>
  </property>
  <property fmtid="{D5CDD505-2E9C-101B-9397-08002B2CF9AE}" pid="3" name="KSOProductBuildVer">
    <vt:lpwstr>2052-12.1.0.26375</vt:lpwstr>
  </property>
  <property fmtid="{D5CDD505-2E9C-101B-9397-08002B2CF9AE}" pid="4" name="ICV">
    <vt:lpwstr>01777FF0D21C4DBBAE2217057D8FEBB4_12</vt:lpwstr>
  </property>
</Properties>
</file>