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80"/>
        <w:jc w:val="center"/>
      </w:pPr>
      <w:r>
        <w:rPr>
          <w:rFonts w:ascii="Times New Roman" w:hAnsi="Times New Roman"/>
          <w:b/>
          <w:sz w:val="32"/>
        </w:rPr>
        <w:t>ACKNOWLEDGEMENT</w:t>
      </w:r>
    </w:p>
    <w:p>
      <w:pPr>
        <w:spacing w:line="312" w:lineRule="auto" w:after="200"/>
        <w:jc w:val="both"/>
      </w:pPr>
      <w:r>
        <w:rPr>
          <w:rFonts w:ascii="Times New Roman" w:hAnsi="Times New Roman"/>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pPr>
        <w:spacing w:line="312" w:lineRule="auto" w:after="200"/>
        <w:jc w:val="both"/>
      </w:pPr>
      <w:r>
        <w:rPr>
          <w:rFonts w:ascii="Times New Roman" w:hAnsi="Times New Roman"/>
          <w:sz w:val="24"/>
        </w:rPr>
        <w:t xml:space="preserve">It is indeed our great honor bounded duty to thank our beloved </w:t>
      </w:r>
      <w:r>
        <w:rPr>
          <w:rFonts w:ascii="Times New Roman" w:hAnsi="Times New Roman"/>
          <w:b/>
          <w:sz w:val="24"/>
        </w:rPr>
        <w:t>Chairman Mr. R. Mohanram</w:t>
      </w:r>
      <w:r>
        <w:rPr>
          <w:rFonts w:ascii="Times New Roman" w:hAnsi="Times New Roman"/>
          <w:sz w:val="24"/>
        </w:rPr>
        <w:t xml:space="preserve">, for his academic interest towards the students. We are in debted to our </w:t>
      </w:r>
      <w:r>
        <w:rPr>
          <w:rFonts w:ascii="Times New Roman" w:hAnsi="Times New Roman"/>
          <w:b/>
          <w:sz w:val="24"/>
        </w:rPr>
        <w:t>Director Mr. R. Rajaram</w:t>
      </w:r>
      <w:r>
        <w:rPr>
          <w:rFonts w:ascii="Times New Roman" w:hAnsi="Times New Roman"/>
          <w:sz w:val="24"/>
        </w:rPr>
        <w:t>, for motivating and providing us with all facilities.</w:t>
      </w:r>
    </w:p>
    <w:p>
      <w:pPr>
        <w:spacing w:line="312" w:lineRule="auto" w:after="200"/>
        <w:jc w:val="both"/>
      </w:pPr>
      <w:r>
        <w:rPr>
          <w:rFonts w:ascii="Times New Roman" w:hAnsi="Times New Roman"/>
          <w:sz w:val="24"/>
        </w:rPr>
        <w:t xml:space="preserve">We wish to express our sincere regards and deep sense of gratitude to </w:t>
      </w:r>
      <w:r>
        <w:rPr>
          <w:rFonts w:ascii="Times New Roman" w:hAnsi="Times New Roman"/>
          <w:b/>
          <w:sz w:val="24"/>
        </w:rPr>
        <w:t>Dr.Sudha Mohanram M.E, Ph.D. Principal</w:t>
      </w:r>
      <w:r>
        <w:rPr>
          <w:rFonts w:ascii="Times New Roman" w:hAnsi="Times New Roman"/>
          <w:sz w:val="24"/>
        </w:rPr>
        <w:t>, for the excellent facilities and encouragement provided during the course of the study and project.</w:t>
      </w:r>
    </w:p>
    <w:p>
      <w:pPr>
        <w:spacing w:line="312" w:lineRule="auto" w:after="200"/>
        <w:jc w:val="both"/>
      </w:pPr>
      <w:r>
        <w:rPr>
          <w:rFonts w:ascii="Times New Roman" w:hAnsi="Times New Roman"/>
          <w:sz w:val="24"/>
        </w:rPr>
        <w:t xml:space="preserve">We are indebted to </w:t>
      </w:r>
      <w:r>
        <w:rPr>
          <w:rFonts w:ascii="Times New Roman" w:hAnsi="Times New Roman"/>
          <w:b/>
          <w:sz w:val="24"/>
        </w:rPr>
        <w:t>Dr.S.Siamala Devi, ME., Ph.D.</w:t>
      </w:r>
      <w:r>
        <w:rPr>
          <w:rFonts w:ascii="Times New Roman" w:hAnsi="Times New Roman"/>
          <w:sz w:val="24"/>
        </w:rPr>
        <w:t xml:space="preserve"> Head of Information Technology Department for having permitted us to carry out this project and giving the complete freedom to utilize the resources of the department.</w:t>
      </w:r>
    </w:p>
    <w:p>
      <w:pPr>
        <w:spacing w:line="312" w:lineRule="auto" w:after="200"/>
        <w:jc w:val="both"/>
      </w:pPr>
      <w:r>
        <w:rPr>
          <w:rFonts w:ascii="Times New Roman" w:hAnsi="Times New Roman"/>
          <w:sz w:val="24"/>
        </w:rPr>
        <w:t xml:space="preserve">We express our sincere thanks to our project Co-ordinator </w:t>
      </w:r>
      <w:r>
        <w:rPr>
          <w:rFonts w:ascii="Times New Roman" w:hAnsi="Times New Roman"/>
          <w:b/>
          <w:sz w:val="24"/>
        </w:rPr>
        <w:t>Mr.C.Vasanthakumar, M.E., (Ph.D)</w:t>
      </w:r>
      <w:r>
        <w:rPr>
          <w:rFonts w:ascii="Times New Roman" w:hAnsi="Times New Roman"/>
          <w:sz w:val="24"/>
        </w:rPr>
        <w:t xml:space="preserve"> Assistant Professor, Department of Information Technology for providing us his support and guidance and encouragement given to us for this project.</w:t>
      </w:r>
    </w:p>
    <w:p>
      <w:pPr>
        <w:spacing w:line="312" w:lineRule="auto" w:after="200"/>
        <w:jc w:val="both"/>
      </w:pPr>
      <w:r>
        <w:rPr>
          <w:rFonts w:ascii="Times New Roman" w:hAnsi="Times New Roman"/>
          <w:sz w:val="24"/>
        </w:rPr>
        <w:t xml:space="preserve">We also extend our heartfelt thanks to our Project Guide </w:t>
      </w:r>
      <w:r>
        <w:rPr>
          <w:rFonts w:ascii="Times New Roman" w:hAnsi="Times New Roman"/>
          <w:b/>
          <w:sz w:val="24"/>
        </w:rPr>
        <w:t>Dr. S. Siamala Devi, ME., Ph.D.,</w:t>
      </w:r>
      <w:r>
        <w:rPr>
          <w:rFonts w:ascii="Times New Roman" w:hAnsi="Times New Roman"/>
          <w:sz w:val="24"/>
        </w:rPr>
        <w:t>Head of the Department, Department of Information Technology for providing us his support and guidance which really helped us.</w:t>
      </w:r>
    </w:p>
    <w:p>
      <w:pPr>
        <w:spacing w:line="312" w:lineRule="auto" w:after="200"/>
        <w:jc w:val="both"/>
      </w:pPr>
      <w:r>
        <w:rPr>
          <w:rFonts w:ascii="Times New Roman" w:hAnsi="Times New Roman"/>
          <w:sz w:val="24"/>
        </w:rPr>
        <w:t>We solemnly express our thanks to all the teaching and non-teaching staff of the Information Technology Department, family and friends for their valuable support which inspired us to work on this project.</w:t>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49</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51</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and Offline Vector Map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Emergency SOS Standby and Broadcast Activation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bl>
    <w:p>
      <w:r>
        <w:br w:type="page"/>
      </w:r>
    </w:p>
    <w:p>
      <w:pPr>
        <w:spacing w:before="80" w:after="200"/>
        <w:jc w:val="center"/>
      </w:pPr>
      <w:r>
        <w:rPr>
          <w:b/>
        </w:rPr>
        <w:t>LIST OF ABBREVIATIONS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24"/>
        <w:gridCol w:w="5024"/>
      </w:tblGrid>
      <w:tr>
        <w:trPr>
          <w:cantSplit/>
        </w:trPr>
        <w:tc>
          <w:tcPr>
            <w:tcW w:type="dxa" w:w="2592"/>
            <w:vAlign w:val="center"/>
            <w:tcMar>
              <w:top w:w="120" w:type="dxa"/>
              <w:left w:w="160" w:type="dxa"/>
              <w:bottom w:w="120" w:type="dxa"/>
              <w:right w:w="160" w:type="dxa"/>
            </w:tcMar>
          </w:tcPr>
          <w:p>
            <w:r>
              <w:rPr>
                <w:b/>
              </w:rPr>
              <w:t>ABBREVIATION</w:t>
            </w:r>
          </w:p>
        </w:tc>
        <w:tc>
          <w:tcPr>
            <w:tcW w:type="dxa" w:w="6912"/>
            <w:vAlign w:val="center"/>
            <w:tcMar>
              <w:top w:w="120" w:type="dxa"/>
              <w:left w:w="160" w:type="dxa"/>
              <w:bottom w:w="120" w:type="dxa"/>
              <w:right w:w="160" w:type="dxa"/>
            </w:tcMar>
          </w:tcPr>
          <w:p>
            <w:r>
              <w:rPr>
                <w:b/>
              </w:rPr>
              <w:t>EXPANSION &amp; DESCRIPTION</w:t>
            </w:r>
          </w:p>
        </w:tc>
      </w:tr>
      <w:tr>
        <w:trPr>
          <w:cantSplit/>
        </w:trPr>
        <w:tc>
          <w:tcPr>
            <w:tcW w:type="dxa" w:w="2592"/>
            <w:vAlign w:val="center"/>
            <w:tcMar>
              <w:top w:w="120" w:type="dxa"/>
              <w:left w:w="160" w:type="dxa"/>
              <w:bottom w:w="120" w:type="dxa"/>
              <w:right w:w="160" w:type="dxa"/>
            </w:tcMar>
          </w:tcPr>
          <w:p>
            <w:r>
              <w:rPr>
                <w:b/>
              </w:rPr>
              <w:t>BLE</w:t>
            </w:r>
          </w:p>
        </w:tc>
        <w:tc>
          <w:tcPr>
            <w:tcW w:type="dxa" w:w="6912"/>
            <w:vAlign w:val="center"/>
            <w:tcMar>
              <w:top w:w="120" w:type="dxa"/>
              <w:left w:w="160" w:type="dxa"/>
              <w:bottom w:w="120" w:type="dxa"/>
              <w:right w:w="160" w:type="dxa"/>
            </w:tcMar>
          </w:tcPr>
          <w:p>
            <w:r>
              <w:t>Bluetooth Low Energy (2.4 GHz ISM wireless radio standard)</w:t>
            </w:r>
          </w:p>
        </w:tc>
      </w:tr>
      <w:tr>
        <w:trPr>
          <w:cantSplit/>
        </w:trPr>
        <w:tc>
          <w:tcPr>
            <w:tcW w:type="dxa" w:w="2592"/>
            <w:vAlign w:val="center"/>
            <w:tcMar>
              <w:top w:w="120" w:type="dxa"/>
              <w:left w:w="160" w:type="dxa"/>
              <w:bottom w:w="120" w:type="dxa"/>
              <w:right w:w="160" w:type="dxa"/>
            </w:tcMar>
          </w:tcPr>
          <w:p>
            <w:r>
              <w:rPr>
                <w:b/>
              </w:rPr>
              <w:t>GNSS</w:t>
            </w:r>
          </w:p>
        </w:tc>
        <w:tc>
          <w:tcPr>
            <w:tcW w:type="dxa" w:w="6912"/>
            <w:vAlign w:val="center"/>
            <w:tcMar>
              <w:top w:w="120" w:type="dxa"/>
              <w:left w:w="160" w:type="dxa"/>
              <w:bottom w:w="120" w:type="dxa"/>
              <w:right w:w="160" w:type="dxa"/>
            </w:tcMar>
          </w:tcPr>
          <w:p>
            <w:r>
              <w:t>Global Navigation Satellite System (GPS, GLONASS, Galileo, BeiDou)</w:t>
            </w:r>
          </w:p>
        </w:tc>
      </w:tr>
      <w:tr>
        <w:trPr>
          <w:cantSplit/>
        </w:trPr>
        <w:tc>
          <w:tcPr>
            <w:tcW w:type="dxa" w:w="2592"/>
            <w:vAlign w:val="center"/>
            <w:tcMar>
              <w:top w:w="120" w:type="dxa"/>
              <w:left w:w="160" w:type="dxa"/>
              <w:bottom w:w="120" w:type="dxa"/>
              <w:right w:w="160" w:type="dxa"/>
            </w:tcMar>
          </w:tcPr>
          <w:p>
            <w:r>
              <w:rPr>
                <w:b/>
              </w:rPr>
              <w:t>GPS</w:t>
            </w:r>
          </w:p>
        </w:tc>
        <w:tc>
          <w:tcPr>
            <w:tcW w:type="dxa" w:w="6912"/>
            <w:vAlign w:val="center"/>
            <w:tcMar>
              <w:top w:w="120" w:type="dxa"/>
              <w:left w:w="160" w:type="dxa"/>
              <w:bottom w:w="120" w:type="dxa"/>
              <w:right w:w="160" w:type="dxa"/>
            </w:tcMar>
          </w:tcPr>
          <w:p>
            <w:r>
              <w:t>Global Positioning System (US Satellite Navigation Constellation)</w:t>
            </w:r>
          </w:p>
        </w:tc>
      </w:tr>
      <w:tr>
        <w:trPr>
          <w:cantSplit/>
        </w:trPr>
        <w:tc>
          <w:tcPr>
            <w:tcW w:type="dxa" w:w="2592"/>
            <w:vAlign w:val="center"/>
            <w:tcMar>
              <w:top w:w="120" w:type="dxa"/>
              <w:left w:w="160" w:type="dxa"/>
              <w:bottom w:w="120" w:type="dxa"/>
              <w:right w:w="160" w:type="dxa"/>
            </w:tcMar>
          </w:tcPr>
          <w:p>
            <w:r>
              <w:rPr>
                <w:b/>
              </w:rPr>
              <w:t>INS</w:t>
            </w:r>
          </w:p>
        </w:tc>
        <w:tc>
          <w:tcPr>
            <w:tcW w:type="dxa" w:w="6912"/>
            <w:vAlign w:val="center"/>
            <w:tcMar>
              <w:top w:w="120" w:type="dxa"/>
              <w:left w:w="160" w:type="dxa"/>
              <w:bottom w:w="120" w:type="dxa"/>
              <w:right w:w="160" w:type="dxa"/>
            </w:tcMar>
          </w:tcPr>
          <w:p>
            <w:r>
              <w:t>Inertial Navigation System (Strapdown accelerometer/gyroscope system)</w:t>
            </w:r>
          </w:p>
        </w:tc>
      </w:tr>
      <w:tr>
        <w:trPr>
          <w:cantSplit/>
        </w:trPr>
        <w:tc>
          <w:tcPr>
            <w:tcW w:type="dxa" w:w="2592"/>
            <w:vAlign w:val="center"/>
            <w:tcMar>
              <w:top w:w="120" w:type="dxa"/>
              <w:left w:w="160" w:type="dxa"/>
              <w:bottom w:w="120" w:type="dxa"/>
              <w:right w:w="160" w:type="dxa"/>
            </w:tcMar>
          </w:tcPr>
          <w:p>
            <w:r>
              <w:rPr>
                <w:b/>
              </w:rPr>
              <w:t>IMU</w:t>
            </w:r>
          </w:p>
        </w:tc>
        <w:tc>
          <w:tcPr>
            <w:tcW w:type="dxa" w:w="6912"/>
            <w:vAlign w:val="center"/>
            <w:tcMar>
              <w:top w:w="120" w:type="dxa"/>
              <w:left w:w="160" w:type="dxa"/>
              <w:bottom w:w="120" w:type="dxa"/>
              <w:right w:w="160" w:type="dxa"/>
            </w:tcMar>
          </w:tcPr>
          <w:p>
            <w:r>
              <w:t>Inertial Measurement Unit (Tri-axial multi-sensor hardware unit)</w:t>
            </w:r>
          </w:p>
        </w:tc>
      </w:tr>
      <w:tr>
        <w:trPr>
          <w:cantSplit/>
        </w:trPr>
        <w:tc>
          <w:tcPr>
            <w:tcW w:type="dxa" w:w="2592"/>
            <w:vAlign w:val="center"/>
            <w:tcMar>
              <w:top w:w="120" w:type="dxa"/>
              <w:left w:w="160" w:type="dxa"/>
              <w:bottom w:w="120" w:type="dxa"/>
              <w:right w:w="160" w:type="dxa"/>
            </w:tcMar>
          </w:tcPr>
          <w:p>
            <w:r>
              <w:rPr>
                <w:b/>
              </w:rPr>
              <w:t>PDR</w:t>
            </w:r>
          </w:p>
        </w:tc>
        <w:tc>
          <w:tcPr>
            <w:tcW w:type="dxa" w:w="6912"/>
            <w:vAlign w:val="center"/>
            <w:tcMar>
              <w:top w:w="120" w:type="dxa"/>
              <w:left w:w="160" w:type="dxa"/>
              <w:bottom w:w="120" w:type="dxa"/>
              <w:right w:w="160" w:type="dxa"/>
            </w:tcMar>
          </w:tcPr>
          <w:p>
            <w:r>
              <w:t>Pedestrian Dead Reckoning (Step-stride kinematic positioning method)</w:t>
            </w:r>
          </w:p>
        </w:tc>
      </w:tr>
      <w:tr>
        <w:trPr>
          <w:cantSplit/>
        </w:trPr>
        <w:tc>
          <w:tcPr>
            <w:tcW w:type="dxa" w:w="2592"/>
            <w:vAlign w:val="center"/>
            <w:tcMar>
              <w:top w:w="120" w:type="dxa"/>
              <w:left w:w="160" w:type="dxa"/>
              <w:bottom w:w="120" w:type="dxa"/>
              <w:right w:w="160" w:type="dxa"/>
            </w:tcMar>
          </w:tcPr>
          <w:p>
            <w:r>
              <w:rPr>
                <w:b/>
              </w:rPr>
              <w:t>SF-PDR</w:t>
            </w:r>
          </w:p>
        </w:tc>
        <w:tc>
          <w:tcPr>
            <w:tcW w:type="dxa" w:w="6912"/>
            <w:vAlign w:val="center"/>
            <w:tcMar>
              <w:top w:w="120" w:type="dxa"/>
              <w:left w:w="160" w:type="dxa"/>
              <w:bottom w:w="120" w:type="dxa"/>
              <w:right w:w="160" w:type="dxa"/>
            </w:tcMar>
          </w:tcPr>
          <w:p>
            <w:r>
              <w:t>Sensor-Fusion Pedestrian Dead Reckoning (Proposed tracking framework)</w:t>
            </w:r>
          </w:p>
        </w:tc>
      </w:tr>
      <w:tr>
        <w:trPr>
          <w:cantSplit/>
        </w:trPr>
        <w:tc>
          <w:tcPr>
            <w:tcW w:type="dxa" w:w="2592"/>
            <w:vAlign w:val="center"/>
            <w:tcMar>
              <w:top w:w="120" w:type="dxa"/>
              <w:left w:w="160" w:type="dxa"/>
              <w:bottom w:w="120" w:type="dxa"/>
              <w:right w:w="160" w:type="dxa"/>
            </w:tcMar>
          </w:tcPr>
          <w:p>
            <w:r>
              <w:rPr>
                <w:b/>
              </w:rPr>
              <w:t>DTN</w:t>
            </w:r>
          </w:p>
        </w:tc>
        <w:tc>
          <w:tcPr>
            <w:tcW w:type="dxa" w:w="6912"/>
            <w:vAlign w:val="center"/>
            <w:tcMar>
              <w:top w:w="120" w:type="dxa"/>
              <w:left w:w="160" w:type="dxa"/>
              <w:bottom w:w="120" w:type="dxa"/>
              <w:right w:w="160" w:type="dxa"/>
            </w:tcMar>
          </w:tcPr>
          <w:p>
            <w:r>
              <w:t>Delay-Tolerant Network (Store-and-forward opportunistic network architecture)</w:t>
            </w:r>
          </w:p>
        </w:tc>
      </w:tr>
      <w:tr>
        <w:trPr>
          <w:cantSplit/>
        </w:trPr>
        <w:tc>
          <w:tcPr>
            <w:tcW w:type="dxa" w:w="2592"/>
            <w:vAlign w:val="center"/>
            <w:tcMar>
              <w:top w:w="120" w:type="dxa"/>
              <w:left w:w="160" w:type="dxa"/>
              <w:bottom w:w="120" w:type="dxa"/>
              <w:right w:w="160" w:type="dxa"/>
            </w:tcMar>
          </w:tcPr>
          <w:p>
            <w:r>
              <w:rPr>
                <w:b/>
              </w:rPr>
              <w:t>SAR</w:t>
            </w:r>
          </w:p>
        </w:tc>
        <w:tc>
          <w:tcPr>
            <w:tcW w:type="dxa" w:w="6912"/>
            <w:vAlign w:val="center"/>
            <w:tcMar>
              <w:top w:w="120" w:type="dxa"/>
              <w:left w:w="160" w:type="dxa"/>
              <w:bottom w:w="120" w:type="dxa"/>
              <w:right w:w="160" w:type="dxa"/>
            </w:tcMar>
          </w:tcPr>
          <w:p>
            <w:r>
              <w:t>Search and Rescue (Wilderness emergency operations and extraction teams)</w:t>
            </w:r>
          </w:p>
        </w:tc>
      </w:tr>
      <w:tr>
        <w:trPr>
          <w:cantSplit/>
        </w:trPr>
        <w:tc>
          <w:tcPr>
            <w:tcW w:type="dxa" w:w="2592"/>
            <w:vAlign w:val="center"/>
            <w:tcMar>
              <w:top w:w="120" w:type="dxa"/>
              <w:left w:w="160" w:type="dxa"/>
              <w:bottom w:w="120" w:type="dxa"/>
              <w:right w:w="160" w:type="dxa"/>
            </w:tcMar>
          </w:tcPr>
          <w:p>
            <w:r>
              <w:rPr>
                <w:b/>
              </w:rPr>
              <w:t>MEMS</w:t>
            </w:r>
          </w:p>
        </w:tc>
        <w:tc>
          <w:tcPr>
            <w:tcW w:type="dxa" w:w="6912"/>
            <w:vAlign w:val="center"/>
            <w:tcMar>
              <w:top w:w="120" w:type="dxa"/>
              <w:left w:w="160" w:type="dxa"/>
              <w:bottom w:w="120" w:type="dxa"/>
              <w:right w:w="160" w:type="dxa"/>
            </w:tcMar>
          </w:tcPr>
          <w:p>
            <w:r>
              <w:t>Micro-ElectroMechanical Systems (Miniaturized silicon motion sensors)</w:t>
            </w:r>
          </w:p>
        </w:tc>
      </w:tr>
      <w:tr>
        <w:trPr>
          <w:cantSplit/>
        </w:trPr>
        <w:tc>
          <w:tcPr>
            <w:tcW w:type="dxa" w:w="2592"/>
            <w:vAlign w:val="center"/>
            <w:tcMar>
              <w:top w:w="120" w:type="dxa"/>
              <w:left w:w="160" w:type="dxa"/>
              <w:bottom w:w="120" w:type="dxa"/>
              <w:right w:w="160" w:type="dxa"/>
            </w:tcMar>
          </w:tcPr>
          <w:p>
            <w:r>
              <w:rPr>
                <w:b/>
              </w:rPr>
              <w:t>PDOP</w:t>
            </w:r>
          </w:p>
        </w:tc>
        <w:tc>
          <w:tcPr>
            <w:tcW w:type="dxa" w:w="6912"/>
            <w:vAlign w:val="center"/>
            <w:tcMar>
              <w:top w:w="120" w:type="dxa"/>
              <w:left w:w="160" w:type="dxa"/>
              <w:bottom w:w="120" w:type="dxa"/>
              <w:right w:w="160" w:type="dxa"/>
            </w:tcMar>
          </w:tcPr>
          <w:p>
            <w:r>
              <w:t>Position Dilution of Precision (Satellite geometric configuration quality factor)</w:t>
            </w:r>
          </w:p>
        </w:tc>
      </w:tr>
      <w:tr>
        <w:trPr>
          <w:cantSplit/>
        </w:trPr>
        <w:tc>
          <w:tcPr>
            <w:tcW w:type="dxa" w:w="2592"/>
            <w:vAlign w:val="center"/>
            <w:tcMar>
              <w:top w:w="120" w:type="dxa"/>
              <w:left w:w="160" w:type="dxa"/>
              <w:bottom w:w="120" w:type="dxa"/>
              <w:right w:w="160" w:type="dxa"/>
            </w:tcMar>
          </w:tcPr>
          <w:p>
            <w:r>
              <w:rPr>
                <w:b/>
              </w:rPr>
              <w:t>OSM</w:t>
            </w:r>
          </w:p>
        </w:tc>
        <w:tc>
          <w:tcPr>
            <w:tcW w:type="dxa" w:w="6912"/>
            <w:vAlign w:val="center"/>
            <w:tcMar>
              <w:top w:w="120" w:type="dxa"/>
              <w:left w:w="160" w:type="dxa"/>
              <w:bottom w:w="120" w:type="dxa"/>
              <w:right w:w="160" w:type="dxa"/>
            </w:tcMar>
          </w:tcPr>
          <w:p>
            <w:r>
              <w:t>OpenStreetMap (Open-access collaborative worldwide geographic dataset)</w:t>
            </w:r>
          </w:p>
        </w:tc>
      </w:tr>
      <w:tr>
        <w:trPr>
          <w:cantSplit/>
        </w:trPr>
        <w:tc>
          <w:tcPr>
            <w:tcW w:type="dxa" w:w="2592"/>
            <w:vAlign w:val="center"/>
            <w:tcMar>
              <w:top w:w="120" w:type="dxa"/>
              <w:left w:w="160" w:type="dxa"/>
              <w:bottom w:w="120" w:type="dxa"/>
              <w:right w:w="160" w:type="dxa"/>
            </w:tcMar>
          </w:tcPr>
          <w:p>
            <w:r>
              <w:rPr>
                <w:b/>
              </w:rPr>
              <w:t>MVT</w:t>
            </w:r>
          </w:p>
        </w:tc>
        <w:tc>
          <w:tcPr>
            <w:tcW w:type="dxa" w:w="6912"/>
            <w:vAlign w:val="center"/>
            <w:tcMar>
              <w:top w:w="120" w:type="dxa"/>
              <w:left w:w="160" w:type="dxa"/>
              <w:bottom w:w="120" w:type="dxa"/>
              <w:right w:w="160" w:type="dxa"/>
            </w:tcMar>
          </w:tcPr>
          <w:p>
            <w:r>
              <w:t>Mapbox Vector Tiles (Standard protocol buffer encoded spatial vector format)</w:t>
            </w:r>
          </w:p>
        </w:tc>
      </w:tr>
      <w:tr>
        <w:trPr>
          <w:cantSplit/>
        </w:trPr>
        <w:tc>
          <w:tcPr>
            <w:tcW w:type="dxa" w:w="2592"/>
            <w:vAlign w:val="center"/>
            <w:tcMar>
              <w:top w:w="120" w:type="dxa"/>
              <w:left w:w="160" w:type="dxa"/>
              <w:bottom w:w="120" w:type="dxa"/>
              <w:right w:w="160" w:type="dxa"/>
            </w:tcMar>
          </w:tcPr>
          <w:p>
            <w:r>
              <w:rPr>
                <w:b/>
              </w:rPr>
              <w:t>PBF</w:t>
            </w:r>
          </w:p>
        </w:tc>
        <w:tc>
          <w:tcPr>
            <w:tcW w:type="dxa" w:w="6912"/>
            <w:vAlign w:val="center"/>
            <w:tcMar>
              <w:top w:w="120" w:type="dxa"/>
              <w:left w:w="160" w:type="dxa"/>
              <w:bottom w:w="120" w:type="dxa"/>
              <w:right w:w="160" w:type="dxa"/>
            </w:tcMar>
          </w:tcPr>
          <w:p>
            <w:r>
              <w:t>Protocol Buffer Format (Binary serialized geographic data encoding)</w:t>
            </w:r>
          </w:p>
        </w:tc>
      </w:tr>
      <w:tr>
        <w:trPr>
          <w:cantSplit/>
        </w:trPr>
        <w:tc>
          <w:tcPr>
            <w:tcW w:type="dxa" w:w="2592"/>
            <w:vAlign w:val="center"/>
            <w:tcMar>
              <w:top w:w="120" w:type="dxa"/>
              <w:left w:w="160" w:type="dxa"/>
              <w:bottom w:w="120" w:type="dxa"/>
              <w:right w:w="160" w:type="dxa"/>
            </w:tcMar>
          </w:tcPr>
          <w:p>
            <w:r>
              <w:rPr>
                <w:b/>
              </w:rPr>
              <w:t>OSRM</w:t>
            </w:r>
          </w:p>
        </w:tc>
        <w:tc>
          <w:tcPr>
            <w:tcW w:type="dxa" w:w="6912"/>
            <w:vAlign w:val="center"/>
            <w:tcMar>
              <w:top w:w="120" w:type="dxa"/>
              <w:left w:w="160" w:type="dxa"/>
              <w:bottom w:w="120" w:type="dxa"/>
              <w:right w:w="160" w:type="dxa"/>
            </w:tcMar>
          </w:tcPr>
          <w:p>
            <w:r>
              <w:t>Open Source Routing Machine (High-performance routing and navigation engine)</w:t>
            </w:r>
          </w:p>
        </w:tc>
      </w:tr>
      <w:tr>
        <w:trPr>
          <w:cantSplit/>
        </w:trPr>
        <w:tc>
          <w:tcPr>
            <w:tcW w:type="dxa" w:w="2592"/>
            <w:vAlign w:val="center"/>
            <w:tcMar>
              <w:top w:w="120" w:type="dxa"/>
              <w:left w:w="160" w:type="dxa"/>
              <w:bottom w:w="120" w:type="dxa"/>
              <w:right w:w="160" w:type="dxa"/>
            </w:tcMar>
          </w:tcPr>
          <w:p>
            <w:r>
              <w:rPr>
                <w:b/>
              </w:rPr>
              <w:t>GATT</w:t>
            </w:r>
          </w:p>
        </w:tc>
        <w:tc>
          <w:tcPr>
            <w:tcW w:type="dxa" w:w="6912"/>
            <w:vAlign w:val="center"/>
            <w:tcMar>
              <w:top w:w="120" w:type="dxa"/>
              <w:left w:w="160" w:type="dxa"/>
              <w:bottom w:w="120" w:type="dxa"/>
              <w:right w:w="160" w:type="dxa"/>
            </w:tcMar>
          </w:tcPr>
          <w:p>
            <w:r>
              <w:t>Generic Attribute Profile (Bluetooth Low Energy communication layer)</w:t>
            </w:r>
          </w:p>
        </w:tc>
      </w:tr>
      <w:tr>
        <w:trPr>
          <w:cantSplit/>
        </w:trPr>
        <w:tc>
          <w:tcPr>
            <w:tcW w:type="dxa" w:w="2592"/>
            <w:vAlign w:val="center"/>
            <w:tcMar>
              <w:top w:w="120" w:type="dxa"/>
              <w:left w:w="160" w:type="dxa"/>
              <w:bottom w:w="120" w:type="dxa"/>
              <w:right w:w="160" w:type="dxa"/>
            </w:tcMar>
          </w:tcPr>
          <w:p>
            <w:r>
              <w:rPr>
                <w:b/>
              </w:rPr>
              <w:t>FIFO</w:t>
            </w:r>
          </w:p>
        </w:tc>
        <w:tc>
          <w:tcPr>
            <w:tcW w:type="dxa" w:w="6912"/>
            <w:vAlign w:val="center"/>
            <w:tcMar>
              <w:top w:w="120" w:type="dxa"/>
              <w:left w:w="160" w:type="dxa"/>
              <w:bottom w:w="120" w:type="dxa"/>
              <w:right w:w="160" w:type="dxa"/>
            </w:tcMar>
          </w:tcPr>
          <w:p>
            <w:r>
              <w:t>First-In, First-Out (Circular sample buffer architecture)</w:t>
            </w:r>
          </w:p>
        </w:tc>
      </w:tr>
      <w:tr>
        <w:trPr>
          <w:cantSplit/>
        </w:trPr>
        <w:tc>
          <w:tcPr>
            <w:tcW w:type="dxa" w:w="2592"/>
            <w:vAlign w:val="center"/>
            <w:tcMar>
              <w:top w:w="120" w:type="dxa"/>
              <w:left w:w="160" w:type="dxa"/>
              <w:bottom w:w="120" w:type="dxa"/>
              <w:right w:w="160" w:type="dxa"/>
            </w:tcMar>
          </w:tcPr>
          <w:p>
            <w:r>
              <w:rPr>
                <w:b/>
              </w:rPr>
              <w:t>REST</w:t>
            </w:r>
          </w:p>
        </w:tc>
        <w:tc>
          <w:tcPr>
            <w:tcW w:type="dxa" w:w="6912"/>
            <w:vAlign w:val="center"/>
            <w:tcMar>
              <w:top w:w="120" w:type="dxa"/>
              <w:left w:w="160" w:type="dxa"/>
              <w:bottom w:w="120" w:type="dxa"/>
              <w:right w:w="160" w:type="dxa"/>
            </w:tcMar>
          </w:tcPr>
          <w:p>
            <w:r>
              <w:t>Representational State Transfer (Stateless HTTP web API architectural style)</w:t>
            </w:r>
          </w:p>
        </w:tc>
      </w:tr>
      <w:tr>
        <w:trPr>
          <w:cantSplit/>
        </w:trPr>
        <w:tc>
          <w:tcPr>
            <w:tcW w:type="dxa" w:w="2592"/>
            <w:vAlign w:val="center"/>
            <w:tcMar>
              <w:top w:w="120" w:type="dxa"/>
              <w:left w:w="160" w:type="dxa"/>
              <w:bottom w:w="120" w:type="dxa"/>
              <w:right w:w="160" w:type="dxa"/>
            </w:tcMar>
          </w:tcPr>
          <w:p>
            <w:r>
              <w:rPr>
                <w:b/>
              </w:rPr>
              <w:t>API</w:t>
            </w:r>
          </w:p>
        </w:tc>
        <w:tc>
          <w:tcPr>
            <w:tcW w:type="dxa" w:w="6912"/>
            <w:vAlign w:val="center"/>
            <w:tcMar>
              <w:top w:w="120" w:type="dxa"/>
              <w:left w:w="160" w:type="dxa"/>
              <w:bottom w:w="120" w:type="dxa"/>
              <w:right w:w="160" w:type="dxa"/>
            </w:tcMar>
          </w:tcPr>
          <w:p>
            <w:r>
              <w:t>Application Programming Interface (Inter-software communication interface)</w:t>
            </w:r>
          </w:p>
        </w:tc>
      </w:tr>
      <w:tr>
        <w:trPr>
          <w:cantSplit/>
        </w:trPr>
        <w:tc>
          <w:tcPr>
            <w:tcW w:type="dxa" w:w="2592"/>
            <w:vAlign w:val="center"/>
            <w:tcMar>
              <w:top w:w="120" w:type="dxa"/>
              <w:left w:w="160" w:type="dxa"/>
              <w:bottom w:w="120" w:type="dxa"/>
              <w:right w:w="160" w:type="dxa"/>
            </w:tcMar>
          </w:tcPr>
          <w:p>
            <w:r>
              <w:rPr>
                <w:b/>
              </w:rPr>
              <w:t>UUID</w:t>
            </w:r>
          </w:p>
        </w:tc>
        <w:tc>
          <w:tcPr>
            <w:tcW w:type="dxa" w:w="6912"/>
            <w:vAlign w:val="center"/>
            <w:tcMar>
              <w:top w:w="120" w:type="dxa"/>
              <w:left w:w="160" w:type="dxa"/>
              <w:bottom w:w="120" w:type="dxa"/>
              <w:right w:w="160" w:type="dxa"/>
            </w:tcMar>
          </w:tcPr>
          <w:p>
            <w:r>
              <w:t>Universally Unique Identifier (128-bit unique packet and beacon identifier)</w:t>
            </w:r>
          </w:p>
        </w:tc>
      </w:tr>
      <w:tr>
        <w:trPr>
          <w:cantSplit/>
        </w:trPr>
        <w:tc>
          <w:tcPr>
            <w:tcW w:type="dxa" w:w="2592"/>
            <w:vAlign w:val="center"/>
            <w:tcMar>
              <w:top w:w="120" w:type="dxa"/>
              <w:left w:w="160" w:type="dxa"/>
              <w:bottom w:w="120" w:type="dxa"/>
              <w:right w:w="160" w:type="dxa"/>
            </w:tcMar>
          </w:tcPr>
          <w:p>
            <w:r>
              <w:rPr>
                <w:b/>
              </w:rPr>
              <w:t>HUD</w:t>
            </w:r>
          </w:p>
        </w:tc>
        <w:tc>
          <w:tcPr>
            <w:tcW w:type="dxa" w:w="6912"/>
            <w:vAlign w:val="center"/>
            <w:tcMar>
              <w:top w:w="120" w:type="dxa"/>
              <w:left w:w="160" w:type="dxa"/>
              <w:bottom w:w="120" w:type="dxa"/>
              <w:right w:w="160" w:type="dxa"/>
            </w:tcMar>
          </w:tcPr>
          <w:p>
            <w:r>
              <w:t>Heads-Up Display (Tactical operational high-contrast mobile user interface)</w:t>
            </w:r>
          </w:p>
        </w:tc>
      </w:tr>
      <w:tr>
        <w:trPr>
          <w:cantSplit/>
        </w:trPr>
        <w:tc>
          <w:tcPr>
            <w:tcW w:type="dxa" w:w="2592"/>
            <w:vAlign w:val="center"/>
            <w:tcMar>
              <w:top w:w="120" w:type="dxa"/>
              <w:left w:w="160" w:type="dxa"/>
              <w:bottom w:w="120" w:type="dxa"/>
              <w:right w:w="160" w:type="dxa"/>
            </w:tcMar>
          </w:tcPr>
          <w:p>
            <w:r>
              <w:rPr>
                <w:b/>
              </w:rPr>
              <w:t>RSSI</w:t>
            </w:r>
          </w:p>
        </w:tc>
        <w:tc>
          <w:tcPr>
            <w:tcW w:type="dxa" w:w="6912"/>
            <w:vAlign w:val="center"/>
            <w:tcMar>
              <w:top w:w="120" w:type="dxa"/>
              <w:left w:w="160" w:type="dxa"/>
              <w:bottom w:w="120" w:type="dxa"/>
              <w:right w:w="160" w:type="dxa"/>
            </w:tcMar>
          </w:tcPr>
          <w:p>
            <w:r>
              <w:t>Received Signal Strength Indicator (Radio frequency reception power metric)</w:t>
            </w:r>
          </w:p>
        </w:tc>
      </w:tr>
      <w:tr>
        <w:trPr>
          <w:cantSplit/>
        </w:trPr>
        <w:tc>
          <w:tcPr>
            <w:tcW w:type="dxa" w:w="2592"/>
            <w:vAlign w:val="center"/>
            <w:tcMar>
              <w:top w:w="120" w:type="dxa"/>
              <w:left w:w="160" w:type="dxa"/>
              <w:bottom w:w="120" w:type="dxa"/>
              <w:right w:w="160" w:type="dxa"/>
            </w:tcMar>
          </w:tcPr>
          <w:p>
            <w:r>
              <w:rPr>
                <w:b/>
              </w:rPr>
              <w:t>JSON</w:t>
            </w:r>
          </w:p>
        </w:tc>
        <w:tc>
          <w:tcPr>
            <w:tcW w:type="dxa" w:w="6912"/>
            <w:vAlign w:val="center"/>
            <w:tcMar>
              <w:top w:w="120" w:type="dxa"/>
              <w:left w:w="160" w:type="dxa"/>
              <w:bottom w:w="120" w:type="dxa"/>
              <w:right w:w="160" w:type="dxa"/>
            </w:tcMar>
          </w:tcPr>
          <w:p>
            <w:r>
              <w:t>JavaScript Object Notation (Lightweight data interchange format)</w:t>
            </w:r>
          </w:p>
        </w:tc>
      </w:tr>
      <w:tr>
        <w:trPr>
          <w:cantSplit/>
        </w:trPr>
        <w:tc>
          <w:tcPr>
            <w:tcW w:type="dxa" w:w="2592"/>
            <w:vAlign w:val="center"/>
            <w:tcMar>
              <w:top w:w="120" w:type="dxa"/>
              <w:left w:w="160" w:type="dxa"/>
              <w:bottom w:w="120" w:type="dxa"/>
              <w:right w:w="160" w:type="dxa"/>
            </w:tcMar>
          </w:tcPr>
          <w:p>
            <w:r>
              <w:rPr>
                <w:b/>
              </w:rPr>
              <w:t>LoRa</w:t>
            </w:r>
          </w:p>
        </w:tc>
        <w:tc>
          <w:tcPr>
            <w:tcW w:type="dxa" w:w="6912"/>
            <w:vAlign w:val="center"/>
            <w:tcMar>
              <w:top w:w="120" w:type="dxa"/>
              <w:left w:w="160" w:type="dxa"/>
              <w:bottom w:w="120" w:type="dxa"/>
              <w:right w:w="160" w:type="dxa"/>
            </w:tcMar>
          </w:tcPr>
          <w:p>
            <w:r>
              <w:t>Long Range Low-Power Wide-Area Network Modulation (868/915 MHz chirped spread spectrum)</w:t>
            </w:r>
          </w:p>
        </w:tc>
      </w:tr>
      <w:tr>
        <w:trPr>
          <w:cantSplit/>
        </w:trPr>
        <w:tc>
          <w:tcPr>
            <w:tcW w:type="dxa" w:w="2592"/>
            <w:vAlign w:val="center"/>
            <w:tcMar>
              <w:top w:w="120" w:type="dxa"/>
              <w:left w:w="160" w:type="dxa"/>
              <w:bottom w:w="120" w:type="dxa"/>
              <w:right w:w="160" w:type="dxa"/>
            </w:tcMar>
          </w:tcPr>
          <w:p>
            <w:r>
              <w:rPr>
                <w:b/>
              </w:rPr>
              <w:t>EKF</w:t>
            </w:r>
          </w:p>
        </w:tc>
        <w:tc>
          <w:tcPr>
            <w:tcW w:type="dxa" w:w="6912"/>
            <w:vAlign w:val="center"/>
            <w:tcMar>
              <w:top w:w="120" w:type="dxa"/>
              <w:left w:w="160" w:type="dxa"/>
              <w:bottom w:w="120" w:type="dxa"/>
              <w:right w:w="160" w:type="dxa"/>
            </w:tcMar>
          </w:tcPr>
          <w:p>
            <w: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spacing w:line="360" w:lineRule="auto" w:after="120"/>
        <w:jc w:val="both"/>
      </w:pPr>
      <w:r>
        <w:rPr>
          <w:rFonts w:ascii="Times New Roman" w:hAnsi="Times New Roman"/>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spacing w:line="360" w:lineRule="auto" w:after="120"/>
        <w:jc w:val="both"/>
      </w:pPr>
      <w:r>
        <w:rPr>
          <w:rFonts w:ascii="Times New Roman" w:hAnsi="Times New Roman"/>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spacing w:line="360" w:lineRule="auto" w:after="120"/>
        <w:jc w:val="both"/>
      </w:pPr>
      <w:r>
        <w:rPr>
          <w:rFonts w:ascii="Times New Roman" w:hAnsi="Times New Roman"/>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spacing w:line="360" w:lineRule="auto" w:after="120"/>
        <w:jc w:val="both"/>
      </w:pPr>
      <w:r>
        <w:rPr>
          <w:rFonts w:ascii="Times New Roman" w:hAnsi="Times New Roman"/>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spacing w:line="360" w:lineRule="auto" w:after="120"/>
        <w:jc w:val="both"/>
      </w:pPr>
      <w:r>
        <w:rPr>
          <w:rFonts w:ascii="Times New Roman" w:hAnsi="Times New Roman"/>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spacing w:line="360" w:lineRule="auto" w:after="120"/>
        <w:jc w:val="both"/>
      </w:pPr>
      <w:r>
        <w:rPr>
          <w:rFonts w:ascii="Times New Roman" w:hAnsi="Times New Roman"/>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spacing w:line="360" w:lineRule="auto" w:after="120"/>
        <w:jc w:val="both"/>
      </w:pPr>
      <w:r>
        <w:rPr>
          <w:rFonts w:ascii="Times New Roman" w:hAnsi="Times New Roman"/>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(&gt;250 MB), demand substantial continuous GPU/NPU inference power (&gt;35% battery drain per hour), and exhibit catastrophic failure when confronted with out-of-distribution irregular human gait patterns caused by rugged terrain and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four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Systems fail to gracefully decouple degraded satellite signals, allowing corrupted GNSS fixes to pollute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w:t>
      </w:r>
    </w:p>
    <w:p>
      <w:pPr>
        <w:spacing w:line="300" w:lineRule="auto" w:after="60"/>
        <w:ind w:left="360"/>
        <w:jc w:val="both"/>
      </w:pPr>
      <w:r>
        <w:rPr>
          <w:rFonts w:ascii="Times New Roman" w:hAnsi="Times New Roman"/>
          <w:sz w:val="24"/>
        </w:rPr>
        <w:t xml:space="preserve">•  </w:t>
      </w:r>
      <w:r>
        <w:rPr>
          <w:rFonts w:ascii="Times New Roman" w:hAnsi="Times New Roman"/>
          <w:sz w:val="24"/>
        </w:rPr>
        <w:t>Absence of Incident Orchestration: Existing outdoor applications lack closed-loop distress relaying, automated multi-hop packet propagation, and centralized SAR perimeters.</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TrailGuide introduces an end-to-end framework synthesizing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928647"/>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3095741"/>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3095741"/>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928647"/>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4340865"/>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4340865"/>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5120640" cy="2876854"/>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5120640" cy="2876854"/>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5120640" cy="2879525"/>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5120640" cy="2879525"/>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5120640" cy="2596381"/>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5120640" cy="2596381"/>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4.5: Mobile Client - Landing Interface and Offline Vector Map Management</w:t>
      </w:r>
    </w:p>
    <w:p>
      <w:pPr>
        <w:spacing w:line="288" w:lineRule="auto" w:after="120"/>
        <w:jc w:val="both"/>
      </w:pPr>
      <w:r>
        <w:rPr>
          <w:rFonts w:ascii="Times New Roman" w:hAnsi="Times New Roman"/>
          <w:sz w:val="24"/>
        </w:rPr>
        <w:t>Figure 4.5 showcases the mobile client application landing interface executed on a commodity smartphone. Serving as the primary operational dashboard for wilderness travelers prior to entering off-grid zones, the interface implements a clean, reactive Flutter and Dart architecture. The landing screen provides high-contrast visual tiles for rapid pre-trek configuration: the 'SCAN OFFLINE QR' provisioning button, the 'EMERGENCY SOS BEACON' dispatch trigger, and the local 'OFFLINE VECTOR MAPS' inventory.</w:t>
      </w:r>
    </w:p>
    <w:p>
      <w:pPr>
        <w:spacing w:line="288" w:lineRule="auto" w:after="120"/>
        <w:jc w:val="both"/>
      </w:pPr>
      <w:r>
        <w:rPr>
          <w:rFonts w:ascii="Times New Roman" w:hAnsi="Times New Roman"/>
          <w:sz w:val="24"/>
        </w:rPr>
        <w:t>When the offline QR scanner is tapped, the device camera initializes via Google ML Kit to deserialize micro-sharded vector tile packages provisioned by the web planning portal. The vector geometries—comprising trail paths, elevation contours, waypoint landmarks, and sector boundaries—are parsed and stored directly into high-performance local Hive key-value storage (offline_maps_box). Once cached, each sector package (e.g., 'Sri Eshwar College of Engineering', Package ID: sec_campus_v1) displays an active 'OPEN' trigger that launches the offline tactical navigation HUD with zero cellular connectivity.</w:t>
      </w:r>
    </w:p>
    <w:p>
      <w:pPr>
        <w:spacing w:line="288" w:lineRule="auto" w:after="120"/>
        <w:jc w:val="both"/>
      </w:pPr>
      <w:r>
        <w:rPr>
          <w:rFonts w:ascii="Times New Roman" w:hAnsi="Times New Roman"/>
          <w:sz w:val="24"/>
        </w:rPr>
        <w:t>Furthermore, the landing interface incorporates background lifecycle listeners to continuously monitor Bluetooth Low Energy (BLE) peripheral states and battery optimization levels. Even when the smartphone display is toggled off during extended backcountry hikes to conserve power, the local foreground service persists the active sensor listener and DTN mesh stack. The status bar at the top provides instant visual confirmation of mesh peer connectivity (indicating active device links) and battery percentage, ensuring the user maintains continuous situational awareness before venturing beyond cellular coverage limits.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288" w:lineRule="auto" w:after="120"/>
        <w:jc w:val="both"/>
      </w:pPr>
      <w:r>
        <w:rPr>
          <w:rFonts w:ascii="Times New Roman" w:hAnsi="Times New Roman"/>
          <w:sz w:val="24"/>
        </w:rPr>
        <w:t>Figure 4.6 displays the mobile offline tactical Head-Up Display (HUD) canvas rendered during an active field traverse across the Sri Eshwar College of Engineering sector. Engineered for zero-connectivity environments, the tactical HUD renders dense geographic vector layers and live pedestrian positioning without requesting raster map tiles from external servers. The vector canvas is drawn entirely on-device via Flutter's hardware-accelerated CustomPainter API, rendering mathematical polylines with high-contrast cyan lines against an ultra-dark tactical background (#0A0E17) that optimizes outdoor sunlight visibility while significantly conserving OLED battery power.</w:t>
      </w:r>
    </w:p>
    <w:p>
      <w:pPr>
        <w:spacing w:line="288" w:lineRule="auto" w:after="120"/>
        <w:jc w:val="both"/>
      </w:pPr>
      <w:r>
        <w:rPr>
          <w:rFonts w:ascii="Times New Roman" w:hAnsi="Times New Roman"/>
          <w:sz w:val="24"/>
        </w:rPr>
        <w:t>Superimposed on the blueprint canvas is the live SF-PDR tracking telemetry. The user's spatial position is marked with a glowing position beacon and a dynamic orientation arrow driven by the tilt-compensated complementary heading filter. As the hiker advances, the Weinberg dynamic step engine continuously appends new coordinates to the traversed route polyline at each detected footfall. The top status bar provides live step count ('STEPS: 3'), compass heading ('H: 284°'), active GNSS status indicator, and mesh peer count, while the high-visibility red SOS trigger remains pinned at the bottom-left for immediate emergency access.</w:t>
      </w:r>
    </w:p>
    <w:p>
      <w:pPr>
        <w:spacing w:line="288" w:lineRule="auto" w:after="120"/>
        <w:jc w:val="both"/>
      </w:pPr>
      <w:r>
        <w:rPr>
          <w:rFonts w:ascii="Times New Roman" w:hAnsi="Times New Roman"/>
          <w:sz w:val="24"/>
        </w:rPr>
        <w:t>To guarantee fail-safe navigation during deep canopy traversal, the HUD interface dynamically switches between hybrid GNSS mode and pure dead-reckoning mode based on the estimated horizontal dilution of precision (HDOP). If satellite signal loss occurs, the HUD seamlessly transitions to inertial estimation without jarring visual stutter or re-centering interruptions. Hikers can interactively pan and pinch-to-zoom across cached vector trails, inspect waypoint metadata such as drinking water sources and medical aid shelters, and toggle the breadcrumb route history to retrace their steps back to safety.</w:t>
      </w:r>
    </w:p>
    <w:p>
      <w:r>
        <w:br w:type="page"/>
      </w:r>
    </w:p>
    <w:p>
      <w:pPr>
        <w:keepNext/>
        <w:spacing w:before="200" w:after="80"/>
        <w:jc w:val="center"/>
      </w:pPr>
      <w:r>
        <w:drawing>
          <wp:inline xmlns:a="http://schemas.openxmlformats.org/drawingml/2006/main" xmlns:pic="http://schemas.openxmlformats.org/drawingml/2006/picture">
            <wp:extent cx="2926080" cy="3201182"/>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2926080" cy="3201182"/>
                    </a:xfrm>
                    <a:prstGeom prst="rect"/>
                  </pic:spPr>
                </pic:pic>
              </a:graphicData>
            </a:graphic>
          </wp:inline>
        </w:drawing>
      </w:r>
    </w:p>
    <w:p>
      <w:pPr>
        <w:spacing w:before="40" w:after="240"/>
        <w:jc w:val="center"/>
      </w:pPr>
      <w:r>
        <w:rPr>
          <w:rFonts w:ascii="Times New Roman" w:hAnsi="Times New Roman"/>
          <w:b/>
          <w:sz w:val="21"/>
        </w:rPr>
        <w:t>Figure 4.7: Mobile Tactical Interface - Emergency SOS Standby and Broadcast Activation</w:t>
      </w:r>
    </w:p>
    <w:p>
      <w:pPr>
        <w:spacing w:line="288" w:lineRule="auto" w:after="120"/>
        <w:jc w:val="both"/>
      </w:pPr>
      <w:r>
        <w:rPr>
          <w:rFonts w:ascii="Times New Roman" w:hAnsi="Times New Roman"/>
          <w:sz w:val="24"/>
        </w:rPr>
        <w:t>Figure 4.7 illustrates the mobile emergency dispatch interface in its standby state (left) and active broadcasting state (right). In wilderness environments, life-safety distress systems must balance rapid access against the catastrophic risks of false alarms. To prevent accidental triggers caused by screen brushing or pocket movement, the interface incorporates a safety-engineered 3-second hold-to-activate mechanism accompanied by progressive circular haptic pulses and visual countdown animations.</w:t>
      </w:r>
    </w:p>
    <w:p>
      <w:pPr>
        <w:spacing w:line="288" w:lineRule="auto" w:after="120"/>
        <w:jc w:val="both"/>
      </w:pPr>
      <w:r>
        <w:rPr>
          <w:rFonts w:ascii="Times New Roman" w:hAnsi="Times New Roman"/>
          <w:sz w:val="24"/>
        </w:rPr>
        <w:t>Upon satisfying the 3-second hold threshold, the service transitions into the active distress state ('EMERGENCY BEACON ACTIVE'), extracting the most recent dead-reckoning coordinates from the SF-PDR engine and serializing them into a compact 24-byte binary payload. The packet encapsulates the unique incident ID (e.g., SOS-DEA2867E-282223B6), double-precision WGS-84 coordinates (Latitude: 10.82745°, Longitude: 77.06104°), barometric altitude (253.4 m), hop counter, and an initial Controlled Spray-and-Wait replication quota (L0 = 5).</w:t>
      </w:r>
    </w:p>
    <w:p>
      <w:pPr>
        <w:spacing w:line="288" w:lineRule="auto" w:after="120"/>
        <w:jc w:val="both"/>
      </w:pPr>
      <w:r>
        <w:rPr>
          <w:rFonts w:ascii="Times New Roman" w:hAnsi="Times New Roman"/>
          <w:sz w:val="24"/>
        </w:rPr>
        <w:t>Once activated, the smartphone broadcasts background BLE advertisements across channels 37, 38, and 39 at 100 ms intervals. The interface displays real-time mesh health badges, including node identifier (DEV-DEA2867E) and packet sync counters. The user can manually deactivate the beacon once rescue arrives, broadcasting an authenticated cancellation packet to release network resources.</w:t>
      </w:r>
    </w:p>
    <w:p>
      <w:r>
        <w:br w:type="page"/>
      </w:r>
    </w:p>
    <w:p>
      <w:pPr>
        <w:keepNext/>
        <w:spacing w:before="200" w:after="80"/>
        <w:jc w:val="center"/>
      </w:pPr>
      <w:r>
        <w:drawing>
          <wp:inline xmlns:a="http://schemas.openxmlformats.org/drawingml/2006/main" xmlns:pic="http://schemas.openxmlformats.org/drawingml/2006/picture">
            <wp:extent cx="4937760" cy="2477895"/>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477895"/>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288" w:lineRule="auto" w:after="120"/>
        <w:jc w:val="both"/>
      </w:pPr>
      <w:r>
        <w:rPr>
          <w:rFonts w:ascii="Times New Roman" w:hAnsi="Times New Roman"/>
          <w:sz w:val="24"/>
        </w:rPr>
        <w:t>Figure 4.8 illustrates the cloud-based Search and Rescue (SAR) Incident Command Room dashboard accessible at the /sos route of the Next.js planning portal. Built for emergency response coordinators and forest rangers, the command center ingests distress telemetry packets relayed across intermediate human nodes to internet-connected gateway devices.</w:t>
      </w:r>
    </w:p>
    <w:p>
      <w:pPr>
        <w:spacing w:line="288" w:lineRule="auto" w:after="120"/>
        <w:jc w:val="both"/>
      </w:pPr>
      <w:r>
        <w:rPr>
          <w:rFonts w:ascii="Times New Roman" w:hAnsi="Times New Roman"/>
          <w:sz w:val="24"/>
        </w:rPr>
        <w:t>The interface renders an interactive tactical GIS tracking canvas powered by React Leaflet with custom dark-mode tile rendering. Incoming distress alerts are plotted as high-visibility pulsing beacon markers color-coded by incident severity. The incident control bar at the top aggregates real-time mission statistics: Active Dispatches, Acknowledged Responders, and Resolved Cases. Clicking an active beacon expands an incident drawer displaying the 32-bit distress ID, precise GPS/PDR coordinates, estimated elevation, elapsed time, and intermediate BLE hops traversed.</w:t>
      </w:r>
    </w:p>
    <w:p>
      <w:pPr>
        <w:spacing w:line="288" w:lineRule="auto" w:after="120"/>
        <w:jc w:val="both"/>
      </w:pPr>
      <w:r>
        <w:rPr>
          <w:rFonts w:ascii="Times New Roman" w:hAnsi="Times New Roman"/>
          <w:sz w:val="24"/>
        </w:rPr>
        <w:t>To support proactive search operations, the portal integrates MongoDB Atlas 2DSphere spherical index queries, enabling incident commanders to define dynamic radial search perimeters (e.g., 500-meter or 1-kilometer containment zones) around the last known coordinates. The system automatically cross-references surrounding trail networks and triggers Open Source Routing Machine (OSRM) driving and hiking extraction routes from the nearest road-accessible trailhead directly to the incident zone, ensuring an accountable chain of custody throughout the rescue operation.</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