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40"/>
        <w:jc w:val="center"/>
      </w:pPr>
      <w:r>
        <w:rPr>
          <w:rFonts w:ascii="Times New Roman" w:hAnsi="Times New Roman"/>
          <w:b/>
          <w:sz w:val="32"/>
        </w:rPr>
        <w:t>ACKNOWLEDGEMENT</w:t>
      </w:r>
    </w:p>
    <w:p>
      <w:pPr>
        <w:spacing w:line="360" w:lineRule="auto" w:after="120"/>
        <w:jc w:val="both"/>
      </w:pPr>
      <w:r>
        <w:rPr>
          <w:rFonts w:ascii="Times New Roman" w:hAnsi="Times New Roman"/>
          <w:sz w:val="24"/>
        </w:rPr>
        <w:t>The success and outcome of this project work required a substantial amount of guidance and assistance from many individuals, and we are extremely fortunate to have had this support all along the completion of our project work. Everything we have achieved is only possible because of such supervision and direction.</w:t>
      </w:r>
    </w:p>
    <w:p>
      <w:pPr>
        <w:spacing w:line="360" w:lineRule="auto" w:after="120"/>
        <w:jc w:val="both"/>
      </w:pPr>
      <w:r>
        <w:rPr>
          <w:rFonts w:ascii="Times New Roman" w:hAnsi="Times New Roman"/>
          <w:sz w:val="24"/>
        </w:rPr>
        <w:t>We express our deepest gratitude to our respected Chairman, Sri. R. Mohanram, for his visionary leadership and for providing an academic environment equipped with state-of-the-art laboratory infrastructure that enabled the practical realization of this research.</w:t>
      </w:r>
    </w:p>
    <w:p>
      <w:pPr>
        <w:spacing w:line="360" w:lineRule="auto" w:after="120"/>
        <w:jc w:val="both"/>
      </w:pPr>
      <w:r>
        <w:rPr>
          <w:rFonts w:ascii="Times New Roman" w:hAnsi="Times New Roman"/>
          <w:sz w:val="24"/>
        </w:rPr>
        <w:t>We extend our sincere thanks to our Principal and the college administration for their continuous encouragement and for facilitating the computational and hardware facilities necessary for our experimental field trials.</w:t>
      </w:r>
    </w:p>
    <w:p>
      <w:pPr>
        <w:spacing w:line="360" w:lineRule="auto" w:after="120"/>
        <w:jc w:val="both"/>
      </w:pPr>
      <w:r>
        <w:rPr>
          <w:rFonts w:ascii="Times New Roman" w:hAnsi="Times New Roman"/>
          <w:sz w:val="24"/>
        </w:rPr>
        <w:t>We are immensely grateful to Dr. S. Siamala Devi, M.E., Ph.D., Professor &amp; Head of the Department of Information Technology, for her persistent encouragement, academic support, and constructive suggestions throughout the progression of this project work.</w:t>
      </w:r>
    </w:p>
    <w:p>
      <w:pPr>
        <w:spacing w:line="360" w:lineRule="auto" w:after="120"/>
        <w:jc w:val="both"/>
      </w:pPr>
      <w:r>
        <w:rPr>
          <w:rFonts w:ascii="Times New Roman" w:hAnsi="Times New Roman"/>
          <w:sz w:val="24"/>
        </w:rPr>
        <w:t>We express our heartfelt gratitude and profound indebtedness to our project supervisor, Dr. D. Saranya, M.E., Ph.D., Assistant Professor, Department of Information Technology, for her exemplary guidance, invaluable advice, and constant inspiration from the conceptualization phase to the successful realization of this system.</w:t>
      </w:r>
    </w:p>
    <w:p>
      <w:pPr>
        <w:spacing w:line="360" w:lineRule="auto" w:after="120"/>
        <w:jc w:val="both"/>
      </w:pPr>
      <w:r>
        <w:rPr>
          <w:rFonts w:ascii="Times New Roman" w:hAnsi="Times New Roman"/>
          <w:sz w:val="24"/>
        </w:rPr>
        <w:t>Finally, we take this opportunity to thank our parents, faculty members, lab technicians, and fellow students who directly or indirectly supported us in successfully completing Phase-I of this project work.</w:t>
      </w:r>
    </w:p>
    <w:p>
      <w:pPr>
        <w:spacing w:before="280" w:after="80"/>
        <w:jc w:val="right"/>
      </w:pPr>
      <w:r>
        <w:rPr>
          <w:rFonts w:ascii="Times New Roman" w:hAnsi="Times New Roman"/>
          <w:b/>
          <w:sz w:val="22"/>
        </w:rPr>
        <w:t>AKASH DHANKAR (722823205003)</w:t>
        <w:br/>
        <w:t>LINGESH V (722823205027)</w:t>
        <w:br/>
        <w:t>MAHAVEER K (722823205028)</w:t>
        <w:br/>
        <w:t>SARAVANAN K (722823205045)</w:t>
        <w:br/>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3.2.1 Tri-Axial IMU Sensor Streams (100 Hz)</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3.2.2 OpenStreetMap Micro-Sharded Vector Tiles (&lt;2 MB)</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3.2.3 BLE Distress Telemetry Packets (24 Bytes)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3.2.4 Real-Time OSRM Road Network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3.2.5 Integrated Off-Grid System Dataset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3.5.1 Step Detection Kinematic Windowing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3.5.2 Weinberg Dynamic Stride Length Model</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3.5.3 Tilt-Compensated Complementary Heading Filter</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3.5.4 Dual-State GNSS/PDR Decoupling Gating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3.5.5 Controlled Spray-and-Wait BLE Mesh Routing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3.5.6 Hive Local Database Deduplication Engine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3.5.7 Next.js &amp; MongoDB 2DSphere Spatial Query Engine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3.5.8 Hard and Soft Iron Geomagnetic Calibration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3.5.9 Biomechanical Gait Kinematics on Uneven Trail Terrains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4.3.1 Sensor Fusion Dead Reckoning Engine Listing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4.4.1 BLE Mesh Spray-and-Wait Broadcast Handler</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4.5.1 Next.js SAR Incident API Endpoint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5.2.1 Sensor-Fusion Yaw Heading Estimation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5.2.2 Weinberg Step Detection &amp; Gait Kinematics</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5.2.3 Controlled Spray-and-Wait BLE Mesh Delivery &amp; Latency</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5.2.4 Comparative Horizontal Localization Analysis Across 500m Traverse</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5.2.5 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5.2.6 Complementary Filter Alpha Sensitivity and Heading Stability</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5.2.7 Offline Vector Tiles vs. Raster Mapping Storage &amp;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5.2.8 Canopy Multipath Attenuation &amp; BLE RSSI Log-Distance Modeling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6.2.1 Long-Range Hybrid LoRa Mesh Bridging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6.2.2 Barometric Pressure &amp; Vertical Elevation Fusion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6.2.3 On-Device Edge Neural Hazard Detection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6.2.4 Multi-Agency Interoperability &amp; Incident Reporting Standards</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&amp; Offline Cached Maps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- 3-Second Hold SOS Broadcast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bl>
    <w:p>
      <w:r>
        <w:br w:type="page"/>
      </w:r>
    </w:p>
    <w:p>
      <w:pPr>
        <w:spacing w:before="80" w:after="200"/>
        <w:jc w:val="center"/>
      </w:pPr>
      <w:r>
        <w:rPr>
          <w:b/>
        </w:rPr>
        <w:t>LIST OF ABBREVIATIONS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24"/>
        <w:gridCol w:w="5024"/>
      </w:tblGrid>
      <w:tr>
        <w:trPr>
          <w:cantSplit/>
        </w:trPr>
        <w:tc>
          <w:tcPr>
            <w:tcW w:type="dxa" w:w="2592"/>
            <w:vAlign w:val="center"/>
            <w:tcMar>
              <w:top w:w="120" w:type="dxa"/>
              <w:left w:w="160" w:type="dxa"/>
              <w:bottom w:w="120" w:type="dxa"/>
              <w:right w:w="160" w:type="dxa"/>
            </w:tcMar>
          </w:tcPr>
          <w:p>
            <w:r>
              <w:rPr>
                <w:b/>
              </w:rPr>
              <w:t>ABBREVIATION</w:t>
            </w:r>
          </w:p>
        </w:tc>
        <w:tc>
          <w:tcPr>
            <w:tcW w:type="dxa" w:w="6912"/>
            <w:vAlign w:val="center"/>
            <w:tcMar>
              <w:top w:w="120" w:type="dxa"/>
              <w:left w:w="160" w:type="dxa"/>
              <w:bottom w:w="120" w:type="dxa"/>
              <w:right w:w="160" w:type="dxa"/>
            </w:tcMar>
          </w:tcPr>
          <w:p>
            <w:r>
              <w:rPr>
                <w:b/>
              </w:rPr>
              <w:t>EXPANSION &amp; DESCRIPTION</w:t>
            </w:r>
          </w:p>
        </w:tc>
      </w:tr>
      <w:tr>
        <w:trPr>
          <w:cantSplit/>
        </w:trPr>
        <w:tc>
          <w:tcPr>
            <w:tcW w:type="dxa" w:w="2592"/>
            <w:vAlign w:val="center"/>
            <w:tcMar>
              <w:top w:w="120" w:type="dxa"/>
              <w:left w:w="160" w:type="dxa"/>
              <w:bottom w:w="120" w:type="dxa"/>
              <w:right w:w="160" w:type="dxa"/>
            </w:tcMar>
          </w:tcPr>
          <w:p>
            <w:r>
              <w:rPr>
                <w:b/>
              </w:rPr>
              <w:t>BLE</w:t>
            </w:r>
          </w:p>
        </w:tc>
        <w:tc>
          <w:tcPr>
            <w:tcW w:type="dxa" w:w="6912"/>
            <w:vAlign w:val="center"/>
            <w:tcMar>
              <w:top w:w="120" w:type="dxa"/>
              <w:left w:w="160" w:type="dxa"/>
              <w:bottom w:w="120" w:type="dxa"/>
              <w:right w:w="160" w:type="dxa"/>
            </w:tcMar>
          </w:tcPr>
          <w:p>
            <w:r>
              <w:t>Bluetooth Low Energy (2.4 GHz ISM wireless radio standard)</w:t>
            </w:r>
          </w:p>
        </w:tc>
      </w:tr>
      <w:tr>
        <w:trPr>
          <w:cantSplit/>
        </w:trPr>
        <w:tc>
          <w:tcPr>
            <w:tcW w:type="dxa" w:w="2592"/>
            <w:vAlign w:val="center"/>
            <w:tcMar>
              <w:top w:w="120" w:type="dxa"/>
              <w:left w:w="160" w:type="dxa"/>
              <w:bottom w:w="120" w:type="dxa"/>
              <w:right w:w="160" w:type="dxa"/>
            </w:tcMar>
          </w:tcPr>
          <w:p>
            <w:r>
              <w:rPr>
                <w:b/>
              </w:rPr>
              <w:t>GNSS</w:t>
            </w:r>
          </w:p>
        </w:tc>
        <w:tc>
          <w:tcPr>
            <w:tcW w:type="dxa" w:w="6912"/>
            <w:vAlign w:val="center"/>
            <w:tcMar>
              <w:top w:w="120" w:type="dxa"/>
              <w:left w:w="160" w:type="dxa"/>
              <w:bottom w:w="120" w:type="dxa"/>
              <w:right w:w="160" w:type="dxa"/>
            </w:tcMar>
          </w:tcPr>
          <w:p>
            <w:r>
              <w:t>Global Navigation Satellite System (GPS, GLONASS, Galileo, BeiDou)</w:t>
            </w:r>
          </w:p>
        </w:tc>
      </w:tr>
      <w:tr>
        <w:trPr>
          <w:cantSplit/>
        </w:trPr>
        <w:tc>
          <w:tcPr>
            <w:tcW w:type="dxa" w:w="2592"/>
            <w:vAlign w:val="center"/>
            <w:tcMar>
              <w:top w:w="120" w:type="dxa"/>
              <w:left w:w="160" w:type="dxa"/>
              <w:bottom w:w="120" w:type="dxa"/>
              <w:right w:w="160" w:type="dxa"/>
            </w:tcMar>
          </w:tcPr>
          <w:p>
            <w:r>
              <w:rPr>
                <w:b/>
              </w:rPr>
              <w:t>GPS</w:t>
            </w:r>
          </w:p>
        </w:tc>
        <w:tc>
          <w:tcPr>
            <w:tcW w:type="dxa" w:w="6912"/>
            <w:vAlign w:val="center"/>
            <w:tcMar>
              <w:top w:w="120" w:type="dxa"/>
              <w:left w:w="160" w:type="dxa"/>
              <w:bottom w:w="120" w:type="dxa"/>
              <w:right w:w="160" w:type="dxa"/>
            </w:tcMar>
          </w:tcPr>
          <w:p>
            <w:r>
              <w:t>Global Positioning System (US Satellite Navigation Constellation)</w:t>
            </w:r>
          </w:p>
        </w:tc>
      </w:tr>
      <w:tr>
        <w:trPr>
          <w:cantSplit/>
        </w:trPr>
        <w:tc>
          <w:tcPr>
            <w:tcW w:type="dxa" w:w="2592"/>
            <w:vAlign w:val="center"/>
            <w:tcMar>
              <w:top w:w="120" w:type="dxa"/>
              <w:left w:w="160" w:type="dxa"/>
              <w:bottom w:w="120" w:type="dxa"/>
              <w:right w:w="160" w:type="dxa"/>
            </w:tcMar>
          </w:tcPr>
          <w:p>
            <w:r>
              <w:rPr>
                <w:b/>
              </w:rPr>
              <w:t>INS</w:t>
            </w:r>
          </w:p>
        </w:tc>
        <w:tc>
          <w:tcPr>
            <w:tcW w:type="dxa" w:w="6912"/>
            <w:vAlign w:val="center"/>
            <w:tcMar>
              <w:top w:w="120" w:type="dxa"/>
              <w:left w:w="160" w:type="dxa"/>
              <w:bottom w:w="120" w:type="dxa"/>
              <w:right w:w="160" w:type="dxa"/>
            </w:tcMar>
          </w:tcPr>
          <w:p>
            <w:r>
              <w:t>Inertial Navigation System (Strapdown accelerometer/gyroscope system)</w:t>
            </w:r>
          </w:p>
        </w:tc>
      </w:tr>
      <w:tr>
        <w:trPr>
          <w:cantSplit/>
        </w:trPr>
        <w:tc>
          <w:tcPr>
            <w:tcW w:type="dxa" w:w="2592"/>
            <w:vAlign w:val="center"/>
            <w:tcMar>
              <w:top w:w="120" w:type="dxa"/>
              <w:left w:w="160" w:type="dxa"/>
              <w:bottom w:w="120" w:type="dxa"/>
              <w:right w:w="160" w:type="dxa"/>
            </w:tcMar>
          </w:tcPr>
          <w:p>
            <w:r>
              <w:rPr>
                <w:b/>
              </w:rPr>
              <w:t>IMU</w:t>
            </w:r>
          </w:p>
        </w:tc>
        <w:tc>
          <w:tcPr>
            <w:tcW w:type="dxa" w:w="6912"/>
            <w:vAlign w:val="center"/>
            <w:tcMar>
              <w:top w:w="120" w:type="dxa"/>
              <w:left w:w="160" w:type="dxa"/>
              <w:bottom w:w="120" w:type="dxa"/>
              <w:right w:w="160" w:type="dxa"/>
            </w:tcMar>
          </w:tcPr>
          <w:p>
            <w:r>
              <w:t>Inertial Measurement Unit (Tri-axial multi-sensor hardware unit)</w:t>
            </w:r>
          </w:p>
        </w:tc>
      </w:tr>
      <w:tr>
        <w:trPr>
          <w:cantSplit/>
        </w:trPr>
        <w:tc>
          <w:tcPr>
            <w:tcW w:type="dxa" w:w="2592"/>
            <w:vAlign w:val="center"/>
            <w:tcMar>
              <w:top w:w="120" w:type="dxa"/>
              <w:left w:w="160" w:type="dxa"/>
              <w:bottom w:w="120" w:type="dxa"/>
              <w:right w:w="160" w:type="dxa"/>
            </w:tcMar>
          </w:tcPr>
          <w:p>
            <w:r>
              <w:rPr>
                <w:b/>
              </w:rPr>
              <w:t>PDR</w:t>
            </w:r>
          </w:p>
        </w:tc>
        <w:tc>
          <w:tcPr>
            <w:tcW w:type="dxa" w:w="6912"/>
            <w:vAlign w:val="center"/>
            <w:tcMar>
              <w:top w:w="120" w:type="dxa"/>
              <w:left w:w="160" w:type="dxa"/>
              <w:bottom w:w="120" w:type="dxa"/>
              <w:right w:w="160" w:type="dxa"/>
            </w:tcMar>
          </w:tcPr>
          <w:p>
            <w:r>
              <w:t>Pedestrian Dead Reckoning (Step-stride kinematic positioning method)</w:t>
            </w:r>
          </w:p>
        </w:tc>
      </w:tr>
      <w:tr>
        <w:trPr>
          <w:cantSplit/>
        </w:trPr>
        <w:tc>
          <w:tcPr>
            <w:tcW w:type="dxa" w:w="2592"/>
            <w:vAlign w:val="center"/>
            <w:tcMar>
              <w:top w:w="120" w:type="dxa"/>
              <w:left w:w="160" w:type="dxa"/>
              <w:bottom w:w="120" w:type="dxa"/>
              <w:right w:w="160" w:type="dxa"/>
            </w:tcMar>
          </w:tcPr>
          <w:p>
            <w:r>
              <w:rPr>
                <w:b/>
              </w:rPr>
              <w:t>SF-PDR</w:t>
            </w:r>
          </w:p>
        </w:tc>
        <w:tc>
          <w:tcPr>
            <w:tcW w:type="dxa" w:w="6912"/>
            <w:vAlign w:val="center"/>
            <w:tcMar>
              <w:top w:w="120" w:type="dxa"/>
              <w:left w:w="160" w:type="dxa"/>
              <w:bottom w:w="120" w:type="dxa"/>
              <w:right w:w="160" w:type="dxa"/>
            </w:tcMar>
          </w:tcPr>
          <w:p>
            <w:r>
              <w:t>Sensor-Fusion Pedestrian Dead Reckoning (Proposed tracking framework)</w:t>
            </w:r>
          </w:p>
        </w:tc>
      </w:tr>
      <w:tr>
        <w:trPr>
          <w:cantSplit/>
        </w:trPr>
        <w:tc>
          <w:tcPr>
            <w:tcW w:type="dxa" w:w="2592"/>
            <w:vAlign w:val="center"/>
            <w:tcMar>
              <w:top w:w="120" w:type="dxa"/>
              <w:left w:w="160" w:type="dxa"/>
              <w:bottom w:w="120" w:type="dxa"/>
              <w:right w:w="160" w:type="dxa"/>
            </w:tcMar>
          </w:tcPr>
          <w:p>
            <w:r>
              <w:rPr>
                <w:b/>
              </w:rPr>
              <w:t>DTN</w:t>
            </w:r>
          </w:p>
        </w:tc>
        <w:tc>
          <w:tcPr>
            <w:tcW w:type="dxa" w:w="6912"/>
            <w:vAlign w:val="center"/>
            <w:tcMar>
              <w:top w:w="120" w:type="dxa"/>
              <w:left w:w="160" w:type="dxa"/>
              <w:bottom w:w="120" w:type="dxa"/>
              <w:right w:w="160" w:type="dxa"/>
            </w:tcMar>
          </w:tcPr>
          <w:p>
            <w:r>
              <w:t>Delay-Tolerant Network (Store-and-forward opportunistic network architecture)</w:t>
            </w:r>
          </w:p>
        </w:tc>
      </w:tr>
      <w:tr>
        <w:trPr>
          <w:cantSplit/>
        </w:trPr>
        <w:tc>
          <w:tcPr>
            <w:tcW w:type="dxa" w:w="2592"/>
            <w:vAlign w:val="center"/>
            <w:tcMar>
              <w:top w:w="120" w:type="dxa"/>
              <w:left w:w="160" w:type="dxa"/>
              <w:bottom w:w="120" w:type="dxa"/>
              <w:right w:w="160" w:type="dxa"/>
            </w:tcMar>
          </w:tcPr>
          <w:p>
            <w:r>
              <w:rPr>
                <w:b/>
              </w:rPr>
              <w:t>SAR</w:t>
            </w:r>
          </w:p>
        </w:tc>
        <w:tc>
          <w:tcPr>
            <w:tcW w:type="dxa" w:w="6912"/>
            <w:vAlign w:val="center"/>
            <w:tcMar>
              <w:top w:w="120" w:type="dxa"/>
              <w:left w:w="160" w:type="dxa"/>
              <w:bottom w:w="120" w:type="dxa"/>
              <w:right w:w="160" w:type="dxa"/>
            </w:tcMar>
          </w:tcPr>
          <w:p>
            <w:r>
              <w:t>Search and Rescue (Wilderness emergency operations and extraction teams)</w:t>
            </w:r>
          </w:p>
        </w:tc>
      </w:tr>
      <w:tr>
        <w:trPr>
          <w:cantSplit/>
        </w:trPr>
        <w:tc>
          <w:tcPr>
            <w:tcW w:type="dxa" w:w="2592"/>
            <w:vAlign w:val="center"/>
            <w:tcMar>
              <w:top w:w="120" w:type="dxa"/>
              <w:left w:w="160" w:type="dxa"/>
              <w:bottom w:w="120" w:type="dxa"/>
              <w:right w:w="160" w:type="dxa"/>
            </w:tcMar>
          </w:tcPr>
          <w:p>
            <w:r>
              <w:rPr>
                <w:b/>
              </w:rPr>
              <w:t>MEMS</w:t>
            </w:r>
          </w:p>
        </w:tc>
        <w:tc>
          <w:tcPr>
            <w:tcW w:type="dxa" w:w="6912"/>
            <w:vAlign w:val="center"/>
            <w:tcMar>
              <w:top w:w="120" w:type="dxa"/>
              <w:left w:w="160" w:type="dxa"/>
              <w:bottom w:w="120" w:type="dxa"/>
              <w:right w:w="160" w:type="dxa"/>
            </w:tcMar>
          </w:tcPr>
          <w:p>
            <w:r>
              <w:t>Micro-ElectroMechanical Systems (Miniaturized silicon motion sensors)</w:t>
            </w:r>
          </w:p>
        </w:tc>
      </w:tr>
      <w:tr>
        <w:trPr>
          <w:cantSplit/>
        </w:trPr>
        <w:tc>
          <w:tcPr>
            <w:tcW w:type="dxa" w:w="2592"/>
            <w:vAlign w:val="center"/>
            <w:tcMar>
              <w:top w:w="120" w:type="dxa"/>
              <w:left w:w="160" w:type="dxa"/>
              <w:bottom w:w="120" w:type="dxa"/>
              <w:right w:w="160" w:type="dxa"/>
            </w:tcMar>
          </w:tcPr>
          <w:p>
            <w:r>
              <w:rPr>
                <w:b/>
              </w:rPr>
              <w:t>PDOP</w:t>
            </w:r>
          </w:p>
        </w:tc>
        <w:tc>
          <w:tcPr>
            <w:tcW w:type="dxa" w:w="6912"/>
            <w:vAlign w:val="center"/>
            <w:tcMar>
              <w:top w:w="120" w:type="dxa"/>
              <w:left w:w="160" w:type="dxa"/>
              <w:bottom w:w="120" w:type="dxa"/>
              <w:right w:w="160" w:type="dxa"/>
            </w:tcMar>
          </w:tcPr>
          <w:p>
            <w:r>
              <w:t>Position Dilution of Precision (Satellite geometric configuration quality factor)</w:t>
            </w:r>
          </w:p>
        </w:tc>
      </w:tr>
      <w:tr>
        <w:trPr>
          <w:cantSplit/>
        </w:trPr>
        <w:tc>
          <w:tcPr>
            <w:tcW w:type="dxa" w:w="2592"/>
            <w:vAlign w:val="center"/>
            <w:tcMar>
              <w:top w:w="120" w:type="dxa"/>
              <w:left w:w="160" w:type="dxa"/>
              <w:bottom w:w="120" w:type="dxa"/>
              <w:right w:w="160" w:type="dxa"/>
            </w:tcMar>
          </w:tcPr>
          <w:p>
            <w:r>
              <w:rPr>
                <w:b/>
              </w:rPr>
              <w:t>OSM</w:t>
            </w:r>
          </w:p>
        </w:tc>
        <w:tc>
          <w:tcPr>
            <w:tcW w:type="dxa" w:w="6912"/>
            <w:vAlign w:val="center"/>
            <w:tcMar>
              <w:top w:w="120" w:type="dxa"/>
              <w:left w:w="160" w:type="dxa"/>
              <w:bottom w:w="120" w:type="dxa"/>
              <w:right w:w="160" w:type="dxa"/>
            </w:tcMar>
          </w:tcPr>
          <w:p>
            <w:r>
              <w:t>OpenStreetMap (Open-access collaborative worldwide geographic dataset)</w:t>
            </w:r>
          </w:p>
        </w:tc>
      </w:tr>
      <w:tr>
        <w:trPr>
          <w:cantSplit/>
        </w:trPr>
        <w:tc>
          <w:tcPr>
            <w:tcW w:type="dxa" w:w="2592"/>
            <w:vAlign w:val="center"/>
            <w:tcMar>
              <w:top w:w="120" w:type="dxa"/>
              <w:left w:w="160" w:type="dxa"/>
              <w:bottom w:w="120" w:type="dxa"/>
              <w:right w:w="160" w:type="dxa"/>
            </w:tcMar>
          </w:tcPr>
          <w:p>
            <w:r>
              <w:rPr>
                <w:b/>
              </w:rPr>
              <w:t>MVT</w:t>
            </w:r>
          </w:p>
        </w:tc>
        <w:tc>
          <w:tcPr>
            <w:tcW w:type="dxa" w:w="6912"/>
            <w:vAlign w:val="center"/>
            <w:tcMar>
              <w:top w:w="120" w:type="dxa"/>
              <w:left w:w="160" w:type="dxa"/>
              <w:bottom w:w="120" w:type="dxa"/>
              <w:right w:w="160" w:type="dxa"/>
            </w:tcMar>
          </w:tcPr>
          <w:p>
            <w:r>
              <w:t>Mapbox Vector Tiles (Standard protocol buffer encoded spatial vector format)</w:t>
            </w:r>
          </w:p>
        </w:tc>
      </w:tr>
      <w:tr>
        <w:trPr>
          <w:cantSplit/>
        </w:trPr>
        <w:tc>
          <w:tcPr>
            <w:tcW w:type="dxa" w:w="2592"/>
            <w:vAlign w:val="center"/>
            <w:tcMar>
              <w:top w:w="120" w:type="dxa"/>
              <w:left w:w="160" w:type="dxa"/>
              <w:bottom w:w="120" w:type="dxa"/>
              <w:right w:w="160" w:type="dxa"/>
            </w:tcMar>
          </w:tcPr>
          <w:p>
            <w:r>
              <w:rPr>
                <w:b/>
              </w:rPr>
              <w:t>PBF</w:t>
            </w:r>
          </w:p>
        </w:tc>
        <w:tc>
          <w:tcPr>
            <w:tcW w:type="dxa" w:w="6912"/>
            <w:vAlign w:val="center"/>
            <w:tcMar>
              <w:top w:w="120" w:type="dxa"/>
              <w:left w:w="160" w:type="dxa"/>
              <w:bottom w:w="120" w:type="dxa"/>
              <w:right w:w="160" w:type="dxa"/>
            </w:tcMar>
          </w:tcPr>
          <w:p>
            <w:r>
              <w:t>Protocol Buffer Format (Binary serialized geographic data encoding)</w:t>
            </w:r>
          </w:p>
        </w:tc>
      </w:tr>
      <w:tr>
        <w:trPr>
          <w:cantSplit/>
        </w:trPr>
        <w:tc>
          <w:tcPr>
            <w:tcW w:type="dxa" w:w="2592"/>
            <w:vAlign w:val="center"/>
            <w:tcMar>
              <w:top w:w="120" w:type="dxa"/>
              <w:left w:w="160" w:type="dxa"/>
              <w:bottom w:w="120" w:type="dxa"/>
              <w:right w:w="160" w:type="dxa"/>
            </w:tcMar>
          </w:tcPr>
          <w:p>
            <w:r>
              <w:rPr>
                <w:b/>
              </w:rPr>
              <w:t>OSRM</w:t>
            </w:r>
          </w:p>
        </w:tc>
        <w:tc>
          <w:tcPr>
            <w:tcW w:type="dxa" w:w="6912"/>
            <w:vAlign w:val="center"/>
            <w:tcMar>
              <w:top w:w="120" w:type="dxa"/>
              <w:left w:w="160" w:type="dxa"/>
              <w:bottom w:w="120" w:type="dxa"/>
              <w:right w:w="160" w:type="dxa"/>
            </w:tcMar>
          </w:tcPr>
          <w:p>
            <w:r>
              <w:t>Open Source Routing Machine (High-performance routing and navigation engine)</w:t>
            </w:r>
          </w:p>
        </w:tc>
      </w:tr>
      <w:tr>
        <w:trPr>
          <w:cantSplit/>
        </w:trPr>
        <w:tc>
          <w:tcPr>
            <w:tcW w:type="dxa" w:w="2592"/>
            <w:vAlign w:val="center"/>
            <w:tcMar>
              <w:top w:w="120" w:type="dxa"/>
              <w:left w:w="160" w:type="dxa"/>
              <w:bottom w:w="120" w:type="dxa"/>
              <w:right w:w="160" w:type="dxa"/>
            </w:tcMar>
          </w:tcPr>
          <w:p>
            <w:r>
              <w:rPr>
                <w:b/>
              </w:rPr>
              <w:t>GATT</w:t>
            </w:r>
          </w:p>
        </w:tc>
        <w:tc>
          <w:tcPr>
            <w:tcW w:type="dxa" w:w="6912"/>
            <w:vAlign w:val="center"/>
            <w:tcMar>
              <w:top w:w="120" w:type="dxa"/>
              <w:left w:w="160" w:type="dxa"/>
              <w:bottom w:w="120" w:type="dxa"/>
              <w:right w:w="160" w:type="dxa"/>
            </w:tcMar>
          </w:tcPr>
          <w:p>
            <w:r>
              <w:t>Generic Attribute Profile (Bluetooth Low Energy communication layer)</w:t>
            </w:r>
          </w:p>
        </w:tc>
      </w:tr>
      <w:tr>
        <w:trPr>
          <w:cantSplit/>
        </w:trPr>
        <w:tc>
          <w:tcPr>
            <w:tcW w:type="dxa" w:w="2592"/>
            <w:vAlign w:val="center"/>
            <w:tcMar>
              <w:top w:w="120" w:type="dxa"/>
              <w:left w:w="160" w:type="dxa"/>
              <w:bottom w:w="120" w:type="dxa"/>
              <w:right w:w="160" w:type="dxa"/>
            </w:tcMar>
          </w:tcPr>
          <w:p>
            <w:r>
              <w:rPr>
                <w:b/>
              </w:rPr>
              <w:t>FIFO</w:t>
            </w:r>
          </w:p>
        </w:tc>
        <w:tc>
          <w:tcPr>
            <w:tcW w:type="dxa" w:w="6912"/>
            <w:vAlign w:val="center"/>
            <w:tcMar>
              <w:top w:w="120" w:type="dxa"/>
              <w:left w:w="160" w:type="dxa"/>
              <w:bottom w:w="120" w:type="dxa"/>
              <w:right w:w="160" w:type="dxa"/>
            </w:tcMar>
          </w:tcPr>
          <w:p>
            <w:r>
              <w:t>First-In, First-Out (Circular sample buffer architecture)</w:t>
            </w:r>
          </w:p>
        </w:tc>
      </w:tr>
      <w:tr>
        <w:trPr>
          <w:cantSplit/>
        </w:trPr>
        <w:tc>
          <w:tcPr>
            <w:tcW w:type="dxa" w:w="2592"/>
            <w:vAlign w:val="center"/>
            <w:tcMar>
              <w:top w:w="120" w:type="dxa"/>
              <w:left w:w="160" w:type="dxa"/>
              <w:bottom w:w="120" w:type="dxa"/>
              <w:right w:w="160" w:type="dxa"/>
            </w:tcMar>
          </w:tcPr>
          <w:p>
            <w:r>
              <w:rPr>
                <w:b/>
              </w:rPr>
              <w:t>REST</w:t>
            </w:r>
          </w:p>
        </w:tc>
        <w:tc>
          <w:tcPr>
            <w:tcW w:type="dxa" w:w="6912"/>
            <w:vAlign w:val="center"/>
            <w:tcMar>
              <w:top w:w="120" w:type="dxa"/>
              <w:left w:w="160" w:type="dxa"/>
              <w:bottom w:w="120" w:type="dxa"/>
              <w:right w:w="160" w:type="dxa"/>
            </w:tcMar>
          </w:tcPr>
          <w:p>
            <w:r>
              <w:t>Representational State Transfer (Stateless HTTP web API architectural style)</w:t>
            </w:r>
          </w:p>
        </w:tc>
      </w:tr>
      <w:tr>
        <w:trPr>
          <w:cantSplit/>
        </w:trPr>
        <w:tc>
          <w:tcPr>
            <w:tcW w:type="dxa" w:w="2592"/>
            <w:vAlign w:val="center"/>
            <w:tcMar>
              <w:top w:w="120" w:type="dxa"/>
              <w:left w:w="160" w:type="dxa"/>
              <w:bottom w:w="120" w:type="dxa"/>
              <w:right w:w="160" w:type="dxa"/>
            </w:tcMar>
          </w:tcPr>
          <w:p>
            <w:r>
              <w:rPr>
                <w:b/>
              </w:rPr>
              <w:t>API</w:t>
            </w:r>
          </w:p>
        </w:tc>
        <w:tc>
          <w:tcPr>
            <w:tcW w:type="dxa" w:w="6912"/>
            <w:vAlign w:val="center"/>
            <w:tcMar>
              <w:top w:w="120" w:type="dxa"/>
              <w:left w:w="160" w:type="dxa"/>
              <w:bottom w:w="120" w:type="dxa"/>
              <w:right w:w="160" w:type="dxa"/>
            </w:tcMar>
          </w:tcPr>
          <w:p>
            <w:r>
              <w:t>Application Programming Interface (Inter-software communication interface)</w:t>
            </w:r>
          </w:p>
        </w:tc>
      </w:tr>
      <w:tr>
        <w:trPr>
          <w:cantSplit/>
        </w:trPr>
        <w:tc>
          <w:tcPr>
            <w:tcW w:type="dxa" w:w="2592"/>
            <w:vAlign w:val="center"/>
            <w:tcMar>
              <w:top w:w="120" w:type="dxa"/>
              <w:left w:w="160" w:type="dxa"/>
              <w:bottom w:w="120" w:type="dxa"/>
              <w:right w:w="160" w:type="dxa"/>
            </w:tcMar>
          </w:tcPr>
          <w:p>
            <w:r>
              <w:rPr>
                <w:b/>
              </w:rPr>
              <w:t>UUID</w:t>
            </w:r>
          </w:p>
        </w:tc>
        <w:tc>
          <w:tcPr>
            <w:tcW w:type="dxa" w:w="6912"/>
            <w:vAlign w:val="center"/>
            <w:tcMar>
              <w:top w:w="120" w:type="dxa"/>
              <w:left w:w="160" w:type="dxa"/>
              <w:bottom w:w="120" w:type="dxa"/>
              <w:right w:w="160" w:type="dxa"/>
            </w:tcMar>
          </w:tcPr>
          <w:p>
            <w:r>
              <w:t>Universally Unique Identifier (128-bit unique packet and beacon identifier)</w:t>
            </w:r>
          </w:p>
        </w:tc>
      </w:tr>
      <w:tr>
        <w:trPr>
          <w:cantSplit/>
        </w:trPr>
        <w:tc>
          <w:tcPr>
            <w:tcW w:type="dxa" w:w="2592"/>
            <w:vAlign w:val="center"/>
            <w:tcMar>
              <w:top w:w="120" w:type="dxa"/>
              <w:left w:w="160" w:type="dxa"/>
              <w:bottom w:w="120" w:type="dxa"/>
              <w:right w:w="160" w:type="dxa"/>
            </w:tcMar>
          </w:tcPr>
          <w:p>
            <w:r>
              <w:rPr>
                <w:b/>
              </w:rPr>
              <w:t>HUD</w:t>
            </w:r>
          </w:p>
        </w:tc>
        <w:tc>
          <w:tcPr>
            <w:tcW w:type="dxa" w:w="6912"/>
            <w:vAlign w:val="center"/>
            <w:tcMar>
              <w:top w:w="120" w:type="dxa"/>
              <w:left w:w="160" w:type="dxa"/>
              <w:bottom w:w="120" w:type="dxa"/>
              <w:right w:w="160" w:type="dxa"/>
            </w:tcMar>
          </w:tcPr>
          <w:p>
            <w:r>
              <w:t>Heads-Up Display (Tactical operational high-contrast mobile user interface)</w:t>
            </w:r>
          </w:p>
        </w:tc>
      </w:tr>
      <w:tr>
        <w:trPr>
          <w:cantSplit/>
        </w:trPr>
        <w:tc>
          <w:tcPr>
            <w:tcW w:type="dxa" w:w="2592"/>
            <w:vAlign w:val="center"/>
            <w:tcMar>
              <w:top w:w="120" w:type="dxa"/>
              <w:left w:w="160" w:type="dxa"/>
              <w:bottom w:w="120" w:type="dxa"/>
              <w:right w:w="160" w:type="dxa"/>
            </w:tcMar>
          </w:tcPr>
          <w:p>
            <w:r>
              <w:rPr>
                <w:b/>
              </w:rPr>
              <w:t>RSSI</w:t>
            </w:r>
          </w:p>
        </w:tc>
        <w:tc>
          <w:tcPr>
            <w:tcW w:type="dxa" w:w="6912"/>
            <w:vAlign w:val="center"/>
            <w:tcMar>
              <w:top w:w="120" w:type="dxa"/>
              <w:left w:w="160" w:type="dxa"/>
              <w:bottom w:w="120" w:type="dxa"/>
              <w:right w:w="160" w:type="dxa"/>
            </w:tcMar>
          </w:tcPr>
          <w:p>
            <w:r>
              <w:t>Received Signal Strength Indicator (Radio frequency reception power metric)</w:t>
            </w:r>
          </w:p>
        </w:tc>
      </w:tr>
      <w:tr>
        <w:trPr>
          <w:cantSplit/>
        </w:trPr>
        <w:tc>
          <w:tcPr>
            <w:tcW w:type="dxa" w:w="2592"/>
            <w:vAlign w:val="center"/>
            <w:tcMar>
              <w:top w:w="120" w:type="dxa"/>
              <w:left w:w="160" w:type="dxa"/>
              <w:bottom w:w="120" w:type="dxa"/>
              <w:right w:w="160" w:type="dxa"/>
            </w:tcMar>
          </w:tcPr>
          <w:p>
            <w:r>
              <w:rPr>
                <w:b/>
              </w:rPr>
              <w:t>JSON</w:t>
            </w:r>
          </w:p>
        </w:tc>
        <w:tc>
          <w:tcPr>
            <w:tcW w:type="dxa" w:w="6912"/>
            <w:vAlign w:val="center"/>
            <w:tcMar>
              <w:top w:w="120" w:type="dxa"/>
              <w:left w:w="160" w:type="dxa"/>
              <w:bottom w:w="120" w:type="dxa"/>
              <w:right w:w="160" w:type="dxa"/>
            </w:tcMar>
          </w:tcPr>
          <w:p>
            <w:r>
              <w:t>JavaScript Object Notation (Lightweight data interchange format)</w:t>
            </w:r>
          </w:p>
        </w:tc>
      </w:tr>
      <w:tr>
        <w:trPr>
          <w:cantSplit/>
        </w:trPr>
        <w:tc>
          <w:tcPr>
            <w:tcW w:type="dxa" w:w="2592"/>
            <w:vAlign w:val="center"/>
            <w:tcMar>
              <w:top w:w="120" w:type="dxa"/>
              <w:left w:w="160" w:type="dxa"/>
              <w:bottom w:w="120" w:type="dxa"/>
              <w:right w:w="160" w:type="dxa"/>
            </w:tcMar>
          </w:tcPr>
          <w:p>
            <w:r>
              <w:rPr>
                <w:b/>
              </w:rPr>
              <w:t>LoRa</w:t>
            </w:r>
          </w:p>
        </w:tc>
        <w:tc>
          <w:tcPr>
            <w:tcW w:type="dxa" w:w="6912"/>
            <w:vAlign w:val="center"/>
            <w:tcMar>
              <w:top w:w="120" w:type="dxa"/>
              <w:left w:w="160" w:type="dxa"/>
              <w:bottom w:w="120" w:type="dxa"/>
              <w:right w:w="160" w:type="dxa"/>
            </w:tcMar>
          </w:tcPr>
          <w:p>
            <w:r>
              <w:t>Long Range Low-Power Wide-Area Network Modulation (868/915 MHz chirped spread spectrum)</w:t>
            </w:r>
          </w:p>
        </w:tc>
      </w:tr>
      <w:tr>
        <w:trPr>
          <w:cantSplit/>
        </w:trPr>
        <w:tc>
          <w:tcPr>
            <w:tcW w:type="dxa" w:w="2592"/>
            <w:vAlign w:val="center"/>
            <w:tcMar>
              <w:top w:w="120" w:type="dxa"/>
              <w:left w:w="160" w:type="dxa"/>
              <w:bottom w:w="120" w:type="dxa"/>
              <w:right w:w="160" w:type="dxa"/>
            </w:tcMar>
          </w:tcPr>
          <w:p>
            <w:r>
              <w:rPr>
                <w:b/>
              </w:rPr>
              <w:t>EKF</w:t>
            </w:r>
          </w:p>
        </w:tc>
        <w:tc>
          <w:tcPr>
            <w:tcW w:type="dxa" w:w="6912"/>
            <w:vAlign w:val="center"/>
            <w:tcMar>
              <w:top w:w="120" w:type="dxa"/>
              <w:left w:w="160" w:type="dxa"/>
              <w:bottom w:w="120" w:type="dxa"/>
              <w:right w:w="160" w:type="dxa"/>
            </w:tcMar>
          </w:tcPr>
          <w:p>
            <w: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(Robust Neural Inertial Navigation)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three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Existing navigation systems fail to gracefully decouple degraded satellite signals, allowing corrupted GNSS fixes to pollute inertial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 through un-optimized rendering pipelines.</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608628"/>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2829364"/>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2829364"/>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2608628"/>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359574"/>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359574"/>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3714368"/>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3714368"/>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4937760" cy="2665323"/>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4937760" cy="2665323"/>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4937760" cy="2665323"/>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pPr>
        <w:keepNext/>
        <w:spacing w:before="200" w:after="80"/>
        <w:jc w:val="center"/>
      </w:pPr>
      <w:r>
        <w:drawing>
          <wp:inline xmlns:a="http://schemas.openxmlformats.org/drawingml/2006/main" xmlns:pic="http://schemas.openxmlformats.org/drawingml/2006/picture">
            <wp:extent cx="4937760" cy="2665323"/>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4.5: Mobile Client - Landing Interface &amp; Offline Cached Maps Management</w:t>
      </w:r>
    </w:p>
    <w:p>
      <w:pPr>
        <w:spacing w:line="360" w:lineRule="auto" w:after="120"/>
        <w:jc w:val="both"/>
      </w:pPr>
      <w:r>
        <w:rPr>
          <w:rFonts w:ascii="Times New Roman" w:hAnsi="Times New Roman"/>
          <w:sz w:val="24"/>
        </w:rPr>
        <w:t>Figure 4.5 shows the mobile application landing screen, displaying camera QR scan triggers, locally cached Hive map packages, and direct emergency SOS dashboard links.</w:t>
      </w:r>
    </w:p>
    <w:p>
      <w:pPr>
        <w:keepNext/>
        <w:spacing w:before="200" w:after="80"/>
        <w:jc w:val="center"/>
      </w:pPr>
      <w:r>
        <w:drawing>
          <wp:inline xmlns:a="http://schemas.openxmlformats.org/drawingml/2006/main" xmlns:pic="http://schemas.openxmlformats.org/drawingml/2006/picture">
            <wp:extent cx="4937760" cy="2665323"/>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360" w:lineRule="auto" w:after="120"/>
        <w:jc w:val="both"/>
      </w:pPr>
      <w:r>
        <w:rPr>
          <w:rFonts w:ascii="Times New Roman" w:hAnsi="Times New Roman"/>
          <w:sz w:val="24"/>
        </w:rPr>
        <w:t>Figure 4.6 displays the offline vector blueprint canvas showing campus walkways, live SF-PDR coordinate tracking, heading orientation markers, and the round red emergency trigger button.</w:t>
      </w:r>
    </w:p>
    <w:p>
      <w:pPr>
        <w:keepNext/>
        <w:spacing w:before="200" w:after="80"/>
        <w:jc w:val="center"/>
      </w:pPr>
      <w:r>
        <w:drawing>
          <wp:inline xmlns:a="http://schemas.openxmlformats.org/drawingml/2006/main" xmlns:pic="http://schemas.openxmlformats.org/drawingml/2006/picture">
            <wp:extent cx="4937760" cy="2665323"/>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4.7: Mobile Tactical Interface - 3-Second Hold SOS Broadcast Dashboard</w:t>
      </w:r>
    </w:p>
    <w:p>
      <w:pPr>
        <w:spacing w:line="360" w:lineRule="auto" w:after="120"/>
        <w:jc w:val="both"/>
      </w:pPr>
      <w:r>
        <w:rPr>
          <w:rFonts w:ascii="Times New Roman" w:hAnsi="Times New Roman"/>
          <w:sz w:val="24"/>
        </w:rPr>
        <w:t>Figure 4.7 shows the emergency dispatch screen featuring the 3-second hold emergency trigger, active BLE mesh advertising status, hop telemetry, and offline queue status.</w:t>
      </w:r>
    </w:p>
    <w:p>
      <w:pPr>
        <w:keepNext/>
        <w:spacing w:before="200" w:after="80"/>
        <w:jc w:val="center"/>
      </w:pPr>
      <w:r>
        <w:drawing>
          <wp:inline xmlns:a="http://schemas.openxmlformats.org/drawingml/2006/main" xmlns:pic="http://schemas.openxmlformats.org/drawingml/2006/picture">
            <wp:extent cx="4937760" cy="2665323"/>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665323"/>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360" w:lineRule="auto" w:after="120"/>
        <w:jc w:val="both"/>
      </w:pPr>
      <w:r>
        <w:rPr>
          <w:rFonts w:ascii="Times New Roman" w:hAnsi="Times New Roman"/>
          <w:sz w:val="24"/>
        </w:rPr>
        <w:t>Figure 4.8 illustrates the cloud Search and Rescue incident control room dashboard, rendering live pulsing distress beacons, 2DSphere spatial search perimeters, incident statistics, and status toggle controls.</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