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pPr>
        <w:spacing w:before="80" w:after="280"/>
        <w:jc w:val="center"/>
      </w:pPr>
      <w:r>
        <w:rPr>
          <w:rFonts w:ascii="Times New Roman" w:hAnsi="Times New Roman"/>
          <w:b/>
          <w:sz w:val="32"/>
        </w:rPr>
        <w:t>ACKNOWLEDGEMENT</w:t>
      </w:r>
    </w:p>
    <w:p>
      <w:pPr>
        <w:spacing w:line="312" w:lineRule="auto" w:after="200"/>
        <w:jc w:val="both"/>
      </w:pPr>
      <w:r>
        <w:rPr>
          <w:rFonts w:ascii="Times New Roman" w:hAnsi="Times New Roman"/>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pPr>
        <w:spacing w:line="312" w:lineRule="auto" w:after="200"/>
        <w:jc w:val="both"/>
      </w:pPr>
      <w:r>
        <w:rPr>
          <w:rFonts w:ascii="Times New Roman" w:hAnsi="Times New Roman"/>
          <w:sz w:val="24"/>
        </w:rPr>
        <w:t xml:space="preserve">It is indeed our great honor bounded duty to thank our beloved </w:t>
      </w:r>
      <w:r>
        <w:rPr>
          <w:rFonts w:ascii="Times New Roman" w:hAnsi="Times New Roman"/>
          <w:b/>
          <w:sz w:val="24"/>
        </w:rPr>
        <w:t>Chairman Mr. R. Mohanram</w:t>
      </w:r>
      <w:r>
        <w:rPr>
          <w:rFonts w:ascii="Times New Roman" w:hAnsi="Times New Roman"/>
          <w:sz w:val="24"/>
        </w:rPr>
        <w:t xml:space="preserve">, for his academic interest towards the students. We are in debted to our </w:t>
      </w:r>
      <w:r>
        <w:rPr>
          <w:rFonts w:ascii="Times New Roman" w:hAnsi="Times New Roman"/>
          <w:b/>
          <w:sz w:val="24"/>
        </w:rPr>
        <w:t>Director Mr. R. Rajaram</w:t>
      </w:r>
      <w:r>
        <w:rPr>
          <w:rFonts w:ascii="Times New Roman" w:hAnsi="Times New Roman"/>
          <w:sz w:val="24"/>
        </w:rPr>
        <w:t>, for motivating and providing us with all facilities.</w:t>
      </w:r>
    </w:p>
    <w:p>
      <w:pPr>
        <w:spacing w:line="312" w:lineRule="auto" w:after="200"/>
        <w:jc w:val="both"/>
      </w:pPr>
      <w:r>
        <w:rPr>
          <w:rFonts w:ascii="Times New Roman" w:hAnsi="Times New Roman"/>
          <w:sz w:val="24"/>
        </w:rPr>
        <w:t xml:space="preserve">We wish to express our sincere regards and deep sense of gratitude to </w:t>
      </w:r>
      <w:r>
        <w:rPr>
          <w:rFonts w:ascii="Times New Roman" w:hAnsi="Times New Roman"/>
          <w:b/>
          <w:sz w:val="24"/>
        </w:rPr>
        <w:t>Dr.Sudha Mohanram M.E, Ph.D. Principal</w:t>
      </w:r>
      <w:r>
        <w:rPr>
          <w:rFonts w:ascii="Times New Roman" w:hAnsi="Times New Roman"/>
          <w:sz w:val="24"/>
        </w:rPr>
        <w:t>, for the excellent facilities and encouragement provided during the course of the study and project.</w:t>
      </w:r>
    </w:p>
    <w:p>
      <w:pPr>
        <w:spacing w:line="312" w:lineRule="auto" w:after="200"/>
        <w:jc w:val="both"/>
      </w:pPr>
      <w:r>
        <w:rPr>
          <w:rFonts w:ascii="Times New Roman" w:hAnsi="Times New Roman"/>
          <w:sz w:val="24"/>
        </w:rPr>
        <w:t xml:space="preserve">We are indebted to </w:t>
      </w:r>
      <w:r>
        <w:rPr>
          <w:rFonts w:ascii="Times New Roman" w:hAnsi="Times New Roman"/>
          <w:b/>
          <w:sz w:val="24"/>
        </w:rPr>
        <w:t>Dr.S.Siamala Devi, ME., Ph.D.</w:t>
      </w:r>
      <w:r>
        <w:rPr>
          <w:rFonts w:ascii="Times New Roman" w:hAnsi="Times New Roman"/>
          <w:sz w:val="24"/>
        </w:rPr>
        <w:t xml:space="preserve"> Head of Information Technology Department for having permitted us to carry out this project and giving the complete freedom to utilize the resources of the department.</w:t>
      </w:r>
    </w:p>
    <w:p>
      <w:pPr>
        <w:spacing w:line="312" w:lineRule="auto" w:after="200"/>
        <w:jc w:val="both"/>
      </w:pPr>
      <w:r>
        <w:rPr>
          <w:rFonts w:ascii="Times New Roman" w:hAnsi="Times New Roman"/>
          <w:sz w:val="24"/>
        </w:rPr>
        <w:t xml:space="preserve">We express our sincere thanks to our project Co-ordinator </w:t>
      </w:r>
      <w:r>
        <w:rPr>
          <w:rFonts w:ascii="Times New Roman" w:hAnsi="Times New Roman"/>
          <w:b/>
          <w:sz w:val="24"/>
        </w:rPr>
        <w:t>Mr.C.Vasanthakumar, M.E., (Ph.D)</w:t>
      </w:r>
      <w:r>
        <w:rPr>
          <w:rFonts w:ascii="Times New Roman" w:hAnsi="Times New Roman"/>
          <w:sz w:val="24"/>
        </w:rPr>
        <w:t xml:space="preserve"> Assistant Professor, Department of Information Technology for providing us his support and guidance and encouragement given to us for this project.</w:t>
      </w:r>
    </w:p>
    <w:p>
      <w:pPr>
        <w:spacing w:line="312" w:lineRule="auto" w:after="200"/>
        <w:jc w:val="both"/>
      </w:pPr>
      <w:r>
        <w:rPr>
          <w:rFonts w:ascii="Times New Roman" w:hAnsi="Times New Roman"/>
          <w:sz w:val="24"/>
        </w:rPr>
        <w:t xml:space="preserve">We also extend our heartfelt thanks to our Project Guide </w:t>
      </w:r>
      <w:r>
        <w:rPr>
          <w:rFonts w:ascii="Times New Roman" w:hAnsi="Times New Roman"/>
          <w:b/>
          <w:sz w:val="24"/>
        </w:rPr>
        <w:t>Dr. S. Siamala Devi, ME., Ph.D.,</w:t>
      </w:r>
      <w:r>
        <w:rPr>
          <w:rFonts w:ascii="Times New Roman" w:hAnsi="Times New Roman"/>
          <w:sz w:val="24"/>
        </w:rPr>
        <w:t>Head of the Department, Department of Information Technology for providing us his support and guidance which really helped us.</w:t>
      </w:r>
    </w:p>
    <w:p>
      <w:pPr>
        <w:spacing w:line="312" w:lineRule="auto" w:after="200"/>
        <w:jc w:val="both"/>
      </w:pPr>
      <w:r>
        <w:rPr>
          <w:rFonts w:ascii="Times New Roman" w:hAnsi="Times New Roman"/>
          <w:sz w:val="24"/>
        </w:rPr>
        <w:t>We solemnly express our thanks to all the teaching and non-teaching staff of the Information Technology Department, family and friends for their valuable support which inspired us to work on this project.</w:t>
      </w:r>
    </w:p>
    <w:p>
      <w:r>
        <w:br w:type="page"/>
      </w:r>
    </w:p>
    <w:p>
      <w:pPr>
        <w:spacing w:before="80" w:after="20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8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13</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bl>
    <w:p>
      <w:r>
        <w:br w:type="page"/>
      </w:r>
    </w:p>
    <w:p>
      <w:pPr>
        <w:spacing w:before="80" w:after="20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&amp; Offline Cached Maps Management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- 3-Second Hold SOS Broadcast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bl>
    <w:p>
      <w:r>
        <w:br w:type="page"/>
      </w:r>
    </w:p>
    <w:p>
      <w:pPr>
        <w:spacing w:before="80" w:after="20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bl>
    <w:p>
      <w:r>
        <w:br w:type="page"/>
      </w:r>
    </w:p>
    <w:p>
      <w:pPr>
        <w:spacing w:before="80" w:after="200"/>
        <w:jc w:val="center"/>
      </w:pPr>
      <w:r>
        <w:rPr>
          <w:b/>
        </w:rPr>
        <w:t>LIST OF ABBREVIATIONS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24"/>
        <w:gridCol w:w="5024"/>
      </w:tblGrid>
      <w:tr>
        <w:trPr>
          <w:cantSplit/>
        </w:trPr>
        <w:tc>
          <w:tcPr>
            <w:tcW w:type="dxa" w:w="2592"/>
            <w:vAlign w:val="center"/>
            <w:tcMar>
              <w:top w:w="120" w:type="dxa"/>
              <w:left w:w="160" w:type="dxa"/>
              <w:bottom w:w="120" w:type="dxa"/>
              <w:right w:w="160" w:type="dxa"/>
            </w:tcMar>
          </w:tcPr>
          <w:p>
            <w:r>
              <w:rPr>
                <w:b/>
              </w:rPr>
              <w:t>ABBREVIATION</w:t>
            </w:r>
          </w:p>
        </w:tc>
        <w:tc>
          <w:tcPr>
            <w:tcW w:type="dxa" w:w="6912"/>
            <w:vAlign w:val="center"/>
            <w:tcMar>
              <w:top w:w="120" w:type="dxa"/>
              <w:left w:w="160" w:type="dxa"/>
              <w:bottom w:w="120" w:type="dxa"/>
              <w:right w:w="160" w:type="dxa"/>
            </w:tcMar>
          </w:tcPr>
          <w:p>
            <w:r>
              <w:rPr>
                <w:b/>
              </w:rPr>
              <w:t>EXPANSION &amp; DESCRIPTION</w:t>
            </w:r>
          </w:p>
        </w:tc>
      </w:tr>
      <w:tr>
        <w:trPr>
          <w:cantSplit/>
        </w:trPr>
        <w:tc>
          <w:tcPr>
            <w:tcW w:type="dxa" w:w="2592"/>
            <w:vAlign w:val="center"/>
            <w:tcMar>
              <w:top w:w="120" w:type="dxa"/>
              <w:left w:w="160" w:type="dxa"/>
              <w:bottom w:w="120" w:type="dxa"/>
              <w:right w:w="160" w:type="dxa"/>
            </w:tcMar>
          </w:tcPr>
          <w:p>
            <w:r>
              <w:rPr>
                <w:b/>
              </w:rPr>
              <w:t>BLE</w:t>
            </w:r>
          </w:p>
        </w:tc>
        <w:tc>
          <w:tcPr>
            <w:tcW w:type="dxa" w:w="6912"/>
            <w:vAlign w:val="center"/>
            <w:tcMar>
              <w:top w:w="120" w:type="dxa"/>
              <w:left w:w="160" w:type="dxa"/>
              <w:bottom w:w="120" w:type="dxa"/>
              <w:right w:w="160" w:type="dxa"/>
            </w:tcMar>
          </w:tcPr>
          <w:p>
            <w:r>
              <w:t>Bluetooth Low Energy (2.4 GHz ISM wireless radio standard)</w:t>
            </w:r>
          </w:p>
        </w:tc>
      </w:tr>
      <w:tr>
        <w:trPr>
          <w:cantSplit/>
        </w:trPr>
        <w:tc>
          <w:tcPr>
            <w:tcW w:type="dxa" w:w="2592"/>
            <w:vAlign w:val="center"/>
            <w:tcMar>
              <w:top w:w="120" w:type="dxa"/>
              <w:left w:w="160" w:type="dxa"/>
              <w:bottom w:w="120" w:type="dxa"/>
              <w:right w:w="160" w:type="dxa"/>
            </w:tcMar>
          </w:tcPr>
          <w:p>
            <w:r>
              <w:rPr>
                <w:b/>
              </w:rPr>
              <w:t>GNSS</w:t>
            </w:r>
          </w:p>
        </w:tc>
        <w:tc>
          <w:tcPr>
            <w:tcW w:type="dxa" w:w="6912"/>
            <w:vAlign w:val="center"/>
            <w:tcMar>
              <w:top w:w="120" w:type="dxa"/>
              <w:left w:w="160" w:type="dxa"/>
              <w:bottom w:w="120" w:type="dxa"/>
              <w:right w:w="160" w:type="dxa"/>
            </w:tcMar>
          </w:tcPr>
          <w:p>
            <w:r>
              <w:t>Global Navigation Satellite System (GPS, GLONASS, Galileo, BeiDou)</w:t>
            </w:r>
          </w:p>
        </w:tc>
      </w:tr>
      <w:tr>
        <w:trPr>
          <w:cantSplit/>
        </w:trPr>
        <w:tc>
          <w:tcPr>
            <w:tcW w:type="dxa" w:w="2592"/>
            <w:vAlign w:val="center"/>
            <w:tcMar>
              <w:top w:w="120" w:type="dxa"/>
              <w:left w:w="160" w:type="dxa"/>
              <w:bottom w:w="120" w:type="dxa"/>
              <w:right w:w="160" w:type="dxa"/>
            </w:tcMar>
          </w:tcPr>
          <w:p>
            <w:r>
              <w:rPr>
                <w:b/>
              </w:rPr>
              <w:t>GPS</w:t>
            </w:r>
          </w:p>
        </w:tc>
        <w:tc>
          <w:tcPr>
            <w:tcW w:type="dxa" w:w="6912"/>
            <w:vAlign w:val="center"/>
            <w:tcMar>
              <w:top w:w="120" w:type="dxa"/>
              <w:left w:w="160" w:type="dxa"/>
              <w:bottom w:w="120" w:type="dxa"/>
              <w:right w:w="160" w:type="dxa"/>
            </w:tcMar>
          </w:tcPr>
          <w:p>
            <w:r>
              <w:t>Global Positioning System (US Satellite Navigation Constellation)</w:t>
            </w:r>
          </w:p>
        </w:tc>
      </w:tr>
      <w:tr>
        <w:trPr>
          <w:cantSplit/>
        </w:trPr>
        <w:tc>
          <w:tcPr>
            <w:tcW w:type="dxa" w:w="2592"/>
            <w:vAlign w:val="center"/>
            <w:tcMar>
              <w:top w:w="120" w:type="dxa"/>
              <w:left w:w="160" w:type="dxa"/>
              <w:bottom w:w="120" w:type="dxa"/>
              <w:right w:w="160" w:type="dxa"/>
            </w:tcMar>
          </w:tcPr>
          <w:p>
            <w:r>
              <w:rPr>
                <w:b/>
              </w:rPr>
              <w:t>INS</w:t>
            </w:r>
          </w:p>
        </w:tc>
        <w:tc>
          <w:tcPr>
            <w:tcW w:type="dxa" w:w="6912"/>
            <w:vAlign w:val="center"/>
            <w:tcMar>
              <w:top w:w="120" w:type="dxa"/>
              <w:left w:w="160" w:type="dxa"/>
              <w:bottom w:w="120" w:type="dxa"/>
              <w:right w:w="160" w:type="dxa"/>
            </w:tcMar>
          </w:tcPr>
          <w:p>
            <w:r>
              <w:t>Inertial Navigation System (Strapdown accelerometer/gyroscope system)</w:t>
            </w:r>
          </w:p>
        </w:tc>
      </w:tr>
      <w:tr>
        <w:trPr>
          <w:cantSplit/>
        </w:trPr>
        <w:tc>
          <w:tcPr>
            <w:tcW w:type="dxa" w:w="2592"/>
            <w:vAlign w:val="center"/>
            <w:tcMar>
              <w:top w:w="120" w:type="dxa"/>
              <w:left w:w="160" w:type="dxa"/>
              <w:bottom w:w="120" w:type="dxa"/>
              <w:right w:w="160" w:type="dxa"/>
            </w:tcMar>
          </w:tcPr>
          <w:p>
            <w:r>
              <w:rPr>
                <w:b/>
              </w:rPr>
              <w:t>IMU</w:t>
            </w:r>
          </w:p>
        </w:tc>
        <w:tc>
          <w:tcPr>
            <w:tcW w:type="dxa" w:w="6912"/>
            <w:vAlign w:val="center"/>
            <w:tcMar>
              <w:top w:w="120" w:type="dxa"/>
              <w:left w:w="160" w:type="dxa"/>
              <w:bottom w:w="120" w:type="dxa"/>
              <w:right w:w="160" w:type="dxa"/>
            </w:tcMar>
          </w:tcPr>
          <w:p>
            <w:r>
              <w:t>Inertial Measurement Unit (Tri-axial multi-sensor hardware unit)</w:t>
            </w:r>
          </w:p>
        </w:tc>
      </w:tr>
      <w:tr>
        <w:trPr>
          <w:cantSplit/>
        </w:trPr>
        <w:tc>
          <w:tcPr>
            <w:tcW w:type="dxa" w:w="2592"/>
            <w:vAlign w:val="center"/>
            <w:tcMar>
              <w:top w:w="120" w:type="dxa"/>
              <w:left w:w="160" w:type="dxa"/>
              <w:bottom w:w="120" w:type="dxa"/>
              <w:right w:w="160" w:type="dxa"/>
            </w:tcMar>
          </w:tcPr>
          <w:p>
            <w:r>
              <w:rPr>
                <w:b/>
              </w:rPr>
              <w:t>PDR</w:t>
            </w:r>
          </w:p>
        </w:tc>
        <w:tc>
          <w:tcPr>
            <w:tcW w:type="dxa" w:w="6912"/>
            <w:vAlign w:val="center"/>
            <w:tcMar>
              <w:top w:w="120" w:type="dxa"/>
              <w:left w:w="160" w:type="dxa"/>
              <w:bottom w:w="120" w:type="dxa"/>
              <w:right w:w="160" w:type="dxa"/>
            </w:tcMar>
          </w:tcPr>
          <w:p>
            <w:r>
              <w:t>Pedestrian Dead Reckoning (Step-stride kinematic positioning method)</w:t>
            </w:r>
          </w:p>
        </w:tc>
      </w:tr>
      <w:tr>
        <w:trPr>
          <w:cantSplit/>
        </w:trPr>
        <w:tc>
          <w:tcPr>
            <w:tcW w:type="dxa" w:w="2592"/>
            <w:vAlign w:val="center"/>
            <w:tcMar>
              <w:top w:w="120" w:type="dxa"/>
              <w:left w:w="160" w:type="dxa"/>
              <w:bottom w:w="120" w:type="dxa"/>
              <w:right w:w="160" w:type="dxa"/>
            </w:tcMar>
          </w:tcPr>
          <w:p>
            <w:r>
              <w:rPr>
                <w:b/>
              </w:rPr>
              <w:t>SF-PDR</w:t>
            </w:r>
          </w:p>
        </w:tc>
        <w:tc>
          <w:tcPr>
            <w:tcW w:type="dxa" w:w="6912"/>
            <w:vAlign w:val="center"/>
            <w:tcMar>
              <w:top w:w="120" w:type="dxa"/>
              <w:left w:w="160" w:type="dxa"/>
              <w:bottom w:w="120" w:type="dxa"/>
              <w:right w:w="160" w:type="dxa"/>
            </w:tcMar>
          </w:tcPr>
          <w:p>
            <w:r>
              <w:t>Sensor-Fusion Pedestrian Dead Reckoning (Proposed tracking framework)</w:t>
            </w:r>
          </w:p>
        </w:tc>
      </w:tr>
      <w:tr>
        <w:trPr>
          <w:cantSplit/>
        </w:trPr>
        <w:tc>
          <w:tcPr>
            <w:tcW w:type="dxa" w:w="2592"/>
            <w:vAlign w:val="center"/>
            <w:tcMar>
              <w:top w:w="120" w:type="dxa"/>
              <w:left w:w="160" w:type="dxa"/>
              <w:bottom w:w="120" w:type="dxa"/>
              <w:right w:w="160" w:type="dxa"/>
            </w:tcMar>
          </w:tcPr>
          <w:p>
            <w:r>
              <w:rPr>
                <w:b/>
              </w:rPr>
              <w:t>DTN</w:t>
            </w:r>
          </w:p>
        </w:tc>
        <w:tc>
          <w:tcPr>
            <w:tcW w:type="dxa" w:w="6912"/>
            <w:vAlign w:val="center"/>
            <w:tcMar>
              <w:top w:w="120" w:type="dxa"/>
              <w:left w:w="160" w:type="dxa"/>
              <w:bottom w:w="120" w:type="dxa"/>
              <w:right w:w="160" w:type="dxa"/>
            </w:tcMar>
          </w:tcPr>
          <w:p>
            <w:r>
              <w:t>Delay-Tolerant Network (Store-and-forward opportunistic network architecture)</w:t>
            </w:r>
          </w:p>
        </w:tc>
      </w:tr>
      <w:tr>
        <w:trPr>
          <w:cantSplit/>
        </w:trPr>
        <w:tc>
          <w:tcPr>
            <w:tcW w:type="dxa" w:w="2592"/>
            <w:vAlign w:val="center"/>
            <w:tcMar>
              <w:top w:w="120" w:type="dxa"/>
              <w:left w:w="160" w:type="dxa"/>
              <w:bottom w:w="120" w:type="dxa"/>
              <w:right w:w="160" w:type="dxa"/>
            </w:tcMar>
          </w:tcPr>
          <w:p>
            <w:r>
              <w:rPr>
                <w:b/>
              </w:rPr>
              <w:t>SAR</w:t>
            </w:r>
          </w:p>
        </w:tc>
        <w:tc>
          <w:tcPr>
            <w:tcW w:type="dxa" w:w="6912"/>
            <w:vAlign w:val="center"/>
            <w:tcMar>
              <w:top w:w="120" w:type="dxa"/>
              <w:left w:w="160" w:type="dxa"/>
              <w:bottom w:w="120" w:type="dxa"/>
              <w:right w:w="160" w:type="dxa"/>
            </w:tcMar>
          </w:tcPr>
          <w:p>
            <w:r>
              <w:t>Search and Rescue (Wilderness emergency operations and extraction teams)</w:t>
            </w:r>
          </w:p>
        </w:tc>
      </w:tr>
      <w:tr>
        <w:trPr>
          <w:cantSplit/>
        </w:trPr>
        <w:tc>
          <w:tcPr>
            <w:tcW w:type="dxa" w:w="2592"/>
            <w:vAlign w:val="center"/>
            <w:tcMar>
              <w:top w:w="120" w:type="dxa"/>
              <w:left w:w="160" w:type="dxa"/>
              <w:bottom w:w="120" w:type="dxa"/>
              <w:right w:w="160" w:type="dxa"/>
            </w:tcMar>
          </w:tcPr>
          <w:p>
            <w:r>
              <w:rPr>
                <w:b/>
              </w:rPr>
              <w:t>MEMS</w:t>
            </w:r>
          </w:p>
        </w:tc>
        <w:tc>
          <w:tcPr>
            <w:tcW w:type="dxa" w:w="6912"/>
            <w:vAlign w:val="center"/>
            <w:tcMar>
              <w:top w:w="120" w:type="dxa"/>
              <w:left w:w="160" w:type="dxa"/>
              <w:bottom w:w="120" w:type="dxa"/>
              <w:right w:w="160" w:type="dxa"/>
            </w:tcMar>
          </w:tcPr>
          <w:p>
            <w:r>
              <w:t>Micro-ElectroMechanical Systems (Miniaturized silicon motion sensors)</w:t>
            </w:r>
          </w:p>
        </w:tc>
      </w:tr>
      <w:tr>
        <w:trPr>
          <w:cantSplit/>
        </w:trPr>
        <w:tc>
          <w:tcPr>
            <w:tcW w:type="dxa" w:w="2592"/>
            <w:vAlign w:val="center"/>
            <w:tcMar>
              <w:top w:w="120" w:type="dxa"/>
              <w:left w:w="160" w:type="dxa"/>
              <w:bottom w:w="120" w:type="dxa"/>
              <w:right w:w="160" w:type="dxa"/>
            </w:tcMar>
          </w:tcPr>
          <w:p>
            <w:r>
              <w:rPr>
                <w:b/>
              </w:rPr>
              <w:t>PDOP</w:t>
            </w:r>
          </w:p>
        </w:tc>
        <w:tc>
          <w:tcPr>
            <w:tcW w:type="dxa" w:w="6912"/>
            <w:vAlign w:val="center"/>
            <w:tcMar>
              <w:top w:w="120" w:type="dxa"/>
              <w:left w:w="160" w:type="dxa"/>
              <w:bottom w:w="120" w:type="dxa"/>
              <w:right w:w="160" w:type="dxa"/>
            </w:tcMar>
          </w:tcPr>
          <w:p>
            <w:r>
              <w:t>Position Dilution of Precision (Satellite geometric configuration quality factor)</w:t>
            </w:r>
          </w:p>
        </w:tc>
      </w:tr>
      <w:tr>
        <w:trPr>
          <w:cantSplit/>
        </w:trPr>
        <w:tc>
          <w:tcPr>
            <w:tcW w:type="dxa" w:w="2592"/>
            <w:vAlign w:val="center"/>
            <w:tcMar>
              <w:top w:w="120" w:type="dxa"/>
              <w:left w:w="160" w:type="dxa"/>
              <w:bottom w:w="120" w:type="dxa"/>
              <w:right w:w="160" w:type="dxa"/>
            </w:tcMar>
          </w:tcPr>
          <w:p>
            <w:r>
              <w:rPr>
                <w:b/>
              </w:rPr>
              <w:t>OSM</w:t>
            </w:r>
          </w:p>
        </w:tc>
        <w:tc>
          <w:tcPr>
            <w:tcW w:type="dxa" w:w="6912"/>
            <w:vAlign w:val="center"/>
            <w:tcMar>
              <w:top w:w="120" w:type="dxa"/>
              <w:left w:w="160" w:type="dxa"/>
              <w:bottom w:w="120" w:type="dxa"/>
              <w:right w:w="160" w:type="dxa"/>
            </w:tcMar>
          </w:tcPr>
          <w:p>
            <w:r>
              <w:t>OpenStreetMap (Open-access collaborative worldwide geographic dataset)</w:t>
            </w:r>
          </w:p>
        </w:tc>
      </w:tr>
      <w:tr>
        <w:trPr>
          <w:cantSplit/>
        </w:trPr>
        <w:tc>
          <w:tcPr>
            <w:tcW w:type="dxa" w:w="2592"/>
            <w:vAlign w:val="center"/>
            <w:tcMar>
              <w:top w:w="120" w:type="dxa"/>
              <w:left w:w="160" w:type="dxa"/>
              <w:bottom w:w="120" w:type="dxa"/>
              <w:right w:w="160" w:type="dxa"/>
            </w:tcMar>
          </w:tcPr>
          <w:p>
            <w:r>
              <w:rPr>
                <w:b/>
              </w:rPr>
              <w:t>MVT</w:t>
            </w:r>
          </w:p>
        </w:tc>
        <w:tc>
          <w:tcPr>
            <w:tcW w:type="dxa" w:w="6912"/>
            <w:vAlign w:val="center"/>
            <w:tcMar>
              <w:top w:w="120" w:type="dxa"/>
              <w:left w:w="160" w:type="dxa"/>
              <w:bottom w:w="120" w:type="dxa"/>
              <w:right w:w="160" w:type="dxa"/>
            </w:tcMar>
          </w:tcPr>
          <w:p>
            <w:r>
              <w:t>Mapbox Vector Tiles (Standard protocol buffer encoded spatial vector format)</w:t>
            </w:r>
          </w:p>
        </w:tc>
      </w:tr>
      <w:tr>
        <w:trPr>
          <w:cantSplit/>
        </w:trPr>
        <w:tc>
          <w:tcPr>
            <w:tcW w:type="dxa" w:w="2592"/>
            <w:vAlign w:val="center"/>
            <w:tcMar>
              <w:top w:w="120" w:type="dxa"/>
              <w:left w:w="160" w:type="dxa"/>
              <w:bottom w:w="120" w:type="dxa"/>
              <w:right w:w="160" w:type="dxa"/>
            </w:tcMar>
          </w:tcPr>
          <w:p>
            <w:r>
              <w:rPr>
                <w:b/>
              </w:rPr>
              <w:t>PBF</w:t>
            </w:r>
          </w:p>
        </w:tc>
        <w:tc>
          <w:tcPr>
            <w:tcW w:type="dxa" w:w="6912"/>
            <w:vAlign w:val="center"/>
            <w:tcMar>
              <w:top w:w="120" w:type="dxa"/>
              <w:left w:w="160" w:type="dxa"/>
              <w:bottom w:w="120" w:type="dxa"/>
              <w:right w:w="160" w:type="dxa"/>
            </w:tcMar>
          </w:tcPr>
          <w:p>
            <w:r>
              <w:t>Protocol Buffer Format (Binary serialized geographic data encoding)</w:t>
            </w:r>
          </w:p>
        </w:tc>
      </w:tr>
      <w:tr>
        <w:trPr>
          <w:cantSplit/>
        </w:trPr>
        <w:tc>
          <w:tcPr>
            <w:tcW w:type="dxa" w:w="2592"/>
            <w:vAlign w:val="center"/>
            <w:tcMar>
              <w:top w:w="120" w:type="dxa"/>
              <w:left w:w="160" w:type="dxa"/>
              <w:bottom w:w="120" w:type="dxa"/>
              <w:right w:w="160" w:type="dxa"/>
            </w:tcMar>
          </w:tcPr>
          <w:p>
            <w:r>
              <w:rPr>
                <w:b/>
              </w:rPr>
              <w:t>OSRM</w:t>
            </w:r>
          </w:p>
        </w:tc>
        <w:tc>
          <w:tcPr>
            <w:tcW w:type="dxa" w:w="6912"/>
            <w:vAlign w:val="center"/>
            <w:tcMar>
              <w:top w:w="120" w:type="dxa"/>
              <w:left w:w="160" w:type="dxa"/>
              <w:bottom w:w="120" w:type="dxa"/>
              <w:right w:w="160" w:type="dxa"/>
            </w:tcMar>
          </w:tcPr>
          <w:p>
            <w:r>
              <w:t>Open Source Routing Machine (High-performance routing and navigation engine)</w:t>
            </w:r>
          </w:p>
        </w:tc>
      </w:tr>
      <w:tr>
        <w:trPr>
          <w:cantSplit/>
        </w:trPr>
        <w:tc>
          <w:tcPr>
            <w:tcW w:type="dxa" w:w="2592"/>
            <w:vAlign w:val="center"/>
            <w:tcMar>
              <w:top w:w="120" w:type="dxa"/>
              <w:left w:w="160" w:type="dxa"/>
              <w:bottom w:w="120" w:type="dxa"/>
              <w:right w:w="160" w:type="dxa"/>
            </w:tcMar>
          </w:tcPr>
          <w:p>
            <w:r>
              <w:rPr>
                <w:b/>
              </w:rPr>
              <w:t>GATT</w:t>
            </w:r>
          </w:p>
        </w:tc>
        <w:tc>
          <w:tcPr>
            <w:tcW w:type="dxa" w:w="6912"/>
            <w:vAlign w:val="center"/>
            <w:tcMar>
              <w:top w:w="120" w:type="dxa"/>
              <w:left w:w="160" w:type="dxa"/>
              <w:bottom w:w="120" w:type="dxa"/>
              <w:right w:w="160" w:type="dxa"/>
            </w:tcMar>
          </w:tcPr>
          <w:p>
            <w:r>
              <w:t>Generic Attribute Profile (Bluetooth Low Energy communication layer)</w:t>
            </w:r>
          </w:p>
        </w:tc>
      </w:tr>
      <w:tr>
        <w:trPr>
          <w:cantSplit/>
        </w:trPr>
        <w:tc>
          <w:tcPr>
            <w:tcW w:type="dxa" w:w="2592"/>
            <w:vAlign w:val="center"/>
            <w:tcMar>
              <w:top w:w="120" w:type="dxa"/>
              <w:left w:w="160" w:type="dxa"/>
              <w:bottom w:w="120" w:type="dxa"/>
              <w:right w:w="160" w:type="dxa"/>
            </w:tcMar>
          </w:tcPr>
          <w:p>
            <w:r>
              <w:rPr>
                <w:b/>
              </w:rPr>
              <w:t>FIFO</w:t>
            </w:r>
          </w:p>
        </w:tc>
        <w:tc>
          <w:tcPr>
            <w:tcW w:type="dxa" w:w="6912"/>
            <w:vAlign w:val="center"/>
            <w:tcMar>
              <w:top w:w="120" w:type="dxa"/>
              <w:left w:w="160" w:type="dxa"/>
              <w:bottom w:w="120" w:type="dxa"/>
              <w:right w:w="160" w:type="dxa"/>
            </w:tcMar>
          </w:tcPr>
          <w:p>
            <w:r>
              <w:t>First-In, First-Out (Circular sample buffer architecture)</w:t>
            </w:r>
          </w:p>
        </w:tc>
      </w:tr>
      <w:tr>
        <w:trPr>
          <w:cantSplit/>
        </w:trPr>
        <w:tc>
          <w:tcPr>
            <w:tcW w:type="dxa" w:w="2592"/>
            <w:vAlign w:val="center"/>
            <w:tcMar>
              <w:top w:w="120" w:type="dxa"/>
              <w:left w:w="160" w:type="dxa"/>
              <w:bottom w:w="120" w:type="dxa"/>
              <w:right w:w="160" w:type="dxa"/>
            </w:tcMar>
          </w:tcPr>
          <w:p>
            <w:r>
              <w:rPr>
                <w:b/>
              </w:rPr>
              <w:t>REST</w:t>
            </w:r>
          </w:p>
        </w:tc>
        <w:tc>
          <w:tcPr>
            <w:tcW w:type="dxa" w:w="6912"/>
            <w:vAlign w:val="center"/>
            <w:tcMar>
              <w:top w:w="120" w:type="dxa"/>
              <w:left w:w="160" w:type="dxa"/>
              <w:bottom w:w="120" w:type="dxa"/>
              <w:right w:w="160" w:type="dxa"/>
            </w:tcMar>
          </w:tcPr>
          <w:p>
            <w:r>
              <w:t>Representational State Transfer (Stateless HTTP web API architectural style)</w:t>
            </w:r>
          </w:p>
        </w:tc>
      </w:tr>
      <w:tr>
        <w:trPr>
          <w:cantSplit/>
        </w:trPr>
        <w:tc>
          <w:tcPr>
            <w:tcW w:type="dxa" w:w="2592"/>
            <w:vAlign w:val="center"/>
            <w:tcMar>
              <w:top w:w="120" w:type="dxa"/>
              <w:left w:w="160" w:type="dxa"/>
              <w:bottom w:w="120" w:type="dxa"/>
              <w:right w:w="160" w:type="dxa"/>
            </w:tcMar>
          </w:tcPr>
          <w:p>
            <w:r>
              <w:rPr>
                <w:b/>
              </w:rPr>
              <w:t>API</w:t>
            </w:r>
          </w:p>
        </w:tc>
        <w:tc>
          <w:tcPr>
            <w:tcW w:type="dxa" w:w="6912"/>
            <w:vAlign w:val="center"/>
            <w:tcMar>
              <w:top w:w="120" w:type="dxa"/>
              <w:left w:w="160" w:type="dxa"/>
              <w:bottom w:w="120" w:type="dxa"/>
              <w:right w:w="160" w:type="dxa"/>
            </w:tcMar>
          </w:tcPr>
          <w:p>
            <w:r>
              <w:t>Application Programming Interface (Inter-software communication interface)</w:t>
            </w:r>
          </w:p>
        </w:tc>
      </w:tr>
      <w:tr>
        <w:trPr>
          <w:cantSplit/>
        </w:trPr>
        <w:tc>
          <w:tcPr>
            <w:tcW w:type="dxa" w:w="2592"/>
            <w:vAlign w:val="center"/>
            <w:tcMar>
              <w:top w:w="120" w:type="dxa"/>
              <w:left w:w="160" w:type="dxa"/>
              <w:bottom w:w="120" w:type="dxa"/>
              <w:right w:w="160" w:type="dxa"/>
            </w:tcMar>
          </w:tcPr>
          <w:p>
            <w:r>
              <w:rPr>
                <w:b/>
              </w:rPr>
              <w:t>UUID</w:t>
            </w:r>
          </w:p>
        </w:tc>
        <w:tc>
          <w:tcPr>
            <w:tcW w:type="dxa" w:w="6912"/>
            <w:vAlign w:val="center"/>
            <w:tcMar>
              <w:top w:w="120" w:type="dxa"/>
              <w:left w:w="160" w:type="dxa"/>
              <w:bottom w:w="120" w:type="dxa"/>
              <w:right w:w="160" w:type="dxa"/>
            </w:tcMar>
          </w:tcPr>
          <w:p>
            <w:r>
              <w:t>Universally Unique Identifier (128-bit unique packet and beacon identifier)</w:t>
            </w:r>
          </w:p>
        </w:tc>
      </w:tr>
      <w:tr>
        <w:trPr>
          <w:cantSplit/>
        </w:trPr>
        <w:tc>
          <w:tcPr>
            <w:tcW w:type="dxa" w:w="2592"/>
            <w:vAlign w:val="center"/>
            <w:tcMar>
              <w:top w:w="120" w:type="dxa"/>
              <w:left w:w="160" w:type="dxa"/>
              <w:bottom w:w="120" w:type="dxa"/>
              <w:right w:w="160" w:type="dxa"/>
            </w:tcMar>
          </w:tcPr>
          <w:p>
            <w:r>
              <w:rPr>
                <w:b/>
              </w:rPr>
              <w:t>HUD</w:t>
            </w:r>
          </w:p>
        </w:tc>
        <w:tc>
          <w:tcPr>
            <w:tcW w:type="dxa" w:w="6912"/>
            <w:vAlign w:val="center"/>
            <w:tcMar>
              <w:top w:w="120" w:type="dxa"/>
              <w:left w:w="160" w:type="dxa"/>
              <w:bottom w:w="120" w:type="dxa"/>
              <w:right w:w="160" w:type="dxa"/>
            </w:tcMar>
          </w:tcPr>
          <w:p>
            <w:r>
              <w:t>Heads-Up Display (Tactical operational high-contrast mobile user interface)</w:t>
            </w:r>
          </w:p>
        </w:tc>
      </w:tr>
      <w:tr>
        <w:trPr>
          <w:cantSplit/>
        </w:trPr>
        <w:tc>
          <w:tcPr>
            <w:tcW w:type="dxa" w:w="2592"/>
            <w:vAlign w:val="center"/>
            <w:tcMar>
              <w:top w:w="120" w:type="dxa"/>
              <w:left w:w="160" w:type="dxa"/>
              <w:bottom w:w="120" w:type="dxa"/>
              <w:right w:w="160" w:type="dxa"/>
            </w:tcMar>
          </w:tcPr>
          <w:p>
            <w:r>
              <w:rPr>
                <w:b/>
              </w:rPr>
              <w:t>RSSI</w:t>
            </w:r>
          </w:p>
        </w:tc>
        <w:tc>
          <w:tcPr>
            <w:tcW w:type="dxa" w:w="6912"/>
            <w:vAlign w:val="center"/>
            <w:tcMar>
              <w:top w:w="120" w:type="dxa"/>
              <w:left w:w="160" w:type="dxa"/>
              <w:bottom w:w="120" w:type="dxa"/>
              <w:right w:w="160" w:type="dxa"/>
            </w:tcMar>
          </w:tcPr>
          <w:p>
            <w:r>
              <w:t>Received Signal Strength Indicator (Radio frequency reception power metric)</w:t>
            </w:r>
          </w:p>
        </w:tc>
      </w:tr>
      <w:tr>
        <w:trPr>
          <w:cantSplit/>
        </w:trPr>
        <w:tc>
          <w:tcPr>
            <w:tcW w:type="dxa" w:w="2592"/>
            <w:vAlign w:val="center"/>
            <w:tcMar>
              <w:top w:w="120" w:type="dxa"/>
              <w:left w:w="160" w:type="dxa"/>
              <w:bottom w:w="120" w:type="dxa"/>
              <w:right w:w="160" w:type="dxa"/>
            </w:tcMar>
          </w:tcPr>
          <w:p>
            <w:r>
              <w:rPr>
                <w:b/>
              </w:rPr>
              <w:t>JSON</w:t>
            </w:r>
          </w:p>
        </w:tc>
        <w:tc>
          <w:tcPr>
            <w:tcW w:type="dxa" w:w="6912"/>
            <w:vAlign w:val="center"/>
            <w:tcMar>
              <w:top w:w="120" w:type="dxa"/>
              <w:left w:w="160" w:type="dxa"/>
              <w:bottom w:w="120" w:type="dxa"/>
              <w:right w:w="160" w:type="dxa"/>
            </w:tcMar>
          </w:tcPr>
          <w:p>
            <w:r>
              <w:t>JavaScript Object Notation (Lightweight data interchange format)</w:t>
            </w:r>
          </w:p>
        </w:tc>
      </w:tr>
      <w:tr>
        <w:trPr>
          <w:cantSplit/>
        </w:trPr>
        <w:tc>
          <w:tcPr>
            <w:tcW w:type="dxa" w:w="2592"/>
            <w:vAlign w:val="center"/>
            <w:tcMar>
              <w:top w:w="120" w:type="dxa"/>
              <w:left w:w="160" w:type="dxa"/>
              <w:bottom w:w="120" w:type="dxa"/>
              <w:right w:w="160" w:type="dxa"/>
            </w:tcMar>
          </w:tcPr>
          <w:p>
            <w:r>
              <w:rPr>
                <w:b/>
              </w:rPr>
              <w:t>LoRa</w:t>
            </w:r>
          </w:p>
        </w:tc>
        <w:tc>
          <w:tcPr>
            <w:tcW w:type="dxa" w:w="6912"/>
            <w:vAlign w:val="center"/>
            <w:tcMar>
              <w:top w:w="120" w:type="dxa"/>
              <w:left w:w="160" w:type="dxa"/>
              <w:bottom w:w="120" w:type="dxa"/>
              <w:right w:w="160" w:type="dxa"/>
            </w:tcMar>
          </w:tcPr>
          <w:p>
            <w:r>
              <w:t>Long Range Low-Power Wide-Area Network Modulation (868/915 MHz chirped spread spectrum)</w:t>
            </w:r>
          </w:p>
        </w:tc>
      </w:tr>
      <w:tr>
        <w:trPr>
          <w:cantSplit/>
        </w:trPr>
        <w:tc>
          <w:tcPr>
            <w:tcW w:type="dxa" w:w="2592"/>
            <w:vAlign w:val="center"/>
            <w:tcMar>
              <w:top w:w="120" w:type="dxa"/>
              <w:left w:w="160" w:type="dxa"/>
              <w:bottom w:w="120" w:type="dxa"/>
              <w:right w:w="160" w:type="dxa"/>
            </w:tcMar>
          </w:tcPr>
          <w:p>
            <w:r>
              <w:rPr>
                <w:b/>
              </w:rPr>
              <w:t>EKF</w:t>
            </w:r>
          </w:p>
        </w:tc>
        <w:tc>
          <w:tcPr>
            <w:tcW w:type="dxa" w:w="6912"/>
            <w:vAlign w:val="center"/>
            <w:tcMar>
              <w:top w:w="120" w:type="dxa"/>
              <w:left w:w="160" w:type="dxa"/>
              <w:bottom w:w="120" w:type="dxa"/>
              <w:right w:w="160" w:type="dxa"/>
            </w:tcMar>
          </w:tcPr>
          <w:p>
            <w:r>
              <w:t>Extended Kalman Filter (Non-linear state estimation algorithm)</w:t>
            </w:r>
          </w:p>
        </w:tc>
      </w:tr>
    </w:tbl>
    <w:p>
      <w:r>
        <w:br w:type="page"/>
      </w:r>
    </w:p>
    <w:p>
      <w:pPr>
        <w:spacing w:before="80" w:after="40"/>
        <w:jc w:val="center"/>
      </w:pPr>
      <w:r>
        <w:rPr>
          <w:rFonts w:ascii="Times New Roman" w:hAnsi="Times New Roman"/>
          <w:b/>
          <w:sz w:val="32"/>
        </w:rPr>
        <w:t>CHAPTER 1</w:t>
      </w:r>
    </w:p>
    <w:p>
      <w:pPr>
        <w:spacing w:before="0" w:after="24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80" w:after="40"/>
        <w:jc w:val="center"/>
      </w:pPr>
      <w:r>
        <w:rPr>
          <w:rFonts w:ascii="Times New Roman" w:hAnsi="Times New Roman"/>
          <w:b/>
          <w:sz w:val="32"/>
        </w:rPr>
        <w:t>CHAPTER 2</w:t>
      </w:r>
    </w:p>
    <w:p>
      <w:pPr>
        <w:spacing w:before="0" w:after="24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spacing w:line="360" w:lineRule="auto" w:after="120"/>
        <w:jc w:val="both"/>
      </w:pPr>
      <w:r>
        <w:rPr>
          <w:rFonts w:ascii="Times New Roman" w:hAnsi="Times New Roman"/>
          <w:sz w:val="24"/>
        </w:rPr>
        <w:t>Vegetative signal attenuation follows the ITU-R Recommendation P.833 vegetation attenuation model, where specific attenuation at GNSS L1 frequencies (1.575 GHz) ranges between 0.15 dB/m to 0.45 dB/m depending on moisture content and leaf area index. In deep tropical and temperate forests where the transmission path through wet foliage extends over 30 to 50 meters, the cumulative signal loss easily surpasses 12 to 18 dB. This severe attenuation drops satellite carrier-to-noise density ratios (C/N0) below 28 dB-Hz, forcing consumer GPS chipsets into weak-signal tracking loops that exhibit frequent cycle slips and prolonged receiver loss-of-lock.</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spacing w:line="360" w:lineRule="auto" w:after="120"/>
        <w:jc w:val="both"/>
      </w:pPr>
      <w:r>
        <w:rPr>
          <w:rFonts w:ascii="Times New Roman" w:hAnsi="Times New Roman"/>
          <w:sz w:val="24"/>
        </w:rPr>
        <w:t>Multipath interference in dense timber stands creates constructive and destructive carrier-phase interference patterns that severely distort correlation peak symmetry within the receiver delay-lock loops (DLL). Because wood trunks and saturated foliage act as diffuse radio reflectors, the received signal comprises multiple delayed replicas arriving with relative path delays between 10 to 45 meters. Under these conditions, conventional Receiver Autonomous Integrity Monitoring (RAIM) algorithms fail because the observation residuals violate Gaussian distribution assumptions, causing the receiver to output biased pseudoranges that manifest as erratic position jumps exceeding 25 meters.</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spacing w:line="360" w:lineRule="auto" w:after="120"/>
        <w:jc w:val="both"/>
      </w:pPr>
      <w:r>
        <w:rPr>
          <w:rFonts w:ascii="Times New Roman" w:hAnsi="Times New Roman"/>
          <w:sz w:val="24"/>
        </w:rPr>
        <w:t>The mathematical origin of this rapid divergence lies in the double integration of total acceleration: p(t) = p0 + v0*t + 0.5*a*t^2. Any uncompensated sensor bias ba or angular rate bias bg propagates quadratically and cubically over time. In commodity MEMS silicon units, bias stability typically exceeds 15-30 mg, causing unconstrained position errors to exceed 5 meters in just 10 seconds and more than 50 meters in 2 minutes. This mathematical reality proves that unassisted strapdown inertial navigation without periodic domain-specific kinematic boundary constraints (such as footfall ground-contact zero-velocity resets) cannot sustain operational tracking for pedestrian navigation.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spacing w:line="360" w:lineRule="auto" w:after="120"/>
        <w:jc w:val="both"/>
      </w:pPr>
      <w:r>
        <w:rPr>
          <w:rFonts w:ascii="Times New Roman" w:hAnsi="Times New Roman"/>
          <w:sz w:val="24"/>
        </w:rPr>
        <w:t>Theoretical DTN analysis confirms that purely opportunistic flooding creates high message redundancy that rapidly exhausts the limited SRAM and non-volatile flash storage of low-cost mobile handsets. In contrast, quota-based Controlled Spray-and-Wait partitions message dissemination into an initial 'Spray' phase—distributing a strictly bounded number of L0 message copies to newly encountered intermediate relays—followed by a 'Wait' phase where relays hold their copies until directly contacting destination gateways. This architecture achieves a message delivery ratio within 95% of unbounded flooding while consuming less than 15% of the network transmission energy.</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spacing w:line="360" w:lineRule="auto" w:after="120"/>
        <w:jc w:val="both"/>
      </w:pPr>
      <w:r>
        <w:rPr>
          <w:rFonts w:ascii="Times New Roman" w:hAnsi="Times New Roman"/>
          <w:sz w:val="24"/>
        </w:rPr>
        <w:t>Bluetooth Low Energy operating in the 2.4 GHz ISM band benefits from dedicated primary advertising channels (channels 37, 38, and 39) spaced across the radio spectrum to mitigate co-channel Wi-Fi interference. Non-connectable undirected advertising packets (ADV_NONCONN_IND) allow mobile nodes to broadcast compact data bursts without the latency and power overhead of establishing point-to-point cryptographic BLE connections. By tuning scan windows and advertising intervals asynchronously, smartphones can maintain background mesh readiness with negligible duty-cycle power consumption (&lt;1.5 mW average).</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spacing w:line="360" w:lineRule="auto" w:after="120"/>
        <w:jc w:val="both"/>
      </w:pPr>
      <w:r>
        <w:rPr>
          <w:rFonts w:ascii="Times New Roman" w:hAnsi="Times New Roman"/>
          <w:sz w:val="24"/>
        </w:rPr>
        <w:t>By decomposing pedestrian locomotion into discrete step kinematics, PDR replaces continuous time integration with spatial step summation: p_k = p_{k-1} + S_k * [cos(theta_k), sin(theta_k)]. This kinematic transformation fundamentally bounds localization error: positioning drift becomes purely proportional to the error in individual stride length estimation S_k and heading angle theta_k, completely eliminating time-dependent cubic and quadratic integration blowup.</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spacing w:line="360" w:lineRule="auto" w:after="120"/>
        <w:jc w:val="both"/>
      </w:pPr>
      <w:r>
        <w:rPr>
          <w:rFonts w:ascii="Times New Roman" w:hAnsi="Times New Roman"/>
          <w:sz w:val="24"/>
        </w:rPr>
        <w:t>The complementary filter achieves optimal spectral separation by passing high-frequency gyroscope angular rate signals through a high-pass filter while simultaneously routing low-frequency magnetometer orientation vectors through a matching low-pass filter. Setting the filter coefficient alpha = 0.98 produces a crossover frequency that rejects high-frequency electromagnetic noise from iron deposits and trail infrastructure while ensuring the slow gyroscope zero-rate drift is continuously eliminated, providing stable orientation tracking under extreme trekking dynamics.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(Robust Neural Inertial Navigation)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(exceeding 250 MB for model weights and activation buffers), demand substantial continuous GPU/NPU inference power (&gt;35% battery drain per hour), and exhibit catastrophic failure when confronted with out-of-distribution irregular human gait patterns caused by rugged terrain, boulder fields, or slippery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four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Existing navigation systems fail to gracefully decouple degraded satellite signals, allowing corrupted GNSS fixes to pollute inertial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 through un-optimized rendering pipelines.</w:t>
      </w:r>
    </w:p>
    <w:p>
      <w:pPr>
        <w:spacing w:line="300" w:lineRule="auto" w:after="60"/>
        <w:ind w:left="360"/>
        <w:jc w:val="both"/>
      </w:pPr>
      <w:r>
        <w:rPr>
          <w:rFonts w:ascii="Times New Roman" w:hAnsi="Times New Roman"/>
          <w:sz w:val="24"/>
        </w:rPr>
        <w:t xml:space="preserve">•  </w:t>
      </w:r>
      <w:r>
        <w:rPr>
          <w:rFonts w:ascii="Times New Roman" w:hAnsi="Times New Roman"/>
          <w:sz w:val="24"/>
        </w:rPr>
        <w:t>Absence of Integrated Incident Orchestration: Existing outdoor applications fail to provide closed-loop distress relaying, lacking automated multi-hop packet propagation and centralized SAR perimeters when cellular service is absent.</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an end-to-end framework is required that synthesizes battery-efficient sensor-fusion dead reckoning, infrastructure-less peer-to-peer BLE mesh distress beaconing, ultra-compact vector mapping, and cloud-connected SAR coordination into a unified, zero-cost smartphone platform.</w:t>
      </w:r>
    </w:p>
    <w:p>
      <w:r>
        <w:br w:type="page"/>
      </w:r>
    </w:p>
    <w:p>
      <w:pPr>
        <w:spacing w:before="80" w:after="40"/>
        <w:jc w:val="center"/>
      </w:pPr>
      <w:r>
        <w:rPr>
          <w:rFonts w:ascii="Times New Roman" w:hAnsi="Times New Roman"/>
          <w:b/>
          <w:sz w:val="32"/>
        </w:rPr>
        <w:t>CHAPTER 3</w:t>
      </w:r>
    </w:p>
    <w:p>
      <w:pPr>
        <w:spacing w:before="0" w:after="24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p>
      <w:pPr>
        <w:keepNext/>
        <w:spacing w:before="200" w:after="80"/>
        <w:jc w:val="center"/>
      </w:pPr>
      <w:r>
        <w:rPr>
          <w:rFonts w:ascii="Times New Roman" w:hAnsi="Times New Roman"/>
          <w:b/>
          <w:sz w:val="21"/>
        </w:rPr>
        <w:t>Table 3.1: Multi-Modal Input Sensor &amp; Spatial Feature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608628"/>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2829364"/>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2829364"/>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2608628"/>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||a(t)|| = √(ax(t)² + ay(t)² + az(t)²)</w:t>
            </w:r>
          </w:p>
        </w:tc>
        <w:tc>
          <w:tcPr>
            <w:tcW w:type="dxa" w:w="1152"/>
            <w:vAlign w:val="center"/>
          </w:tcPr>
          <w:p>
            <w:pPr>
              <w:spacing w:before="40" w:after="40"/>
              <w:jc w:val="right"/>
            </w:pPr>
            <w:r>
              <w:rPr>
                <w:rFonts w:ascii="Times New Roman" w:hAnsi="Times New Roman"/>
                <w:b/>
                <w:sz w:val="22"/>
              </w:rPr>
              <w:t>(3.1)</w:t>
            </w:r>
          </w:p>
        </w:tc>
      </w:tr>
    </w:tbl>
    <w:p>
      <w:pPr>
        <w:spacing w:before="0" w:after="80"/>
      </w:pP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Stride_Length = K_w · (a_max - a_min)^(1/4)</w:t>
            </w:r>
          </w:p>
        </w:tc>
        <w:tc>
          <w:tcPr>
            <w:tcW w:type="dxa" w:w="1152"/>
            <w:vAlign w:val="center"/>
          </w:tcPr>
          <w:p>
            <w:pPr>
              <w:spacing w:before="40" w:after="40"/>
              <w:jc w:val="right"/>
            </w:pPr>
            <w:r>
              <w:rPr>
                <w:rFonts w:ascii="Times New Roman" w:hAnsi="Times New Roman"/>
                <w:b/>
                <w:sz w:val="22"/>
              </w:rPr>
              <w:t>(3.2)</w:t>
            </w:r>
          </w:p>
        </w:tc>
      </w:tr>
    </w:tbl>
    <w:p>
      <w:pPr>
        <w:spacing w:before="0" w:after="80"/>
      </w:pP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Pitch (θ) = atan2(ay, √(ax² + az²))</w:t>
            </w:r>
          </w:p>
          <w:p>
            <w:pPr>
              <w:spacing w:line="276" w:lineRule="auto" w:before="40" w:after="40"/>
              <w:jc w:val="center"/>
            </w:pPr>
            <w:r>
              <w:rPr>
                <w:rFonts w:ascii="Times New Roman" w:hAnsi="Times New Roman"/>
                <w:i/>
                <w:sz w:val="23"/>
              </w:rPr>
              <w:t>Roll (φ) = atan2(-ax, az)</w:t>
            </w:r>
          </w:p>
        </w:tc>
        <w:tc>
          <w:tcPr>
            <w:tcW w:type="dxa" w:w="1152"/>
            <w:vAlign w:val="center"/>
          </w:tcPr>
          <w:p>
            <w:pPr>
              <w:spacing w:before="40" w:after="40"/>
              <w:jc w:val="right"/>
            </w:pPr>
            <w:r>
              <w:rPr>
                <w:rFonts w:ascii="Times New Roman" w:hAnsi="Times New Roman"/>
                <w:b/>
                <w:sz w:val="22"/>
              </w:rPr>
              <w:t>(3.3)</w:t>
            </w:r>
          </w:p>
        </w:tc>
      </w:tr>
    </w:tbl>
    <w:p>
      <w:pPr>
        <w:spacing w:before="0" w:after="80"/>
      </w:pPr>
    </w:p>
    <w:p>
      <w:pPr>
        <w:spacing w:line="360" w:lineRule="auto" w:after="120"/>
        <w:jc w:val="both"/>
      </w:pPr>
      <w:r>
        <w:rPr>
          <w:rFonts w:ascii="Times New Roman" w:hAnsi="Times New Roman"/>
          <w:sz w:val="24"/>
        </w:rPr>
        <w:t>The horizontal magnetic field components X_h and Y_h are computed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X_h = mx · cos(φ) + my · sin(θ) · sin(φ) - mz · cos(θ) · sin(φ)</w:t>
            </w:r>
          </w:p>
          <w:p>
            <w:pPr>
              <w:spacing w:line="276" w:lineRule="auto" w:before="40" w:after="40"/>
              <w:jc w:val="center"/>
            </w:pPr>
            <w:r>
              <w:rPr>
                <w:rFonts w:ascii="Times New Roman" w:hAnsi="Times New Roman"/>
                <w:i/>
                <w:sz w:val="23"/>
              </w:rPr>
              <w:t>Y_h = my · cos(θ) + mz · sin(θ)</w:t>
            </w:r>
          </w:p>
        </w:tc>
        <w:tc>
          <w:tcPr>
            <w:tcW w:type="dxa" w:w="1152"/>
            <w:vAlign w:val="center"/>
          </w:tcPr>
          <w:p>
            <w:pPr>
              <w:spacing w:before="40" w:after="40"/>
              <w:jc w:val="right"/>
            </w:pPr>
            <w:r>
              <w:rPr>
                <w:rFonts w:ascii="Times New Roman" w:hAnsi="Times New Roman"/>
                <w:b/>
                <w:sz w:val="22"/>
              </w:rPr>
              <w:t>(3.4)</w:t>
            </w:r>
          </w:p>
        </w:tc>
      </w:tr>
    </w:tbl>
    <w:p>
      <w:pPr>
        <w:spacing w:before="0" w:after="80"/>
      </w:pPr>
    </w:p>
    <w:p>
      <w:pPr>
        <w:spacing w:line="360" w:lineRule="auto" w:after="120"/>
        <w:jc w:val="both"/>
      </w:pPr>
      <w:r>
        <w:rPr>
          <w:rFonts w:ascii="Times New Roman" w:hAnsi="Times New Roman"/>
          <w:sz w:val="24"/>
        </w:rPr>
        <w:t>The tilt-compensated magnetic compass heading is given by:</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ψ_mag = atan2(-Y_h, X_h)</w:t>
            </w:r>
          </w:p>
        </w:tc>
        <w:tc>
          <w:tcPr>
            <w:tcW w:type="dxa" w:w="1152"/>
            <w:vAlign w:val="center"/>
          </w:tcPr>
          <w:p>
            <w:pPr>
              <w:spacing w:before="40" w:after="40"/>
              <w:jc w:val="right"/>
            </w:pPr>
            <w:r>
              <w:rPr>
                <w:rFonts w:ascii="Times New Roman" w:hAnsi="Times New Roman"/>
                <w:b/>
                <w:sz w:val="22"/>
              </w:rPr>
              <w:t>(3.5)</w:t>
            </w:r>
          </w:p>
        </w:tc>
      </w:tr>
    </w:tbl>
    <w:p>
      <w:pPr>
        <w:spacing w:before="0" w:after="80"/>
      </w:pP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θ_fused(t) = α · (θ_fused(t - Δt) + ωz · Δt) + (1 - α) · ψ_mag(t)</w:t>
            </w:r>
          </w:p>
        </w:tc>
        <w:tc>
          <w:tcPr>
            <w:tcW w:type="dxa" w:w="1152"/>
            <w:vAlign w:val="center"/>
          </w:tcPr>
          <w:p>
            <w:pPr>
              <w:spacing w:before="40" w:after="40"/>
              <w:jc w:val="right"/>
            </w:pPr>
            <w:r>
              <w:rPr>
                <w:rFonts w:ascii="Times New Roman" w:hAnsi="Times New Roman"/>
                <w:b/>
                <w:sz w:val="22"/>
              </w:rPr>
              <w:t>(3.6)</w:t>
            </w:r>
          </w:p>
        </w:tc>
      </w:tr>
    </w:tbl>
    <w:p>
      <w:pPr>
        <w:spacing w:before="0" w:after="80"/>
      </w:pP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Lat(t) = Lat(t - 1) + (Stride · cos(θ_fused)) / R_earth</w:t>
            </w:r>
          </w:p>
          <w:p>
            <w:pPr>
              <w:spacing w:line="276" w:lineRule="auto" w:before="40" w:after="40"/>
              <w:jc w:val="center"/>
            </w:pPr>
            <w:r>
              <w:rPr>
                <w:rFonts w:ascii="Times New Roman" w:hAnsi="Times New Roman"/>
                <w:i/>
                <w:sz w:val="23"/>
              </w:rPr>
              <w:t>Lng(t) = Lng(t - 1) + (Stride · sin(θ_fused)) / (R_earth · cos(Lat(t)))</w:t>
            </w:r>
          </w:p>
        </w:tc>
        <w:tc>
          <w:tcPr>
            <w:tcW w:type="dxa" w:w="1152"/>
            <w:vAlign w:val="center"/>
          </w:tcPr>
          <w:p>
            <w:pPr>
              <w:spacing w:before="40" w:after="40"/>
              <w:jc w:val="right"/>
            </w:pPr>
            <w:r>
              <w:rPr>
                <w:rFonts w:ascii="Times New Roman" w:hAnsi="Times New Roman"/>
                <w:b/>
                <w:sz w:val="22"/>
              </w:rPr>
              <w:t>(3.7)</w:t>
            </w:r>
          </w:p>
        </w:tc>
      </w:tr>
    </w:tbl>
    <w:p>
      <w:pPr>
        <w:spacing w:before="0" w:after="80"/>
      </w:pP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359574"/>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359574"/>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keepNext/>
        <w:spacing w:before="160" w:after="80"/>
        <w:jc w:val="left"/>
      </w:pPr>
      <w:r>
        <w:rPr>
          <w:rFonts w:ascii="Times New Roman" w:hAnsi="Times New Roman"/>
          <w:b/>
          <w:sz w:val="21"/>
        </w:rPr>
        <w:t>Listing 3.1: MongoDB 2DSphere Geospatial Proximity Query</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MongoDB 2DSphere Geospatial Radius Search</w:t>
            </w:r>
          </w:p>
          <w:p>
            <w:pPr>
              <w:spacing w:line="252" w:lineRule="auto" w:before="0" w:after="30"/>
              <w:jc w:val="left"/>
            </w:pPr>
            <w:r>
              <w:rPr>
                <w:rFonts w:ascii="Consolas" w:hAnsi="Consolas"/>
                <w:color w:val="1E293B"/>
                <w:sz w:val="17"/>
              </w:rPr>
              <w:t>db.emergency_alerts.find({</w:t>
            </w:r>
          </w:p>
          <w:p>
            <w:pPr>
              <w:spacing w:line="252" w:lineRule="auto" w:before="0" w:after="30"/>
              <w:jc w:val="left"/>
            </w:pPr>
            <w:r>
              <w:rPr>
                <w:rFonts w:ascii="Consolas" w:hAnsi="Consolas"/>
                <w:color w:val="1E293B"/>
                <w:sz w:val="17"/>
              </w:rPr>
              <w:t xml:space="preserve">  location: {</w:t>
            </w:r>
          </w:p>
          <w:p>
            <w:pPr>
              <w:spacing w:line="252" w:lineRule="auto" w:before="0" w:after="30"/>
              <w:jc w:val="left"/>
            </w:pPr>
            <w:r>
              <w:rPr>
                <w:rFonts w:ascii="Consolas" w:hAnsi="Consolas"/>
                <w:color w:val="1E293B"/>
                <w:sz w:val="17"/>
              </w:rPr>
              <w:t xml:space="preserve">    $nearSphere: {</w:t>
            </w:r>
          </w:p>
          <w:p>
            <w:pPr>
              <w:spacing w:line="252" w:lineRule="auto" w:before="0" w:after="30"/>
              <w:jc w:val="left"/>
            </w:pPr>
            <w:r>
              <w:rPr>
                <w:rFonts w:ascii="Consolas" w:hAnsi="Consolas"/>
                <w:color w:val="1E293B"/>
                <w:sz w:val="17"/>
              </w:rPr>
              <w:t xml:space="preserve">      $geometry: { type: "Point", coordinates: [lng, lat] },</w:t>
            </w:r>
          </w:p>
          <w:p>
            <w:pPr>
              <w:spacing w:line="252" w:lineRule="auto" w:before="0" w:after="30"/>
              <w:jc w:val="left"/>
            </w:pPr>
            <w:r>
              <w:rPr>
                <w:rFonts w:ascii="Consolas" w:hAnsi="Consolas"/>
                <w:color w:val="1E293B"/>
                <w:sz w:val="17"/>
              </w:rPr>
              <w:t xml:space="preserve">      $maxDistance: 5000 // 5.0 km rescue operational perimeter</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m_calibrated = S_matrix · (m_raw - V_offset)</w:t>
            </w:r>
          </w:p>
        </w:tc>
        <w:tc>
          <w:tcPr>
            <w:tcW w:type="dxa" w:w="1152"/>
            <w:vAlign w:val="center"/>
          </w:tcPr>
          <w:p>
            <w:pPr>
              <w:spacing w:before="40" w:after="40"/>
              <w:jc w:val="right"/>
            </w:pPr>
            <w:r>
              <w:rPr>
                <w:rFonts w:ascii="Times New Roman" w:hAnsi="Times New Roman"/>
                <w:b/>
                <w:sz w:val="22"/>
              </w:rPr>
              <w:t>(3.8)</w:t>
            </w:r>
          </w:p>
        </w:tc>
      </w:tr>
    </w:tbl>
    <w:p>
      <w:pPr>
        <w:spacing w:before="0" w:after="80"/>
      </w:pP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S_m = 1.0 - 0.015 · θ   (for ascents, θ &gt; 0)</w:t>
            </w:r>
          </w:p>
          <w:p>
            <w:pPr>
              <w:spacing w:line="276" w:lineRule="auto" w:before="40" w:after="40"/>
              <w:jc w:val="center"/>
            </w:pPr>
            <w:r>
              <w:rPr>
                <w:rFonts w:ascii="Times New Roman" w:hAnsi="Times New Roman"/>
                <w:i/>
                <w:sz w:val="23"/>
              </w:rPr>
              <w:t>S_m = 1.0 + 0.008 · |θ|  (for descents, θ &lt; 0)</w:t>
            </w:r>
          </w:p>
        </w:tc>
        <w:tc>
          <w:tcPr>
            <w:tcW w:type="dxa" w:w="1152"/>
            <w:vAlign w:val="center"/>
          </w:tcPr>
          <w:p>
            <w:pPr>
              <w:spacing w:before="40" w:after="40"/>
              <w:jc w:val="right"/>
            </w:pPr>
            <w:r>
              <w:rPr>
                <w:rFonts w:ascii="Times New Roman" w:hAnsi="Times New Roman"/>
                <w:b/>
                <w:sz w:val="22"/>
              </w:rPr>
              <w:t>(3.9)</w:t>
            </w:r>
          </w:p>
        </w:tc>
      </w:tr>
    </w:tbl>
    <w:p>
      <w:pPr>
        <w:spacing w:before="0" w:after="80"/>
      </w:pP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3714368"/>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3714368"/>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80" w:after="40"/>
        <w:jc w:val="center"/>
      </w:pPr>
      <w:r>
        <w:rPr>
          <w:rFonts w:ascii="Times New Roman" w:hAnsi="Times New Roman"/>
          <w:b/>
          <w:sz w:val="32"/>
        </w:rPr>
        <w:t>CHAPTER 4</w:t>
      </w:r>
    </w:p>
    <w:p>
      <w:pPr>
        <w:spacing w:before="0" w:after="24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p>
      <w:pPr>
        <w:keepNext/>
        <w:spacing w:before="200" w:after="80"/>
        <w:jc w:val="center"/>
      </w:pPr>
      <w:r>
        <w:rPr>
          <w:rFonts w:ascii="Times New Roman" w:hAnsi="Times New Roman"/>
          <w:b/>
          <w:sz w:val="21"/>
        </w:rPr>
        <w:t>Table 4.1: Hardware Requirements and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p>
      <w:pPr>
        <w:keepNext/>
        <w:spacing w:before="200" w:after="80"/>
        <w:jc w:val="center"/>
      </w:pPr>
      <w:r>
        <w:rPr>
          <w:rFonts w:ascii="Times New Roman" w:hAnsi="Times New Roman"/>
          <w:b/>
          <w:sz w:val="21"/>
        </w:rPr>
        <w:t>Table 4.2: Software Requirements, Frameworks, and Dependencies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keepNext/>
        <w:spacing w:before="160" w:after="80"/>
        <w:jc w:val="left"/>
      </w:pPr>
      <w:r>
        <w:rPr>
          <w:rFonts w:ascii="Times New Roman" w:hAnsi="Times New Roman"/>
          <w:b/>
          <w:sz w:val="21"/>
        </w:rPr>
        <w:t>Listing 4.1: PdrSensorFusionService.dart – Core Kinematic Loop</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PdrSensorFusionService Core Kinematic Loop</w:t>
            </w:r>
          </w:p>
          <w:p>
            <w:pPr>
              <w:spacing w:line="252" w:lineRule="auto" w:before="0" w:after="30"/>
              <w:jc w:val="left"/>
            </w:pPr>
            <w:r>
              <w:rPr>
                <w:rFonts w:ascii="Consolas" w:hAnsi="Consolas"/>
                <w:color w:val="1E293B"/>
                <w:sz w:val="17"/>
              </w:rPr>
              <w:t>void processImuSample(Vector3 accel, Vector3 gyro, Vector3 mag, double dt) {</w:t>
            </w:r>
          </w:p>
          <w:p>
            <w:pPr>
              <w:spacing w:line="252" w:lineRule="auto" w:before="0" w:after="30"/>
              <w:jc w:val="left"/>
            </w:pPr>
            <w:r>
              <w:rPr>
                <w:rFonts w:ascii="Consolas" w:hAnsi="Consolas"/>
                <w:color w:val="1E293B"/>
                <w:sz w:val="17"/>
              </w:rPr>
              <w:t xml:space="preserve">  // 1. Calculate Accelerometer Vector Magnitude</w:t>
            </w:r>
          </w:p>
          <w:p>
            <w:pPr>
              <w:spacing w:line="252" w:lineRule="auto" w:before="0" w:after="30"/>
              <w:jc w:val="left"/>
            </w:pPr>
            <w:r>
              <w:rPr>
                <w:rFonts w:ascii="Consolas" w:hAnsi="Consolas"/>
                <w:color w:val="1E293B"/>
                <w:sz w:val="17"/>
              </w:rPr>
              <w:t xml:space="preserve">  double aMag = sqrt(accel.x * accel.x + accel.y * accel.y + accel.z * accel.z);</w:t>
            </w:r>
          </w:p>
          <w:p>
            <w:pPr>
              <w:spacing w:line="252" w:lineRule="auto" w:before="0" w:after="30"/>
              <w:jc w:val="left"/>
            </w:pPr>
            <w:r>
              <w:rPr>
                <w:rFonts w:ascii="Consolas" w:hAnsi="Consolas"/>
                <w:color w:val="1E293B"/>
                <w:sz w:val="17"/>
              </w:rPr>
              <w:t xml:space="preserve">  accelBuffer.add(aMag);</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2. Dynamic Pitch &amp; Roll Tilt Extraction</w:t>
            </w:r>
          </w:p>
          <w:p>
            <w:pPr>
              <w:spacing w:line="252" w:lineRule="auto" w:before="0" w:after="30"/>
              <w:jc w:val="left"/>
            </w:pPr>
            <w:r>
              <w:rPr>
                <w:rFonts w:ascii="Consolas" w:hAnsi="Consolas"/>
                <w:color w:val="1E293B"/>
                <w:sz w:val="17"/>
              </w:rPr>
              <w:t xml:space="preserve">  double pitch = atan2(accel.y, sqrt(accel.x * accel.x + accel.z * accel.z));</w:t>
            </w:r>
          </w:p>
          <w:p>
            <w:pPr>
              <w:spacing w:line="252" w:lineRule="auto" w:before="0" w:after="30"/>
              <w:jc w:val="left"/>
            </w:pPr>
            <w:r>
              <w:rPr>
                <w:rFonts w:ascii="Consolas" w:hAnsi="Consolas"/>
                <w:color w:val="1E293B"/>
                <w:sz w:val="17"/>
              </w:rPr>
              <w:t xml:space="preserve">  double roll = atan2(-accel.x, accel.z);</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3. Horizontal Magnetometer Projection</w:t>
            </w:r>
          </w:p>
          <w:p>
            <w:pPr>
              <w:spacing w:line="252" w:lineRule="auto" w:before="0" w:after="30"/>
              <w:jc w:val="left"/>
            </w:pPr>
            <w:r>
              <w:rPr>
                <w:rFonts w:ascii="Consolas" w:hAnsi="Consolas"/>
                <w:color w:val="1E293B"/>
                <w:sz w:val="17"/>
              </w:rPr>
              <w:t xml:space="preserve">  double xh = mag.x * cos(roll) + mag.y * sin(pitch) * sin(roll) - mag.z * cos(pitch) * sin(roll);</w:t>
            </w:r>
          </w:p>
          <w:p>
            <w:pPr>
              <w:spacing w:line="252" w:lineRule="auto" w:before="0" w:after="30"/>
              <w:jc w:val="left"/>
            </w:pPr>
            <w:r>
              <w:rPr>
                <w:rFonts w:ascii="Consolas" w:hAnsi="Consolas"/>
                <w:color w:val="1E293B"/>
                <w:sz w:val="17"/>
              </w:rPr>
              <w:t xml:space="preserve">  double yh = mag.y * cos(pitch) + mag.z * sin(pitch);</w:t>
            </w:r>
          </w:p>
          <w:p>
            <w:pPr>
              <w:spacing w:line="252" w:lineRule="auto" w:before="0" w:after="30"/>
              <w:jc w:val="left"/>
            </w:pPr>
            <w:r>
              <w:rPr>
                <w:rFonts w:ascii="Consolas" w:hAnsi="Consolas"/>
                <w:color w:val="1E293B"/>
                <w:sz w:val="17"/>
              </w:rPr>
              <w:t xml:space="preserve">  double magHeading = atan2(-yh, xh);</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4. Complementary Filter Heading Fusion (alpha = 0.98)</w:t>
            </w:r>
          </w:p>
          <w:p>
            <w:pPr>
              <w:spacing w:line="252" w:lineRule="auto" w:before="0" w:after="30"/>
              <w:jc w:val="left"/>
            </w:pPr>
            <w:r>
              <w:rPr>
                <w:rFonts w:ascii="Consolas" w:hAnsi="Consolas"/>
                <w:color w:val="1E293B"/>
                <w:sz w:val="17"/>
              </w:rPr>
              <w:t xml:space="preserve">  double diff = normalizeAngle(magHeading - fusedHeading);</w:t>
            </w:r>
          </w:p>
          <w:p>
            <w:pPr>
              <w:spacing w:line="252" w:lineRule="auto" w:before="0" w:after="30"/>
              <w:jc w:val="left"/>
            </w:pPr>
            <w:r>
              <w:rPr>
                <w:rFonts w:ascii="Consolas" w:hAnsi="Consolas"/>
                <w:color w:val="1E293B"/>
                <w:sz w:val="17"/>
              </w:rPr>
              <w:t xml:space="preserve">  fusedHeading = normalizeAngle(fusedHeading + gyro.z * dt + 0.02 * diff);</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5. Weinberg Step Detection Peak Trigger</w:t>
            </w:r>
          </w:p>
          <w:p>
            <w:pPr>
              <w:spacing w:line="252" w:lineRule="auto" w:before="0" w:after="30"/>
              <w:jc w:val="left"/>
            </w:pPr>
            <w:r>
              <w:rPr>
                <w:rFonts w:ascii="Consolas" w:hAnsi="Consolas"/>
                <w:color w:val="1E293B"/>
                <w:sz w:val="17"/>
              </w:rPr>
              <w:t xml:space="preserve">  if (isStepPeak(accelBuffer, aMag) &amp;&amp; canTriggerStep()) {</w:t>
            </w:r>
          </w:p>
          <w:p>
            <w:pPr>
              <w:spacing w:line="252" w:lineRule="auto" w:before="0" w:after="30"/>
              <w:jc w:val="left"/>
            </w:pPr>
            <w:r>
              <w:rPr>
                <w:rFonts w:ascii="Consolas" w:hAnsi="Consolas"/>
                <w:color w:val="1E293B"/>
                <w:sz w:val="17"/>
              </w:rPr>
              <w:t xml:space="preserve">    double stride = 0.45 * pow(accelBuffer.max - accelBuffer.min, 0.25);</w:t>
            </w:r>
          </w:p>
          <w:p>
            <w:pPr>
              <w:spacing w:line="252" w:lineRule="auto" w:before="0" w:after="30"/>
              <w:jc w:val="left"/>
            </w:pPr>
            <w:r>
              <w:rPr>
                <w:rFonts w:ascii="Consolas" w:hAnsi="Consolas"/>
                <w:color w:val="1E293B"/>
                <w:sz w:val="17"/>
              </w:rPr>
              <w:t xml:space="preserve">    propagateCoordinates(stride, fusedHeading);</w:t>
            </w:r>
          </w:p>
          <w:p>
            <w:pPr>
              <w:spacing w:line="252" w:lineRule="auto" w:before="0" w:after="30"/>
              <w:jc w:val="left"/>
            </w:pPr>
            <w:r>
              <w:rPr>
                <w:rFonts w:ascii="Consolas" w:hAnsi="Consolas"/>
                <w:color w:val="1E293B"/>
                <w:sz w:val="17"/>
              </w:rPr>
              <w:t xml:space="preserve">    stepCount++;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keepNext/>
        <w:spacing w:before="160" w:after="80"/>
        <w:jc w:val="left"/>
      </w:pPr>
      <w:r>
        <w:rPr>
          <w:rFonts w:ascii="Times New Roman" w:hAnsi="Times New Roman"/>
          <w:b/>
          <w:sz w:val="21"/>
        </w:rPr>
        <w:t>Listing 4.2: BleMeshService.dart – Controlled Spray-and-Wait Broadcast Handler</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BleMeshService Relay and Controlled Binary Splitting Routine</w:t>
            </w:r>
          </w:p>
          <w:p>
            <w:pPr>
              <w:spacing w:line="252" w:lineRule="auto" w:before="0" w:after="30"/>
              <w:jc w:val="left"/>
            </w:pPr>
            <w:r>
              <w:rPr>
                <w:rFonts w:ascii="Consolas" w:hAnsi="Consolas"/>
                <w:color w:val="1E293B"/>
                <w:sz w:val="17"/>
              </w:rPr>
              <w:t>Future&lt;void&gt; onPeerBeaconReceived(BleDiscoveredDevice peer, Uint8List rawPayload) async {</w:t>
            </w:r>
          </w:p>
          <w:p>
            <w:pPr>
              <w:spacing w:line="252" w:lineRule="auto" w:before="0" w:after="30"/>
              <w:jc w:val="left"/>
            </w:pPr>
            <w:r>
              <w:rPr>
                <w:rFonts w:ascii="Consolas" w:hAnsi="Consolas"/>
                <w:color w:val="1E293B"/>
                <w:sz w:val="17"/>
              </w:rPr>
              <w:t xml:space="preserve">  EmergencyAlertModel alert = EmergencyAlertModel.fromBinary(rawPayload);</w:t>
            </w:r>
          </w:p>
          <w:p>
            <w:pPr>
              <w:spacing w:line="252" w:lineRule="auto" w:before="0" w:after="30"/>
              <w:jc w:val="left"/>
            </w:pPr>
            <w:r>
              <w:rPr>
                <w:rFonts w:ascii="Consolas" w:hAnsi="Consolas"/>
                <w:color w:val="1E293B"/>
                <w:sz w:val="17"/>
              </w:rPr>
              <w:t xml:space="preserve">  if (await databaseService.hasAlert(alert.sosId)) return; // Hive Deduplication</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databaseService.cacheAlert(alert); // Local Hive Storage</w:t>
            </w:r>
          </w:p>
          <w:p>
            <w:pPr>
              <w:spacing w:line="252" w:lineRule="auto" w:before="0" w:after="30"/>
              <w:jc w:val="left"/>
            </w:pPr>
            <w:r>
              <w:rPr>
                <w:rFonts w:ascii="Consolas" w:hAnsi="Consolas"/>
                <w:color w:val="1E293B"/>
                <w:sz w:val="17"/>
              </w:rPr>
              <w:t xml:space="preserve">  if (await connectivityService.hasInternetConnection()) {</w:t>
            </w:r>
          </w:p>
          <w:p>
            <w:pPr>
              <w:spacing w:line="252" w:lineRule="auto" w:before="0" w:after="30"/>
              <w:jc w:val="left"/>
            </w:pPr>
            <w:r>
              <w:rPr>
                <w:rFonts w:ascii="Consolas" w:hAnsi="Consolas"/>
                <w:color w:val="1E293B"/>
                <w:sz w:val="17"/>
              </w:rPr>
              <w:t xml:space="preserve">    await syncService.uploadAlertToGateway(alert); // Direct Gateway Flush</w:t>
            </w:r>
          </w:p>
          <w:p>
            <w:pPr>
              <w:spacing w:line="252" w:lineRule="auto" w:before="0" w:after="30"/>
              <w:jc w:val="left"/>
            </w:pPr>
            <w:r>
              <w:rPr>
                <w:rFonts w:ascii="Consolas" w:hAnsi="Consolas"/>
                <w:color w:val="1E293B"/>
                <w:sz w:val="17"/>
              </w:rPr>
              <w:t xml:space="preserve">  } else if (alert.remainingCopies &gt; 1) {</w:t>
            </w:r>
          </w:p>
          <w:p>
            <w:pPr>
              <w:spacing w:line="252" w:lineRule="auto" w:before="0" w:after="30"/>
              <w:jc w:val="left"/>
            </w:pPr>
            <w:r>
              <w:rPr>
                <w:rFonts w:ascii="Consolas" w:hAnsi="Consolas"/>
                <w:color w:val="1E293B"/>
                <w:sz w:val="17"/>
              </w:rPr>
              <w:t xml:space="preserve">    // Binary Splitting: Divide budget for downstream peer nodes</w:t>
            </w:r>
          </w:p>
          <w:p>
            <w:pPr>
              <w:spacing w:line="252" w:lineRule="auto" w:before="0" w:after="30"/>
              <w:jc w:val="left"/>
            </w:pPr>
            <w:r>
              <w:rPr>
                <w:rFonts w:ascii="Consolas" w:hAnsi="Consolas"/>
                <w:color w:val="1E293B"/>
                <w:sz w:val="17"/>
              </w:rPr>
              <w:t xml:space="preserve">    int myCopies = (alert.remainingCopies / 2).floor();</w:t>
            </w:r>
          </w:p>
          <w:p>
            <w:pPr>
              <w:spacing w:line="252" w:lineRule="auto" w:before="0" w:after="30"/>
              <w:jc w:val="left"/>
            </w:pPr>
            <w:r>
              <w:rPr>
                <w:rFonts w:ascii="Consolas" w:hAnsi="Consolas"/>
                <w:color w:val="1E293B"/>
                <w:sz w:val="17"/>
              </w:rPr>
              <w:t xml:space="preserve">    alert.remainingCopies = myCopies;</w:t>
            </w:r>
          </w:p>
          <w:p>
            <w:pPr>
              <w:spacing w:line="252" w:lineRule="auto" w:before="0" w:after="30"/>
              <w:jc w:val="left"/>
            </w:pPr>
            <w:r>
              <w:rPr>
                <w:rFonts w:ascii="Consolas" w:hAnsi="Consolas"/>
                <w:color w:val="1E293B"/>
                <w:sz w:val="17"/>
              </w:rPr>
              <w:t xml:space="preserve">    alert.hopCount += 1;</w:t>
            </w:r>
          </w:p>
          <w:p>
            <w:pPr>
              <w:spacing w:line="252" w:lineRule="auto" w:before="0" w:after="30"/>
              <w:jc w:val="left"/>
            </w:pPr>
            <w:r>
              <w:rPr>
                <w:rFonts w:ascii="Consolas" w:hAnsi="Consolas"/>
                <w:color w:val="1E293B"/>
                <w:sz w:val="17"/>
              </w:rPr>
              <w:t xml:space="preserve">    startAdvertisingDistressPacket(alert);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keepNext/>
        <w:spacing w:before="160" w:after="80"/>
        <w:jc w:val="left"/>
      </w:pPr>
      <w:r>
        <w:rPr>
          <w:rFonts w:ascii="Times New Roman" w:hAnsi="Times New Roman"/>
          <w:b/>
          <w:sz w:val="21"/>
        </w:rPr>
        <w:t>Listing 4.3: app/api/sos/route.js – Next.js SAR Distress Ingestion Route</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Next.js SAR Distress Ingestion Route (app/api/sos/route.js)</w:t>
            </w:r>
          </w:p>
          <w:p>
            <w:pPr>
              <w:spacing w:line="252" w:lineRule="auto" w:before="0" w:after="30"/>
              <w:jc w:val="left"/>
            </w:pPr>
            <w:r>
              <w:rPr>
                <w:rFonts w:ascii="Consolas" w:hAnsi="Consolas"/>
                <w:color w:val="1E293B"/>
                <w:sz w:val="17"/>
              </w:rPr>
              <w:t>export async function POST(request) {</w:t>
            </w:r>
          </w:p>
          <w:p>
            <w:pPr>
              <w:spacing w:line="252" w:lineRule="auto" w:before="0" w:after="30"/>
              <w:jc w:val="left"/>
            </w:pPr>
            <w:r>
              <w:rPr>
                <w:rFonts w:ascii="Consolas" w:hAnsi="Consolas"/>
                <w:color w:val="1E293B"/>
                <w:sz w:val="17"/>
              </w:rPr>
              <w:t xml:space="preserve">  try {</w:t>
            </w:r>
          </w:p>
          <w:p>
            <w:pPr>
              <w:spacing w:line="252" w:lineRule="auto" w:before="0" w:after="30"/>
              <w:jc w:val="left"/>
            </w:pPr>
            <w:r>
              <w:rPr>
                <w:rFonts w:ascii="Consolas" w:hAnsi="Consolas"/>
                <w:color w:val="1E293B"/>
                <w:sz w:val="17"/>
              </w:rPr>
              <w:t xml:space="preserve">    const body = await request.json();</w:t>
            </w:r>
          </w:p>
          <w:p>
            <w:pPr>
              <w:spacing w:line="252" w:lineRule="auto" w:before="0" w:after="30"/>
              <w:jc w:val="left"/>
            </w:pPr>
            <w:r>
              <w:rPr>
                <w:rFonts w:ascii="Consolas" w:hAnsi="Consolas"/>
                <w:color w:val="1E293B"/>
                <w:sz w:val="17"/>
              </w:rPr>
              <w:t xml:space="preserve">    const { sosId, latitude, longitude, altitude, hopCount, deviceModel } = body;</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dbConnect();</w:t>
            </w:r>
          </w:p>
          <w:p>
            <w:pPr>
              <w:spacing w:line="252" w:lineRule="auto" w:before="0" w:after="30"/>
              <w:jc w:val="left"/>
            </w:pPr>
            <w:r>
              <w:rPr>
                <w:rFonts w:ascii="Consolas" w:hAnsi="Consolas"/>
                <w:color w:val="1E293B"/>
                <w:sz w:val="17"/>
              </w:rPr>
              <w:t xml:space="preserve">    const alert = await EmergencyAlert.findOneAndUpdate(</w:t>
            </w:r>
          </w:p>
          <w:p>
            <w:pPr>
              <w:spacing w:line="252" w:lineRule="auto" w:before="0" w:after="30"/>
              <w:jc w:val="left"/>
            </w:pPr>
            <w:r>
              <w:rPr>
                <w:rFonts w:ascii="Consolas" w:hAnsi="Consolas"/>
                <w:color w:val="1E293B"/>
                <w:sz w:val="17"/>
              </w:rPr>
              <w:t xml:space="preserve">      { sosId: sosId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$setOnInsert: { sosId, createdAt: new Date() },</w:t>
            </w:r>
          </w:p>
          <w:p>
            <w:pPr>
              <w:spacing w:line="252" w:lineRule="auto" w:before="0" w:after="30"/>
              <w:jc w:val="left"/>
            </w:pPr>
            <w:r>
              <w:rPr>
                <w:rFonts w:ascii="Consolas" w:hAnsi="Consolas"/>
                <w:color w:val="1E293B"/>
                <w:sz w:val="17"/>
              </w:rPr>
              <w:t xml:space="preserve">        $set: {</w:t>
            </w:r>
          </w:p>
          <w:p>
            <w:pPr>
              <w:spacing w:line="252" w:lineRule="auto" w:before="0" w:after="30"/>
              <w:jc w:val="left"/>
            </w:pPr>
            <w:r>
              <w:rPr>
                <w:rFonts w:ascii="Consolas" w:hAnsi="Consolas"/>
                <w:color w:val="1E293B"/>
                <w:sz w:val="17"/>
              </w:rPr>
              <w:t xml:space="preserve">          location: { type: 'Point', coordinates: [longitude, latitude] },</w:t>
            </w:r>
          </w:p>
          <w:p>
            <w:pPr>
              <w:spacing w:line="252" w:lineRule="auto" w:before="0" w:after="30"/>
              <w:jc w:val="left"/>
            </w:pPr>
            <w:r>
              <w:rPr>
                <w:rFonts w:ascii="Consolas" w:hAnsi="Consolas"/>
                <w:color w:val="1E293B"/>
                <w:sz w:val="17"/>
              </w:rPr>
              <w:t xml:space="preserve">          altitude: altitude || 0,</w:t>
            </w:r>
          </w:p>
          <w:p>
            <w:pPr>
              <w:spacing w:line="252" w:lineRule="auto" w:before="0" w:after="30"/>
              <w:jc w:val="left"/>
            </w:pPr>
            <w:r>
              <w:rPr>
                <w:rFonts w:ascii="Consolas" w:hAnsi="Consolas"/>
                <w:color w:val="1E293B"/>
                <w:sz w:val="17"/>
              </w:rPr>
              <w:t xml:space="preserve">          hopCount: hopCount || 0,</w:t>
            </w:r>
          </w:p>
          <w:p>
            <w:pPr>
              <w:spacing w:line="252" w:lineRule="auto" w:before="0" w:after="30"/>
              <w:jc w:val="left"/>
            </w:pPr>
            <w:r>
              <w:rPr>
                <w:rFonts w:ascii="Consolas" w:hAnsi="Consolas"/>
                <w:color w:val="1E293B"/>
                <w:sz w:val="17"/>
              </w:rPr>
              <w:t xml:space="preserve">          status: 'ACTIVE',</w:t>
            </w:r>
          </w:p>
          <w:p>
            <w:pPr>
              <w:spacing w:line="252" w:lineRule="auto" w:before="0" w:after="30"/>
              <w:jc w:val="left"/>
            </w:pPr>
            <w:r>
              <w:rPr>
                <w:rFonts w:ascii="Consolas" w:hAnsi="Consolas"/>
                <w:color w:val="1E293B"/>
                <w:sz w:val="17"/>
              </w:rPr>
              <w:t xml:space="preserve">          deviceModel: deviceModel || 'Smartphone Node'</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 upsert: true, new: true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return NextResponse.json({ success: true, alertId: alert._id }, { status: 201 });</w:t>
            </w:r>
          </w:p>
          <w:p>
            <w:pPr>
              <w:spacing w:line="252" w:lineRule="auto" w:before="0" w:after="30"/>
              <w:jc w:val="left"/>
            </w:pPr>
            <w:r>
              <w:rPr>
                <w:rFonts w:ascii="Consolas" w:hAnsi="Consolas"/>
                <w:color w:val="1E293B"/>
                <w:sz w:val="17"/>
              </w:rPr>
              <w:t xml:space="preserve">  } catch (error) {</w:t>
            </w:r>
          </w:p>
          <w:p>
            <w:pPr>
              <w:spacing w:line="252" w:lineRule="auto" w:before="0" w:after="30"/>
              <w:jc w:val="left"/>
            </w:pPr>
            <w:r>
              <w:rPr>
                <w:rFonts w:ascii="Consolas" w:hAnsi="Consolas"/>
                <w:color w:val="1E293B"/>
                <w:sz w:val="17"/>
              </w:rPr>
              <w:t xml:space="preserve">    return NextResponse.json({ success: false, error: error.message }, { status: 500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4937760" cy="2665323"/>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4937760" cy="2665323"/>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4937760" cy="2665323"/>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pPr>
        <w:keepNext/>
        <w:spacing w:before="200" w:after="80"/>
        <w:jc w:val="center"/>
      </w:pPr>
      <w:r>
        <w:drawing>
          <wp:inline xmlns:a="http://schemas.openxmlformats.org/drawingml/2006/main" xmlns:pic="http://schemas.openxmlformats.org/drawingml/2006/picture">
            <wp:extent cx="4937760" cy="2665323"/>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4.5: Mobile Client - Landing Interface &amp; Offline Cached Maps Management</w:t>
      </w:r>
    </w:p>
    <w:p>
      <w:pPr>
        <w:spacing w:line="360" w:lineRule="auto" w:after="120"/>
        <w:jc w:val="both"/>
      </w:pPr>
      <w:r>
        <w:rPr>
          <w:rFonts w:ascii="Times New Roman" w:hAnsi="Times New Roman"/>
          <w:sz w:val="24"/>
        </w:rPr>
        <w:t>Figure 4.5 shows the mobile application landing screen, displaying camera QR scan triggers, locally cached Hive map packages, and direct emergency SOS dashboard links.</w:t>
      </w:r>
    </w:p>
    <w:p>
      <w:pPr>
        <w:keepNext/>
        <w:spacing w:before="200" w:after="80"/>
        <w:jc w:val="center"/>
      </w:pPr>
      <w:r>
        <w:drawing>
          <wp:inline xmlns:a="http://schemas.openxmlformats.org/drawingml/2006/main" xmlns:pic="http://schemas.openxmlformats.org/drawingml/2006/picture">
            <wp:extent cx="4937760" cy="2665323"/>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360" w:lineRule="auto" w:after="120"/>
        <w:jc w:val="both"/>
      </w:pPr>
      <w:r>
        <w:rPr>
          <w:rFonts w:ascii="Times New Roman" w:hAnsi="Times New Roman"/>
          <w:sz w:val="24"/>
        </w:rPr>
        <w:t>Figure 4.6 displays the offline vector blueprint canvas showing campus walkways, live SF-PDR coordinate tracking, heading orientation markers, and the round red emergency trigger button.</w:t>
      </w:r>
    </w:p>
    <w:p>
      <w:pPr>
        <w:keepNext/>
        <w:spacing w:before="200" w:after="80"/>
        <w:jc w:val="center"/>
      </w:pPr>
      <w:r>
        <w:drawing>
          <wp:inline xmlns:a="http://schemas.openxmlformats.org/drawingml/2006/main" xmlns:pic="http://schemas.openxmlformats.org/drawingml/2006/picture">
            <wp:extent cx="4937760" cy="2665323"/>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4.7: Mobile Tactical Interface - 3-Second Hold SOS Broadcast Dashboard</w:t>
      </w:r>
    </w:p>
    <w:p>
      <w:pPr>
        <w:spacing w:line="360" w:lineRule="auto" w:after="120"/>
        <w:jc w:val="both"/>
      </w:pPr>
      <w:r>
        <w:rPr>
          <w:rFonts w:ascii="Times New Roman" w:hAnsi="Times New Roman"/>
          <w:sz w:val="24"/>
        </w:rPr>
        <w:t>Figure 4.7 shows the emergency dispatch screen featuring the 3-second hold emergency trigger, active BLE mesh advertising status, hop telemetry, and offline queue status.</w:t>
      </w:r>
    </w:p>
    <w:p>
      <w:pPr>
        <w:keepNext/>
        <w:spacing w:before="200" w:after="80"/>
        <w:jc w:val="center"/>
      </w:pPr>
      <w:r>
        <w:drawing>
          <wp:inline xmlns:a="http://schemas.openxmlformats.org/drawingml/2006/main" xmlns:pic="http://schemas.openxmlformats.org/drawingml/2006/picture">
            <wp:extent cx="4937760" cy="2665323"/>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360" w:lineRule="auto" w:after="120"/>
        <w:jc w:val="both"/>
      </w:pPr>
      <w:r>
        <w:rPr>
          <w:rFonts w:ascii="Times New Roman" w:hAnsi="Times New Roman"/>
          <w:sz w:val="24"/>
        </w:rPr>
        <w:t>Figure 4.8 illustrates the cloud Search and Rescue incident control room dashboard, rendering live pulsing distress beacons, 2DSphere spatial search perimeters, incident statistics, and status toggle controls.</w:t>
      </w:r>
    </w:p>
    <w:p>
      <w:r>
        <w:br w:type="page"/>
      </w:r>
    </w:p>
    <w:p>
      <w:pPr>
        <w:spacing w:before="80" w:after="40"/>
        <w:jc w:val="center"/>
      </w:pPr>
      <w:r>
        <w:rPr>
          <w:rFonts w:ascii="Times New Roman" w:hAnsi="Times New Roman"/>
          <w:b/>
          <w:sz w:val="32"/>
        </w:rPr>
        <w:t>CHAPTER 5</w:t>
      </w:r>
    </w:p>
    <w:p>
      <w:pPr>
        <w:spacing w:before="0" w:after="24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p>
      <w:pPr>
        <w:keepNext/>
        <w:spacing w:before="200" w:after="80"/>
        <w:jc w:val="center"/>
      </w:pPr>
      <w:r>
        <w:rPr>
          <w:rFonts w:ascii="Times New Roman" w:hAnsi="Times New Roman"/>
          <w:b/>
          <w:sz w:val="21"/>
        </w:rPr>
        <w:t>Table 5.2: Multi-Hop BLE Mesh Delivery Rate, Latency &amp; Packet Loss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p>
      <w:pPr>
        <w:keepNext/>
        <w:spacing w:before="200" w:after="80"/>
        <w:jc w:val="center"/>
      </w:pPr>
      <w:r>
        <w:rPr>
          <w:rFonts w:ascii="Times New Roman" w:hAnsi="Times New Roman"/>
          <w:b/>
          <w:sz w:val="21"/>
        </w:rPr>
        <w:t>Table 5.1: Empirical Horizontal Localization Benchmark (500m Traverse)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p>
      <w:pPr>
        <w:keepNext/>
        <w:spacing w:before="200" w:after="80"/>
        <w:jc w:val="center"/>
      </w:pPr>
      <w:r>
        <w:rPr>
          <w:rFonts w:ascii="Times New Roman" w:hAnsi="Times New Roman"/>
          <w:b/>
          <w:sz w:val="21"/>
        </w:rPr>
        <w:t>Table 5.3: Continuous Hardware Resource &amp; Battery Consumption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pPr>
        <w:keepNext/>
        <w:spacing w:before="200" w:after="80"/>
        <w:jc w:val="center"/>
      </w:pPr>
      <w:r>
        <w:rPr>
          <w:rFonts w:ascii="Times New Roman" w:hAnsi="Times New Roman"/>
          <w:b/>
          <w:sz w:val="21"/>
        </w:rPr>
        <w:t>Table 5.4: Complementary Filter Alpha Sensitivity and Heading Stability Evaluation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pPr>
        <w:keepNext/>
        <w:spacing w:before="200" w:after="80"/>
        <w:jc w:val="center"/>
      </w:pPr>
      <w:r>
        <w:rPr>
          <w:rFonts w:ascii="Times New Roman" w:hAnsi="Times New Roman"/>
          <w:b/>
          <w:sz w:val="21"/>
        </w:rPr>
        <w:t>Table 5.5: Offline Vector Tiles vs. Raster Mapping Storage &amp; Memory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PL(d) = PL(d0) + 10 · n · log₁₀(d / d0) + X_σ</w:t>
            </w:r>
          </w:p>
        </w:tc>
        <w:tc>
          <w:tcPr>
            <w:tcW w:type="dxa" w:w="1152"/>
            <w:vAlign w:val="center"/>
          </w:tcPr>
          <w:p>
            <w:pPr>
              <w:spacing w:before="40" w:after="40"/>
              <w:jc w:val="right"/>
            </w:pPr>
            <w:r>
              <w:rPr>
                <w:rFonts w:ascii="Times New Roman" w:hAnsi="Times New Roman"/>
                <w:b/>
                <w:sz w:val="22"/>
              </w:rPr>
              <w:t>(5.1)</w:t>
            </w:r>
          </w:p>
        </w:tc>
      </w:tr>
    </w:tbl>
    <w:p>
      <w:pPr>
        <w:spacing w:before="0" w:after="80"/>
      </w:pPr>
    </w:p>
    <w:p>
      <w:pPr>
        <w:spacing w:line="360" w:lineRule="auto" w:after="120"/>
        <w:jc w:val="both"/>
      </w:pPr>
      <w:r>
        <w:rPr>
          <w:rFonts w:ascii="Times New Roman" w:hAnsi="Times New Roman"/>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p>
      <w:pPr>
        <w:keepNext/>
        <w:spacing w:before="200" w:after="80"/>
        <w:jc w:val="center"/>
      </w:pPr>
      <w:r>
        <w:rPr>
          <w:rFonts w:ascii="Times New Roman" w:hAnsi="Times New Roman"/>
          <w:b/>
          <w:sz w:val="21"/>
        </w:rPr>
        <w:t>Table 5.6: Comprehensive Wilderness Navigation &amp; Emergency Architecture Comparison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80" w:after="40"/>
        <w:jc w:val="center"/>
      </w:pPr>
      <w:r>
        <w:rPr>
          <w:rFonts w:ascii="Times New Roman" w:hAnsi="Times New Roman"/>
          <w:b/>
          <w:sz w:val="32"/>
        </w:rPr>
        <w:t>CHAPTER 6</w:t>
      </w:r>
    </w:p>
    <w:p>
      <w:pPr>
        <w:spacing w:before="0" w:after="24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80" w:after="40"/>
        <w:jc w:val="center"/>
      </w:pPr>
      <w:r>
        <w:rPr>
          <w:rFonts w:ascii="Times New Roman" w:hAnsi="Times New Roman"/>
          <w:b/>
          <w:sz w:val="32"/>
        </w:rPr>
        <w:t>CHAPTER 7</w:t>
      </w:r>
    </w:p>
    <w:p>
      <w:pPr>
        <w:spacing w:before="0" w:after="24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