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447"/>
        <w:gridCol w:w="1182"/>
        <w:gridCol w:w="1231"/>
        <w:gridCol w:w="1277"/>
        <w:gridCol w:w="1717"/>
        <w:gridCol w:w="1748"/>
        <w:gridCol w:w="1425"/>
        <w:gridCol w:w="5361"/>
      </w:tblGrid>
      <w:tr w:rsidR="008E2F58" w14:paraId="5A9C38C5" w14:textId="439E9233" w:rsidTr="00A06B47">
        <w:tc>
          <w:tcPr>
            <w:tcW w:w="470" w:type="pct"/>
            <w:shd w:val="clear" w:color="auto" w:fill="4472C4" w:themeFill="accent1"/>
          </w:tcPr>
          <w:p w14:paraId="39A44681" w14:textId="084D2815" w:rsidR="00515F33" w:rsidRPr="00095E7C" w:rsidRDefault="00515F33" w:rsidP="00BC5802">
            <w:pPr>
              <w:rPr>
                <w:b/>
                <w:bCs/>
                <w:color w:val="FFFFFF" w:themeColor="background1"/>
              </w:rPr>
            </w:pPr>
            <w:r w:rsidRPr="00095E7C">
              <w:rPr>
                <w:b/>
                <w:bCs/>
                <w:color w:val="FFFFFF" w:themeColor="background1"/>
              </w:rPr>
              <w:t>Name</w:t>
            </w:r>
          </w:p>
        </w:tc>
        <w:tc>
          <w:tcPr>
            <w:tcW w:w="384" w:type="pct"/>
            <w:shd w:val="clear" w:color="auto" w:fill="4472C4" w:themeFill="accent1"/>
          </w:tcPr>
          <w:p w14:paraId="6E319CF6" w14:textId="499150AB" w:rsidR="00515F33" w:rsidRPr="00095E7C" w:rsidRDefault="00515F33" w:rsidP="00BC5802">
            <w:pPr>
              <w:rPr>
                <w:b/>
                <w:bCs/>
                <w:color w:val="FFFFFF" w:themeColor="background1"/>
              </w:rPr>
            </w:pPr>
            <w:r w:rsidRPr="00095E7C">
              <w:rPr>
                <w:b/>
                <w:bCs/>
                <w:color w:val="FFFFFF" w:themeColor="background1"/>
              </w:rPr>
              <w:t>Start</w:t>
            </w:r>
          </w:p>
        </w:tc>
        <w:tc>
          <w:tcPr>
            <w:tcW w:w="400" w:type="pct"/>
            <w:shd w:val="clear" w:color="auto" w:fill="4472C4" w:themeFill="accent1"/>
          </w:tcPr>
          <w:p w14:paraId="005F86A7" w14:textId="3DF331A0" w:rsidR="00515F33" w:rsidRPr="00095E7C" w:rsidRDefault="00515F33" w:rsidP="00BC5802">
            <w:pPr>
              <w:rPr>
                <w:b/>
                <w:bCs/>
                <w:color w:val="FFFFFF" w:themeColor="background1"/>
              </w:rPr>
            </w:pPr>
            <w:r w:rsidRPr="00095E7C">
              <w:rPr>
                <w:b/>
                <w:bCs/>
                <w:color w:val="FFFFFF" w:themeColor="background1"/>
              </w:rPr>
              <w:t>End</w:t>
            </w:r>
          </w:p>
        </w:tc>
        <w:tc>
          <w:tcPr>
            <w:tcW w:w="415" w:type="pct"/>
            <w:shd w:val="clear" w:color="auto" w:fill="4472C4" w:themeFill="accent1"/>
          </w:tcPr>
          <w:p w14:paraId="6BBD5CC1" w14:textId="593ADE1F" w:rsidR="00515F33" w:rsidRPr="00095E7C" w:rsidRDefault="00515F33" w:rsidP="00BC5802">
            <w:pPr>
              <w:rPr>
                <w:b/>
                <w:bCs/>
                <w:color w:val="FFFFFF" w:themeColor="background1"/>
              </w:rPr>
            </w:pPr>
            <w:r w:rsidRPr="00095E7C">
              <w:rPr>
                <w:b/>
                <w:bCs/>
                <w:color w:val="FFFFFF" w:themeColor="background1"/>
              </w:rPr>
              <w:t>Duration</w:t>
            </w:r>
          </w:p>
        </w:tc>
        <w:tc>
          <w:tcPr>
            <w:tcW w:w="558" w:type="pct"/>
            <w:shd w:val="clear" w:color="auto" w:fill="4472C4" w:themeFill="accent1"/>
          </w:tcPr>
          <w:p w14:paraId="7E584F0E" w14:textId="76732A3D" w:rsidR="00515F33" w:rsidRPr="00095E7C" w:rsidRDefault="00515F33" w:rsidP="00BC5802">
            <w:pPr>
              <w:rPr>
                <w:b/>
                <w:bCs/>
                <w:color w:val="FFFFFF" w:themeColor="background1"/>
              </w:rPr>
            </w:pPr>
            <w:r w:rsidRPr="00095E7C">
              <w:rPr>
                <w:b/>
                <w:bCs/>
                <w:color w:val="FFFFFF" w:themeColor="background1"/>
              </w:rPr>
              <w:t xml:space="preserve">Time Since </w:t>
            </w:r>
            <w:r w:rsidRPr="00095E7C">
              <w:rPr>
                <w:b/>
                <w:bCs/>
                <w:color w:val="FFFFFF" w:themeColor="background1"/>
              </w:rPr>
              <w:t>Last</w:t>
            </w:r>
          </w:p>
        </w:tc>
        <w:tc>
          <w:tcPr>
            <w:tcW w:w="568" w:type="pct"/>
            <w:shd w:val="clear" w:color="auto" w:fill="4472C4" w:themeFill="accent1"/>
          </w:tcPr>
          <w:p w14:paraId="54A89141" w14:textId="2DC26B7D" w:rsidR="00515F33" w:rsidRPr="00095E7C" w:rsidRDefault="00515F33" w:rsidP="00BC5802">
            <w:pPr>
              <w:rPr>
                <w:b/>
                <w:bCs/>
                <w:color w:val="FFFFFF" w:themeColor="background1"/>
              </w:rPr>
            </w:pPr>
            <w:r w:rsidRPr="00095E7C">
              <w:rPr>
                <w:b/>
                <w:bCs/>
                <w:color w:val="FFFFFF" w:themeColor="background1"/>
              </w:rPr>
              <w:t>Unemployment</w:t>
            </w:r>
          </w:p>
        </w:tc>
        <w:tc>
          <w:tcPr>
            <w:tcW w:w="463" w:type="pct"/>
            <w:shd w:val="clear" w:color="auto" w:fill="4472C4" w:themeFill="accent1"/>
          </w:tcPr>
          <w:p w14:paraId="5DDE98F6" w14:textId="0B6C1212" w:rsidR="00515F33" w:rsidRPr="00095E7C" w:rsidRDefault="00515F33" w:rsidP="00BC5802">
            <w:pPr>
              <w:rPr>
                <w:b/>
                <w:bCs/>
                <w:color w:val="FFFFFF" w:themeColor="background1"/>
              </w:rPr>
            </w:pPr>
            <w:r w:rsidRPr="00095E7C">
              <w:rPr>
                <w:b/>
                <w:bCs/>
                <w:color w:val="FFFFFF" w:themeColor="background1"/>
              </w:rPr>
              <w:t>GDP decline</w:t>
            </w:r>
          </w:p>
        </w:tc>
        <w:tc>
          <w:tcPr>
            <w:tcW w:w="1742" w:type="pct"/>
            <w:shd w:val="clear" w:color="auto" w:fill="4472C4" w:themeFill="accent1"/>
          </w:tcPr>
          <w:p w14:paraId="355B9927" w14:textId="5B68E818" w:rsidR="00515F33" w:rsidRPr="00095E7C" w:rsidRDefault="00515F33" w:rsidP="00BC5802">
            <w:pPr>
              <w:rPr>
                <w:b/>
                <w:bCs/>
                <w:color w:val="FFFFFF" w:themeColor="background1"/>
              </w:rPr>
            </w:pPr>
            <w:r w:rsidRPr="00095E7C">
              <w:rPr>
                <w:b/>
                <w:bCs/>
                <w:color w:val="FFFFFF" w:themeColor="background1"/>
              </w:rPr>
              <w:t>Basic Notes</w:t>
            </w:r>
          </w:p>
        </w:tc>
      </w:tr>
      <w:tr w:rsidR="00A06B47" w14:paraId="69F384FF" w14:textId="77777777" w:rsidTr="00E620C9">
        <w:tc>
          <w:tcPr>
            <w:tcW w:w="470" w:type="pct"/>
            <w:shd w:val="clear" w:color="auto" w:fill="E7E6E6" w:themeFill="background2"/>
          </w:tcPr>
          <w:p w14:paraId="4155A898" w14:textId="45F77CC9" w:rsidR="00515F33" w:rsidRPr="00E620C9" w:rsidRDefault="00515F33" w:rsidP="00BC5802">
            <w:pPr>
              <w:rPr>
                <w:color w:val="7030A0"/>
              </w:rPr>
            </w:pPr>
            <w:r w:rsidRPr="00E620C9">
              <w:rPr>
                <w:color w:val="7030A0"/>
              </w:rPr>
              <w:t>COVID 19</w:t>
            </w:r>
          </w:p>
        </w:tc>
        <w:tc>
          <w:tcPr>
            <w:tcW w:w="384" w:type="pct"/>
          </w:tcPr>
          <w:p w14:paraId="0E31B80C" w14:textId="237E151E" w:rsidR="00515F33" w:rsidRDefault="00515F33" w:rsidP="00BC5802">
            <w:r>
              <w:t>Feb 2020</w:t>
            </w:r>
          </w:p>
        </w:tc>
        <w:tc>
          <w:tcPr>
            <w:tcW w:w="400" w:type="pct"/>
          </w:tcPr>
          <w:p w14:paraId="246E5C42" w14:textId="30E584FE" w:rsidR="00515F33" w:rsidRDefault="00515F33" w:rsidP="00BC5802">
            <w:r>
              <w:t>April 2020</w:t>
            </w:r>
          </w:p>
        </w:tc>
        <w:tc>
          <w:tcPr>
            <w:tcW w:w="415" w:type="pct"/>
          </w:tcPr>
          <w:p w14:paraId="38D616C9" w14:textId="7889331B" w:rsidR="00515F33" w:rsidRDefault="00515F33" w:rsidP="00BC5802">
            <w:r>
              <w:t>2 months</w:t>
            </w:r>
          </w:p>
        </w:tc>
        <w:tc>
          <w:tcPr>
            <w:tcW w:w="558" w:type="pct"/>
          </w:tcPr>
          <w:p w14:paraId="0834E973" w14:textId="33C7A68C" w:rsidR="00515F33" w:rsidRDefault="008E2F58" w:rsidP="00BC5802">
            <w:r>
              <w:t>128</w:t>
            </w:r>
            <w:r w:rsidR="00515F33">
              <w:t xml:space="preserve"> months</w:t>
            </w:r>
          </w:p>
        </w:tc>
        <w:tc>
          <w:tcPr>
            <w:tcW w:w="568" w:type="pct"/>
          </w:tcPr>
          <w:p w14:paraId="70EC9EBE" w14:textId="5079E0B1" w:rsidR="00515F33" w:rsidRDefault="00515F33" w:rsidP="00BC5802">
            <w:r>
              <w:t>14.7%</w:t>
            </w:r>
          </w:p>
        </w:tc>
        <w:tc>
          <w:tcPr>
            <w:tcW w:w="463" w:type="pct"/>
          </w:tcPr>
          <w:p w14:paraId="4092C12E" w14:textId="48A3CD64" w:rsidR="00515F33" w:rsidRDefault="00515F33" w:rsidP="00BC5802">
            <w:r>
              <w:t>−19.2%</w:t>
            </w:r>
          </w:p>
        </w:tc>
        <w:tc>
          <w:tcPr>
            <w:tcW w:w="1742" w:type="pct"/>
          </w:tcPr>
          <w:p w14:paraId="5909D9C0" w14:textId="34B1148F" w:rsidR="00515F33" w:rsidRDefault="00515F33" w:rsidP="00BC5802">
            <w:r>
              <w:t xml:space="preserve">The outbreak of COVID-19 in November 2019 forced countries to institute travel restrictions and quarantines, closing many businesses. The initial outbreak expanded into the global pandemic in March 2020. </w:t>
            </w:r>
          </w:p>
        </w:tc>
      </w:tr>
      <w:tr w:rsidR="00A06B47" w14:paraId="06736EDB" w14:textId="77777777" w:rsidTr="00E620C9">
        <w:tc>
          <w:tcPr>
            <w:tcW w:w="470" w:type="pct"/>
            <w:shd w:val="clear" w:color="auto" w:fill="E7E6E6" w:themeFill="background2"/>
          </w:tcPr>
          <w:p w14:paraId="4CDFD058" w14:textId="2FF584C2" w:rsidR="004A1DF2" w:rsidRPr="00E620C9" w:rsidRDefault="004A1DF2" w:rsidP="00BC5802">
            <w:pPr>
              <w:rPr>
                <w:color w:val="7030A0"/>
              </w:rPr>
            </w:pPr>
            <w:r w:rsidRPr="00E620C9">
              <w:rPr>
                <w:color w:val="7030A0"/>
              </w:rPr>
              <w:t>GFC</w:t>
            </w:r>
          </w:p>
        </w:tc>
        <w:tc>
          <w:tcPr>
            <w:tcW w:w="384" w:type="pct"/>
          </w:tcPr>
          <w:p w14:paraId="4148A319" w14:textId="4887675B" w:rsidR="004A1DF2" w:rsidRDefault="004A1DF2" w:rsidP="00BC5802">
            <w:r>
              <w:t>Dec 2007</w:t>
            </w:r>
          </w:p>
        </w:tc>
        <w:tc>
          <w:tcPr>
            <w:tcW w:w="400" w:type="pct"/>
          </w:tcPr>
          <w:p w14:paraId="1AA5DBD6" w14:textId="51BB753F" w:rsidR="004A1DF2" w:rsidRDefault="004A1DF2" w:rsidP="00BC5802">
            <w:r>
              <w:t>June 2009</w:t>
            </w:r>
          </w:p>
        </w:tc>
        <w:tc>
          <w:tcPr>
            <w:tcW w:w="415" w:type="pct"/>
          </w:tcPr>
          <w:p w14:paraId="67EF6DD7" w14:textId="3FEE2211" w:rsidR="004A1DF2" w:rsidRDefault="00095E7C" w:rsidP="00BC5802">
            <w:r>
              <w:t>18</w:t>
            </w:r>
            <w:r w:rsidR="004A1DF2">
              <w:t xml:space="preserve"> months</w:t>
            </w:r>
          </w:p>
        </w:tc>
        <w:tc>
          <w:tcPr>
            <w:tcW w:w="558" w:type="pct"/>
          </w:tcPr>
          <w:p w14:paraId="6755CDC9" w14:textId="3499C641" w:rsidR="004A1DF2" w:rsidRDefault="008E2F58" w:rsidP="00BC5802">
            <w:r>
              <w:t>73</w:t>
            </w:r>
            <w:r w:rsidR="004A1DF2">
              <w:t xml:space="preserve"> month</w:t>
            </w:r>
            <w:r w:rsidR="00CD2695">
              <w:t>s</w:t>
            </w:r>
          </w:p>
        </w:tc>
        <w:tc>
          <w:tcPr>
            <w:tcW w:w="568" w:type="pct"/>
          </w:tcPr>
          <w:p w14:paraId="61C47B73" w14:textId="393E15F6" w:rsidR="004A1DF2" w:rsidRDefault="004A1DF2" w:rsidP="00BC5802">
            <w:r>
              <w:t>10.0%</w:t>
            </w:r>
          </w:p>
        </w:tc>
        <w:tc>
          <w:tcPr>
            <w:tcW w:w="463" w:type="pct"/>
          </w:tcPr>
          <w:p w14:paraId="49C0C60A" w14:textId="0A92741D" w:rsidR="004A1DF2" w:rsidRDefault="004A1DF2" w:rsidP="00BC5802">
            <w:r>
              <w:t>−5.1%</w:t>
            </w:r>
          </w:p>
        </w:tc>
        <w:tc>
          <w:tcPr>
            <w:tcW w:w="1742" w:type="pct"/>
          </w:tcPr>
          <w:p w14:paraId="037A509E" w14:textId="086E8439" w:rsidR="004A1DF2" w:rsidRDefault="004A1DF2" w:rsidP="00515F33">
            <w:r>
              <w:t xml:space="preserve">The subprime mortgage crisis led to the collapse of the United States housing bubble. Falling housing-related assets contributed to a global financial crisis, even as oil and food prices soared. </w:t>
            </w:r>
          </w:p>
        </w:tc>
      </w:tr>
      <w:tr w:rsidR="00A06B47" w14:paraId="47D3DBAC" w14:textId="77777777" w:rsidTr="00E620C9">
        <w:tc>
          <w:tcPr>
            <w:tcW w:w="470" w:type="pct"/>
            <w:shd w:val="clear" w:color="auto" w:fill="E7E6E6" w:themeFill="background2"/>
          </w:tcPr>
          <w:p w14:paraId="3A39B892" w14:textId="77777777" w:rsidR="00CD2695" w:rsidRPr="00E620C9" w:rsidRDefault="00CD2695" w:rsidP="00CD2695">
            <w:pPr>
              <w:rPr>
                <w:color w:val="7030A0"/>
              </w:rPr>
            </w:pPr>
            <w:r w:rsidRPr="00E620C9">
              <w:rPr>
                <w:color w:val="7030A0"/>
              </w:rPr>
              <w:t xml:space="preserve">Dot Com </w:t>
            </w:r>
          </w:p>
          <w:p w14:paraId="7F42A69F" w14:textId="46BD5624" w:rsidR="00CD2695" w:rsidRPr="00E620C9" w:rsidRDefault="00CD2695" w:rsidP="00BC5802">
            <w:pPr>
              <w:rPr>
                <w:color w:val="7030A0"/>
              </w:rPr>
            </w:pPr>
            <w:r w:rsidRPr="00E620C9">
              <w:rPr>
                <w:color w:val="7030A0"/>
              </w:rPr>
              <w:t>(9-11 attack)</w:t>
            </w:r>
          </w:p>
        </w:tc>
        <w:tc>
          <w:tcPr>
            <w:tcW w:w="384" w:type="pct"/>
          </w:tcPr>
          <w:p w14:paraId="3AFF2915" w14:textId="25CA6B20" w:rsidR="00CD2695" w:rsidRDefault="00CD2695" w:rsidP="00BC5802">
            <w:r>
              <w:t>Mar 2001</w:t>
            </w:r>
          </w:p>
        </w:tc>
        <w:tc>
          <w:tcPr>
            <w:tcW w:w="400" w:type="pct"/>
          </w:tcPr>
          <w:p w14:paraId="69D7E644" w14:textId="3BBEA2FF" w:rsidR="00CD2695" w:rsidRDefault="00CD2695" w:rsidP="00BC5802">
            <w:r>
              <w:t>Nov 2001</w:t>
            </w:r>
          </w:p>
        </w:tc>
        <w:tc>
          <w:tcPr>
            <w:tcW w:w="415" w:type="pct"/>
          </w:tcPr>
          <w:p w14:paraId="1AA99E2A" w14:textId="240D769A" w:rsidR="00CD2695" w:rsidRDefault="00CD2695" w:rsidP="00BC5802">
            <w:r>
              <w:t>8 months</w:t>
            </w:r>
          </w:p>
        </w:tc>
        <w:tc>
          <w:tcPr>
            <w:tcW w:w="558" w:type="pct"/>
          </w:tcPr>
          <w:p w14:paraId="78257477" w14:textId="108ED2E0" w:rsidR="00CD2695" w:rsidRDefault="008E2F58" w:rsidP="00BC5802">
            <w:r>
              <w:t>120</w:t>
            </w:r>
            <w:r w:rsidR="00CD2695">
              <w:t xml:space="preserve"> </w:t>
            </w:r>
            <w:r>
              <w:t>months</w:t>
            </w:r>
          </w:p>
        </w:tc>
        <w:tc>
          <w:tcPr>
            <w:tcW w:w="568" w:type="pct"/>
          </w:tcPr>
          <w:p w14:paraId="4FF1F6CF" w14:textId="749B9730" w:rsidR="00CD2695" w:rsidRDefault="00CD2695" w:rsidP="00BC5802">
            <w:r>
              <w:t>6.3%</w:t>
            </w:r>
          </w:p>
        </w:tc>
        <w:tc>
          <w:tcPr>
            <w:tcW w:w="463" w:type="pct"/>
          </w:tcPr>
          <w:p w14:paraId="10964D87" w14:textId="47339699" w:rsidR="00CD2695" w:rsidRDefault="00CD2695" w:rsidP="00BC5802">
            <w:r>
              <w:t>−0.3%</w:t>
            </w:r>
          </w:p>
        </w:tc>
        <w:tc>
          <w:tcPr>
            <w:tcW w:w="1742" w:type="pct"/>
          </w:tcPr>
          <w:p w14:paraId="7128DDDA" w14:textId="0D334203" w:rsidR="00CD2695" w:rsidRDefault="00CD2695" w:rsidP="004A1DF2">
            <w:r>
              <w:t>The 1990s were the longest period of economic growth in American history up to that point. The collapse of the speculative dot-com bubble, a fall in business outlays and investments, and the September 11th attacks, brought the decade of growth to an end.</w:t>
            </w:r>
          </w:p>
        </w:tc>
      </w:tr>
      <w:tr w:rsidR="00A06B47" w14:paraId="0DEC499A" w14:textId="77777777" w:rsidTr="00E620C9">
        <w:tc>
          <w:tcPr>
            <w:tcW w:w="470" w:type="pct"/>
            <w:shd w:val="clear" w:color="auto" w:fill="E7E6E6" w:themeFill="background2"/>
          </w:tcPr>
          <w:p w14:paraId="40AEEC33" w14:textId="220B26B0" w:rsidR="00275472" w:rsidRPr="00E620C9" w:rsidRDefault="00275472" w:rsidP="00CD2695">
            <w:pPr>
              <w:rPr>
                <w:color w:val="7030A0"/>
              </w:rPr>
            </w:pPr>
            <w:r w:rsidRPr="00E620C9">
              <w:rPr>
                <w:color w:val="7030A0"/>
              </w:rPr>
              <w:t>Early 1990s</w:t>
            </w:r>
          </w:p>
        </w:tc>
        <w:tc>
          <w:tcPr>
            <w:tcW w:w="384" w:type="pct"/>
          </w:tcPr>
          <w:p w14:paraId="11A82D1B" w14:textId="64870158" w:rsidR="00275472" w:rsidRDefault="00275472" w:rsidP="00BC5802">
            <w:r>
              <w:t>July 1990</w:t>
            </w:r>
          </w:p>
        </w:tc>
        <w:tc>
          <w:tcPr>
            <w:tcW w:w="400" w:type="pct"/>
          </w:tcPr>
          <w:p w14:paraId="7BD730B5" w14:textId="1CF77745" w:rsidR="00275472" w:rsidRDefault="00275472" w:rsidP="00BC5802">
            <w:r>
              <w:t>Mar 1991</w:t>
            </w:r>
          </w:p>
        </w:tc>
        <w:tc>
          <w:tcPr>
            <w:tcW w:w="415" w:type="pct"/>
          </w:tcPr>
          <w:p w14:paraId="09749009" w14:textId="7DD6E4C5" w:rsidR="00275472" w:rsidRDefault="00275472" w:rsidP="00BC5802">
            <w:r>
              <w:t>8 months</w:t>
            </w:r>
          </w:p>
        </w:tc>
        <w:tc>
          <w:tcPr>
            <w:tcW w:w="558" w:type="pct"/>
          </w:tcPr>
          <w:p w14:paraId="57C65B8C" w14:textId="5F19EBDC" w:rsidR="00275472" w:rsidRDefault="008E2F58" w:rsidP="00BC5802">
            <w:r>
              <w:t>92 months</w:t>
            </w:r>
          </w:p>
        </w:tc>
        <w:tc>
          <w:tcPr>
            <w:tcW w:w="568" w:type="pct"/>
          </w:tcPr>
          <w:p w14:paraId="6FB2DF20" w14:textId="38474785" w:rsidR="00275472" w:rsidRDefault="00275472" w:rsidP="00BC5802">
            <w:r>
              <w:t>7.8%</w:t>
            </w:r>
          </w:p>
        </w:tc>
        <w:tc>
          <w:tcPr>
            <w:tcW w:w="463" w:type="pct"/>
          </w:tcPr>
          <w:p w14:paraId="3C26C397" w14:textId="237D88BB" w:rsidR="00275472" w:rsidRDefault="00275472" w:rsidP="00BC5802">
            <w:r>
              <w:t>−1.4%</w:t>
            </w:r>
          </w:p>
        </w:tc>
        <w:tc>
          <w:tcPr>
            <w:tcW w:w="1742" w:type="pct"/>
          </w:tcPr>
          <w:p w14:paraId="362A402A" w14:textId="6B7E72C2" w:rsidR="00275472" w:rsidRDefault="00275472" w:rsidP="004A1DF2">
            <w:r>
              <w:t xml:space="preserve">Inflation began to </w:t>
            </w:r>
            <w:proofErr w:type="gramStart"/>
            <w:r>
              <w:t>increase</w:t>
            </w:r>
            <w:proofErr w:type="gramEnd"/>
            <w:r>
              <w:t xml:space="preserve"> and the Federal Reserve responded by raising interest rates from 1986 to 1989. This weakened but did not stop growth, but some combination of the subsequent 1990 oil price shock, the debt accumulation of the 1980s, and growing consumer pessimism combined with the weakened economy to produce a brief recession.</w:t>
            </w:r>
          </w:p>
        </w:tc>
      </w:tr>
      <w:tr w:rsidR="00A06B47" w14:paraId="4AD926F5" w14:textId="77777777" w:rsidTr="00E620C9">
        <w:tc>
          <w:tcPr>
            <w:tcW w:w="470" w:type="pct"/>
            <w:shd w:val="clear" w:color="auto" w:fill="E7E6E6" w:themeFill="background2"/>
          </w:tcPr>
          <w:p w14:paraId="639E4ABE" w14:textId="77777777" w:rsidR="006C00BB" w:rsidRPr="00E620C9" w:rsidRDefault="006C00BB" w:rsidP="00CD2695">
            <w:pPr>
              <w:rPr>
                <w:color w:val="7030A0"/>
              </w:rPr>
            </w:pPr>
            <w:r w:rsidRPr="00E620C9">
              <w:rPr>
                <w:color w:val="7030A0"/>
              </w:rPr>
              <w:t>Early 1980s</w:t>
            </w:r>
          </w:p>
          <w:p w14:paraId="440DB329" w14:textId="4AA6505C" w:rsidR="006C00BB" w:rsidRPr="00E620C9" w:rsidRDefault="006C00BB" w:rsidP="00CD2695">
            <w:pPr>
              <w:rPr>
                <w:color w:val="7030A0"/>
              </w:rPr>
            </w:pPr>
            <w:r w:rsidRPr="00E620C9">
              <w:rPr>
                <w:color w:val="7030A0"/>
              </w:rPr>
              <w:t>Part 1</w:t>
            </w:r>
          </w:p>
        </w:tc>
        <w:tc>
          <w:tcPr>
            <w:tcW w:w="384" w:type="pct"/>
          </w:tcPr>
          <w:p w14:paraId="5C9F1564" w14:textId="33FF228C" w:rsidR="006C00BB" w:rsidRDefault="006C00BB" w:rsidP="00BC5802">
            <w:r>
              <w:t>July 1981</w:t>
            </w:r>
          </w:p>
        </w:tc>
        <w:tc>
          <w:tcPr>
            <w:tcW w:w="400" w:type="pct"/>
          </w:tcPr>
          <w:p w14:paraId="5E0493F0" w14:textId="276B1226" w:rsidR="006C00BB" w:rsidRDefault="006C00BB" w:rsidP="00BC5802">
            <w:r>
              <w:t>Nov 1982</w:t>
            </w:r>
          </w:p>
        </w:tc>
        <w:tc>
          <w:tcPr>
            <w:tcW w:w="415" w:type="pct"/>
          </w:tcPr>
          <w:p w14:paraId="70AC4CA1" w14:textId="58F4FF5F" w:rsidR="006C00BB" w:rsidRDefault="00095E7C" w:rsidP="00BC5802">
            <w:r>
              <w:t>16</w:t>
            </w:r>
            <w:r w:rsidR="006C00BB">
              <w:t xml:space="preserve"> months</w:t>
            </w:r>
          </w:p>
        </w:tc>
        <w:tc>
          <w:tcPr>
            <w:tcW w:w="558" w:type="pct"/>
          </w:tcPr>
          <w:p w14:paraId="1D04B2A7" w14:textId="5F071483" w:rsidR="006C00BB" w:rsidRDefault="008E2F58" w:rsidP="00BC5802">
            <w:r>
              <w:t>12 months</w:t>
            </w:r>
          </w:p>
        </w:tc>
        <w:tc>
          <w:tcPr>
            <w:tcW w:w="568" w:type="pct"/>
          </w:tcPr>
          <w:p w14:paraId="58467560" w14:textId="359B59EF" w:rsidR="006C00BB" w:rsidRDefault="006C00BB" w:rsidP="00BC5802">
            <w:r>
              <w:t>10.8%</w:t>
            </w:r>
          </w:p>
        </w:tc>
        <w:tc>
          <w:tcPr>
            <w:tcW w:w="463" w:type="pct"/>
          </w:tcPr>
          <w:p w14:paraId="2211D35F" w14:textId="55008039" w:rsidR="006C00BB" w:rsidRDefault="006C00BB" w:rsidP="00BC5802">
            <w:r>
              <w:t>−2.7%</w:t>
            </w:r>
          </w:p>
        </w:tc>
        <w:tc>
          <w:tcPr>
            <w:tcW w:w="1742" w:type="pct"/>
          </w:tcPr>
          <w:p w14:paraId="20E6A1C8" w14:textId="241FE9E5" w:rsidR="006C00BB" w:rsidRDefault="006C00BB" w:rsidP="004A1DF2">
            <w:r>
              <w:t>The Iranian Revolution sharply increased the price of oil around the world in 1979, causing the 1979 energy crisis. This was caused by the new regime in power in Iran, which exported oil at inconsistent intervals and at a lower volume, forcing prices up. Tight monetary policy in the United States to control inflation led to another recession.</w:t>
            </w:r>
          </w:p>
        </w:tc>
      </w:tr>
      <w:tr w:rsidR="00A06B47" w14:paraId="4A037E5B" w14:textId="77777777" w:rsidTr="00E620C9">
        <w:tc>
          <w:tcPr>
            <w:tcW w:w="470" w:type="pct"/>
            <w:shd w:val="clear" w:color="auto" w:fill="E7E6E6" w:themeFill="background2"/>
          </w:tcPr>
          <w:p w14:paraId="3097CC17" w14:textId="4486C0B4" w:rsidR="006C00BB" w:rsidRPr="00E620C9" w:rsidRDefault="006C00BB" w:rsidP="006C00BB">
            <w:pPr>
              <w:rPr>
                <w:color w:val="7030A0"/>
              </w:rPr>
            </w:pPr>
            <w:r w:rsidRPr="00E620C9">
              <w:rPr>
                <w:color w:val="7030A0"/>
              </w:rPr>
              <w:t>Early 1980s</w:t>
            </w:r>
          </w:p>
          <w:p w14:paraId="4931933C" w14:textId="4A7D5084" w:rsidR="006C00BB" w:rsidRPr="00E620C9" w:rsidRDefault="006C00BB" w:rsidP="006C00BB">
            <w:pPr>
              <w:rPr>
                <w:color w:val="7030A0"/>
              </w:rPr>
            </w:pPr>
            <w:r w:rsidRPr="00E620C9">
              <w:rPr>
                <w:color w:val="7030A0"/>
              </w:rPr>
              <w:t>Part 2</w:t>
            </w:r>
          </w:p>
        </w:tc>
        <w:tc>
          <w:tcPr>
            <w:tcW w:w="384" w:type="pct"/>
          </w:tcPr>
          <w:p w14:paraId="0DEA3220" w14:textId="11BB987A" w:rsidR="006C00BB" w:rsidRDefault="006C00BB" w:rsidP="00BC5802">
            <w:r>
              <w:t>Jan 1980</w:t>
            </w:r>
          </w:p>
        </w:tc>
        <w:tc>
          <w:tcPr>
            <w:tcW w:w="400" w:type="pct"/>
          </w:tcPr>
          <w:p w14:paraId="6C91BA7B" w14:textId="04EFE50F" w:rsidR="006C00BB" w:rsidRDefault="006C00BB" w:rsidP="00BC5802">
            <w:r>
              <w:t>July 1980</w:t>
            </w:r>
          </w:p>
        </w:tc>
        <w:tc>
          <w:tcPr>
            <w:tcW w:w="415" w:type="pct"/>
          </w:tcPr>
          <w:p w14:paraId="2DABFE1D" w14:textId="3488B8D5" w:rsidR="006C00BB" w:rsidRDefault="006C00BB" w:rsidP="00BC5802">
            <w:r>
              <w:t>6 months</w:t>
            </w:r>
          </w:p>
        </w:tc>
        <w:tc>
          <w:tcPr>
            <w:tcW w:w="558" w:type="pct"/>
          </w:tcPr>
          <w:p w14:paraId="3A407B13" w14:textId="750A35FE" w:rsidR="006C00BB" w:rsidRDefault="00A06B47" w:rsidP="00BC5802">
            <w:r>
              <w:t>58</w:t>
            </w:r>
            <w:r w:rsidR="006C00BB">
              <w:t xml:space="preserve"> months</w:t>
            </w:r>
          </w:p>
        </w:tc>
        <w:tc>
          <w:tcPr>
            <w:tcW w:w="568" w:type="pct"/>
          </w:tcPr>
          <w:p w14:paraId="56BE47E4" w14:textId="3B1B3CD5" w:rsidR="006C00BB" w:rsidRDefault="006C00BB" w:rsidP="00BC5802">
            <w:r>
              <w:t>7.8%</w:t>
            </w:r>
          </w:p>
        </w:tc>
        <w:tc>
          <w:tcPr>
            <w:tcW w:w="463" w:type="pct"/>
          </w:tcPr>
          <w:p w14:paraId="5CD8D450" w14:textId="2B2B40AF" w:rsidR="006C00BB" w:rsidRDefault="006C00BB" w:rsidP="00BC5802">
            <w:r>
              <w:t>−2.2%</w:t>
            </w:r>
          </w:p>
        </w:tc>
        <w:tc>
          <w:tcPr>
            <w:tcW w:w="1742" w:type="pct"/>
          </w:tcPr>
          <w:p w14:paraId="0555DCC7" w14:textId="04EAFE63" w:rsidR="006C00BB" w:rsidRDefault="006C00BB" w:rsidP="004A1DF2">
            <w:r>
              <w:t>The NBER considers a very short recession to have occurred in 1980, followed by a short period of growth and then a deep recession. Unemployment remained relatively elevated in between recessions. The recession began as the Federal Reserve, under Paul Volcker, raised interest rates dramatically to fight the inflation of the 1970s.</w:t>
            </w:r>
          </w:p>
        </w:tc>
      </w:tr>
    </w:tbl>
    <w:p w14:paraId="3E6C5C9F" w14:textId="5EDCA1DB" w:rsidR="006C00BB" w:rsidRDefault="006C00BB" w:rsidP="006C00BB"/>
    <w:p w14:paraId="2C2FFE91" w14:textId="462DDBA7" w:rsidR="00515F33" w:rsidRDefault="00515F33" w:rsidP="00515F33">
      <w:r>
        <w:tab/>
        <w:t xml:space="preserve"> </w:t>
      </w:r>
    </w:p>
    <w:p w14:paraId="376CC815" w14:textId="77777777" w:rsidR="00515F33" w:rsidRPr="00BC5802" w:rsidRDefault="00515F33" w:rsidP="00BC5802"/>
    <w:sectPr w:rsidR="00515F33" w:rsidRPr="00BC5802" w:rsidSect="00BC580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02"/>
    <w:rsid w:val="00033266"/>
    <w:rsid w:val="00095E7C"/>
    <w:rsid w:val="00275472"/>
    <w:rsid w:val="002B6FCA"/>
    <w:rsid w:val="002C50B4"/>
    <w:rsid w:val="00470E6B"/>
    <w:rsid w:val="004A1DF2"/>
    <w:rsid w:val="004E0256"/>
    <w:rsid w:val="00515F33"/>
    <w:rsid w:val="006C00BB"/>
    <w:rsid w:val="00863DBD"/>
    <w:rsid w:val="008E2F58"/>
    <w:rsid w:val="00A06B47"/>
    <w:rsid w:val="00BC5802"/>
    <w:rsid w:val="00C86B87"/>
    <w:rsid w:val="00CD2695"/>
    <w:rsid w:val="00E620C9"/>
    <w:rsid w:val="00E92FD8"/>
    <w:rsid w:val="00FA17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ED04"/>
  <w15:chartTrackingRefBased/>
  <w15:docId w15:val="{1E452509-27FD-4C37-BFC0-3F0FAFDE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802"/>
    <w:rPr>
      <w:color w:val="0000FF"/>
      <w:u w:val="single"/>
    </w:rPr>
  </w:style>
  <w:style w:type="paragraph" w:styleId="NoSpacing">
    <w:name w:val="No Spacing"/>
    <w:uiPriority w:val="1"/>
    <w:qFormat/>
    <w:rsid w:val="00033266"/>
    <w:pPr>
      <w:spacing w:after="0" w:line="240" w:lineRule="auto"/>
    </w:pPr>
  </w:style>
  <w:style w:type="table" w:styleId="TableGrid">
    <w:name w:val="Table Grid"/>
    <w:basedOn w:val="TableNormal"/>
    <w:uiPriority w:val="39"/>
    <w:rsid w:val="0051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Burley</dc:creator>
  <cp:keywords/>
  <dc:description/>
  <cp:lastModifiedBy>Chris Burley</cp:lastModifiedBy>
  <cp:revision>12</cp:revision>
  <dcterms:created xsi:type="dcterms:W3CDTF">2022-03-21T22:26:00Z</dcterms:created>
  <dcterms:modified xsi:type="dcterms:W3CDTF">2022-03-21T23:07:00Z</dcterms:modified>
</cp:coreProperties>
</file>