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417"/>
        <w:gridCol w:w="1153"/>
        <w:gridCol w:w="1202"/>
        <w:gridCol w:w="1248"/>
        <w:gridCol w:w="1688"/>
        <w:gridCol w:w="1950"/>
        <w:gridCol w:w="1397"/>
        <w:gridCol w:w="5333"/>
      </w:tblGrid>
      <w:tr w:rsidR="008E2F58" w:rsidRPr="008B7B56" w14:paraId="5A9C38C5" w14:textId="439E9233" w:rsidTr="00A06B47">
        <w:tc>
          <w:tcPr>
            <w:tcW w:w="470" w:type="pct"/>
            <w:shd w:val="clear" w:color="auto" w:fill="4472C4" w:themeFill="accent1"/>
          </w:tcPr>
          <w:p w14:paraId="39A44681" w14:textId="084D2815" w:rsidR="00515F33" w:rsidRPr="008B7B56" w:rsidRDefault="00515F33" w:rsidP="00BC5802">
            <w:pPr>
              <w:rPr>
                <w:rFonts w:ascii="Arial" w:hAnsi="Arial" w:cs="Arial"/>
                <w:b/>
                <w:bCs/>
                <w:color w:val="FFFFFF" w:themeColor="background1"/>
                <w:sz w:val="24"/>
                <w:szCs w:val="24"/>
              </w:rPr>
            </w:pPr>
            <w:bookmarkStart w:id="0" w:name="_Hlk99308469"/>
            <w:r w:rsidRPr="008B7B56">
              <w:rPr>
                <w:rFonts w:ascii="Arial" w:hAnsi="Arial" w:cs="Arial"/>
                <w:b/>
                <w:bCs/>
                <w:color w:val="FFFFFF" w:themeColor="background1"/>
                <w:sz w:val="24"/>
                <w:szCs w:val="24"/>
              </w:rPr>
              <w:t>Name</w:t>
            </w:r>
          </w:p>
        </w:tc>
        <w:tc>
          <w:tcPr>
            <w:tcW w:w="384" w:type="pct"/>
            <w:shd w:val="clear" w:color="auto" w:fill="4472C4" w:themeFill="accent1"/>
          </w:tcPr>
          <w:p w14:paraId="6E319CF6" w14:textId="499150AB" w:rsidR="00515F33" w:rsidRPr="008B7B56" w:rsidRDefault="00515F33" w:rsidP="00BC5802">
            <w:pPr>
              <w:rPr>
                <w:rFonts w:ascii="Arial" w:hAnsi="Arial" w:cs="Arial"/>
                <w:b/>
                <w:bCs/>
                <w:color w:val="FFFFFF" w:themeColor="background1"/>
                <w:sz w:val="24"/>
                <w:szCs w:val="24"/>
              </w:rPr>
            </w:pPr>
            <w:r w:rsidRPr="008B7B56">
              <w:rPr>
                <w:rFonts w:ascii="Arial" w:hAnsi="Arial" w:cs="Arial"/>
                <w:b/>
                <w:bCs/>
                <w:color w:val="FFFFFF" w:themeColor="background1"/>
                <w:sz w:val="24"/>
                <w:szCs w:val="24"/>
              </w:rPr>
              <w:t>Start</w:t>
            </w:r>
          </w:p>
        </w:tc>
        <w:tc>
          <w:tcPr>
            <w:tcW w:w="400" w:type="pct"/>
            <w:shd w:val="clear" w:color="auto" w:fill="4472C4" w:themeFill="accent1"/>
          </w:tcPr>
          <w:p w14:paraId="005F86A7" w14:textId="3DF331A0" w:rsidR="00515F33" w:rsidRPr="008B7B56" w:rsidRDefault="00515F33" w:rsidP="00BC5802">
            <w:pPr>
              <w:rPr>
                <w:rFonts w:ascii="Arial" w:hAnsi="Arial" w:cs="Arial"/>
                <w:b/>
                <w:bCs/>
                <w:color w:val="FFFFFF" w:themeColor="background1"/>
                <w:sz w:val="24"/>
                <w:szCs w:val="24"/>
              </w:rPr>
            </w:pPr>
            <w:r w:rsidRPr="008B7B56">
              <w:rPr>
                <w:rFonts w:ascii="Arial" w:hAnsi="Arial" w:cs="Arial"/>
                <w:b/>
                <w:bCs/>
                <w:color w:val="FFFFFF" w:themeColor="background1"/>
                <w:sz w:val="24"/>
                <w:szCs w:val="24"/>
              </w:rPr>
              <w:t>End</w:t>
            </w:r>
          </w:p>
        </w:tc>
        <w:tc>
          <w:tcPr>
            <w:tcW w:w="415" w:type="pct"/>
            <w:shd w:val="clear" w:color="auto" w:fill="4472C4" w:themeFill="accent1"/>
          </w:tcPr>
          <w:p w14:paraId="6BBD5CC1" w14:textId="593ADE1F" w:rsidR="00515F33" w:rsidRPr="008B7B56" w:rsidRDefault="00515F33" w:rsidP="00BC5802">
            <w:pPr>
              <w:rPr>
                <w:rFonts w:ascii="Arial" w:hAnsi="Arial" w:cs="Arial"/>
                <w:b/>
                <w:bCs/>
                <w:color w:val="FFFFFF" w:themeColor="background1"/>
                <w:sz w:val="24"/>
                <w:szCs w:val="24"/>
              </w:rPr>
            </w:pPr>
            <w:r w:rsidRPr="008B7B56">
              <w:rPr>
                <w:rFonts w:ascii="Arial" w:hAnsi="Arial" w:cs="Arial"/>
                <w:b/>
                <w:bCs/>
                <w:color w:val="FFFFFF" w:themeColor="background1"/>
                <w:sz w:val="24"/>
                <w:szCs w:val="24"/>
              </w:rPr>
              <w:t>Duration</w:t>
            </w:r>
          </w:p>
        </w:tc>
        <w:tc>
          <w:tcPr>
            <w:tcW w:w="558" w:type="pct"/>
            <w:shd w:val="clear" w:color="auto" w:fill="4472C4" w:themeFill="accent1"/>
          </w:tcPr>
          <w:p w14:paraId="7E584F0E" w14:textId="76732A3D" w:rsidR="00515F33" w:rsidRPr="008B7B56" w:rsidRDefault="00515F33" w:rsidP="00BC5802">
            <w:pPr>
              <w:rPr>
                <w:rFonts w:ascii="Arial" w:hAnsi="Arial" w:cs="Arial"/>
                <w:b/>
                <w:bCs/>
                <w:color w:val="FFFFFF" w:themeColor="background1"/>
                <w:sz w:val="24"/>
                <w:szCs w:val="24"/>
              </w:rPr>
            </w:pPr>
            <w:r w:rsidRPr="008B7B56">
              <w:rPr>
                <w:rFonts w:ascii="Arial" w:hAnsi="Arial" w:cs="Arial"/>
                <w:b/>
                <w:bCs/>
                <w:color w:val="FFFFFF" w:themeColor="background1"/>
                <w:sz w:val="24"/>
                <w:szCs w:val="24"/>
              </w:rPr>
              <w:t>Time Since Last</w:t>
            </w:r>
          </w:p>
        </w:tc>
        <w:tc>
          <w:tcPr>
            <w:tcW w:w="568" w:type="pct"/>
            <w:shd w:val="clear" w:color="auto" w:fill="4472C4" w:themeFill="accent1"/>
          </w:tcPr>
          <w:p w14:paraId="54A89141" w14:textId="2DC26B7D" w:rsidR="00515F33" w:rsidRPr="008B7B56" w:rsidRDefault="00515F33" w:rsidP="00BC5802">
            <w:pPr>
              <w:rPr>
                <w:rFonts w:ascii="Arial" w:hAnsi="Arial" w:cs="Arial"/>
                <w:b/>
                <w:bCs/>
                <w:color w:val="FFFFFF" w:themeColor="background1"/>
                <w:sz w:val="24"/>
                <w:szCs w:val="24"/>
              </w:rPr>
            </w:pPr>
            <w:r w:rsidRPr="008B7B56">
              <w:rPr>
                <w:rFonts w:ascii="Arial" w:hAnsi="Arial" w:cs="Arial"/>
                <w:b/>
                <w:bCs/>
                <w:color w:val="FFFFFF" w:themeColor="background1"/>
                <w:sz w:val="24"/>
                <w:szCs w:val="24"/>
              </w:rPr>
              <w:t>Unemployment</w:t>
            </w:r>
          </w:p>
        </w:tc>
        <w:tc>
          <w:tcPr>
            <w:tcW w:w="463" w:type="pct"/>
            <w:shd w:val="clear" w:color="auto" w:fill="4472C4" w:themeFill="accent1"/>
          </w:tcPr>
          <w:p w14:paraId="5DDE98F6" w14:textId="0B6C1212" w:rsidR="00515F33" w:rsidRPr="008B7B56" w:rsidRDefault="00515F33" w:rsidP="00BC5802">
            <w:pPr>
              <w:rPr>
                <w:rFonts w:ascii="Arial" w:hAnsi="Arial" w:cs="Arial"/>
                <w:b/>
                <w:bCs/>
                <w:color w:val="FFFFFF" w:themeColor="background1"/>
                <w:sz w:val="24"/>
                <w:szCs w:val="24"/>
              </w:rPr>
            </w:pPr>
            <w:r w:rsidRPr="008B7B56">
              <w:rPr>
                <w:rFonts w:ascii="Arial" w:hAnsi="Arial" w:cs="Arial"/>
                <w:b/>
                <w:bCs/>
                <w:color w:val="FFFFFF" w:themeColor="background1"/>
                <w:sz w:val="24"/>
                <w:szCs w:val="24"/>
              </w:rPr>
              <w:t>GDP decline</w:t>
            </w:r>
          </w:p>
        </w:tc>
        <w:tc>
          <w:tcPr>
            <w:tcW w:w="1742" w:type="pct"/>
            <w:shd w:val="clear" w:color="auto" w:fill="4472C4" w:themeFill="accent1"/>
          </w:tcPr>
          <w:p w14:paraId="355B9927" w14:textId="5B68E818" w:rsidR="00515F33" w:rsidRPr="008B7B56" w:rsidRDefault="00515F33" w:rsidP="00BC5802">
            <w:pPr>
              <w:rPr>
                <w:rFonts w:ascii="Arial" w:hAnsi="Arial" w:cs="Arial"/>
                <w:b/>
                <w:bCs/>
                <w:color w:val="FFFFFF" w:themeColor="background1"/>
                <w:sz w:val="24"/>
                <w:szCs w:val="24"/>
              </w:rPr>
            </w:pPr>
            <w:r w:rsidRPr="008B7B56">
              <w:rPr>
                <w:rFonts w:ascii="Arial" w:hAnsi="Arial" w:cs="Arial"/>
                <w:b/>
                <w:bCs/>
                <w:color w:val="FFFFFF" w:themeColor="background1"/>
                <w:sz w:val="24"/>
                <w:szCs w:val="24"/>
              </w:rPr>
              <w:t>Basic Notes</w:t>
            </w:r>
          </w:p>
        </w:tc>
      </w:tr>
      <w:tr w:rsidR="00A06B47" w:rsidRPr="008B7B56" w14:paraId="69F384FF" w14:textId="77777777" w:rsidTr="00E620C9">
        <w:tc>
          <w:tcPr>
            <w:tcW w:w="470" w:type="pct"/>
            <w:shd w:val="clear" w:color="auto" w:fill="E7E6E6" w:themeFill="background2"/>
          </w:tcPr>
          <w:p w14:paraId="4155A898" w14:textId="45F77CC9" w:rsidR="00515F33" w:rsidRPr="008B7B56" w:rsidRDefault="00515F33" w:rsidP="00BC5802">
            <w:pPr>
              <w:rPr>
                <w:rFonts w:ascii="Arial" w:hAnsi="Arial" w:cs="Arial"/>
                <w:color w:val="7030A0"/>
                <w:sz w:val="24"/>
                <w:szCs w:val="24"/>
              </w:rPr>
            </w:pPr>
            <w:r w:rsidRPr="008B7B56">
              <w:rPr>
                <w:rFonts w:ascii="Arial" w:hAnsi="Arial" w:cs="Arial"/>
                <w:color w:val="7030A0"/>
                <w:sz w:val="24"/>
                <w:szCs w:val="24"/>
              </w:rPr>
              <w:t>COVID 19</w:t>
            </w:r>
          </w:p>
        </w:tc>
        <w:tc>
          <w:tcPr>
            <w:tcW w:w="384" w:type="pct"/>
          </w:tcPr>
          <w:p w14:paraId="0E31B80C" w14:textId="237E151E" w:rsidR="00515F33" w:rsidRPr="008B7B56" w:rsidRDefault="00515F33" w:rsidP="00BC5802">
            <w:pPr>
              <w:rPr>
                <w:rFonts w:ascii="Arial" w:hAnsi="Arial" w:cs="Arial"/>
                <w:sz w:val="24"/>
                <w:szCs w:val="24"/>
              </w:rPr>
            </w:pPr>
            <w:r w:rsidRPr="008B7B56">
              <w:rPr>
                <w:rFonts w:ascii="Arial" w:hAnsi="Arial" w:cs="Arial"/>
                <w:sz w:val="24"/>
                <w:szCs w:val="24"/>
              </w:rPr>
              <w:t>Feb 2020</w:t>
            </w:r>
          </w:p>
        </w:tc>
        <w:tc>
          <w:tcPr>
            <w:tcW w:w="400" w:type="pct"/>
          </w:tcPr>
          <w:p w14:paraId="246E5C42" w14:textId="30E584FE" w:rsidR="00515F33" w:rsidRPr="008B7B56" w:rsidRDefault="00515F33" w:rsidP="00BC5802">
            <w:pPr>
              <w:rPr>
                <w:rFonts w:ascii="Arial" w:hAnsi="Arial" w:cs="Arial"/>
                <w:sz w:val="24"/>
                <w:szCs w:val="24"/>
              </w:rPr>
            </w:pPr>
            <w:r w:rsidRPr="008B7B56">
              <w:rPr>
                <w:rFonts w:ascii="Arial" w:hAnsi="Arial" w:cs="Arial"/>
                <w:sz w:val="24"/>
                <w:szCs w:val="24"/>
              </w:rPr>
              <w:t>April 2020</w:t>
            </w:r>
          </w:p>
        </w:tc>
        <w:tc>
          <w:tcPr>
            <w:tcW w:w="415" w:type="pct"/>
          </w:tcPr>
          <w:p w14:paraId="38D616C9" w14:textId="7889331B" w:rsidR="00515F33" w:rsidRPr="008B7B56" w:rsidRDefault="00515F33" w:rsidP="00BC5802">
            <w:pPr>
              <w:rPr>
                <w:rFonts w:ascii="Arial" w:hAnsi="Arial" w:cs="Arial"/>
                <w:sz w:val="24"/>
                <w:szCs w:val="24"/>
              </w:rPr>
            </w:pPr>
            <w:r w:rsidRPr="008B7B56">
              <w:rPr>
                <w:rFonts w:ascii="Arial" w:hAnsi="Arial" w:cs="Arial"/>
                <w:sz w:val="24"/>
                <w:szCs w:val="24"/>
              </w:rPr>
              <w:t>2 months</w:t>
            </w:r>
          </w:p>
        </w:tc>
        <w:tc>
          <w:tcPr>
            <w:tcW w:w="558" w:type="pct"/>
          </w:tcPr>
          <w:p w14:paraId="0834E973" w14:textId="33C7A68C" w:rsidR="00515F33" w:rsidRPr="008B7B56" w:rsidRDefault="008E2F58" w:rsidP="00BC5802">
            <w:pPr>
              <w:rPr>
                <w:rFonts w:ascii="Arial" w:hAnsi="Arial" w:cs="Arial"/>
                <w:sz w:val="24"/>
                <w:szCs w:val="24"/>
              </w:rPr>
            </w:pPr>
            <w:r w:rsidRPr="008B7B56">
              <w:rPr>
                <w:rFonts w:ascii="Arial" w:hAnsi="Arial" w:cs="Arial"/>
                <w:sz w:val="24"/>
                <w:szCs w:val="24"/>
              </w:rPr>
              <w:t>128</w:t>
            </w:r>
            <w:r w:rsidR="00515F33" w:rsidRPr="008B7B56">
              <w:rPr>
                <w:rFonts w:ascii="Arial" w:hAnsi="Arial" w:cs="Arial"/>
                <w:sz w:val="24"/>
                <w:szCs w:val="24"/>
              </w:rPr>
              <w:t xml:space="preserve"> months</w:t>
            </w:r>
          </w:p>
        </w:tc>
        <w:tc>
          <w:tcPr>
            <w:tcW w:w="568" w:type="pct"/>
          </w:tcPr>
          <w:p w14:paraId="70EC9EBE" w14:textId="5079E0B1" w:rsidR="00515F33" w:rsidRPr="008B7B56" w:rsidRDefault="00515F33" w:rsidP="00BC5802">
            <w:pPr>
              <w:rPr>
                <w:rFonts w:ascii="Arial" w:hAnsi="Arial" w:cs="Arial"/>
                <w:sz w:val="24"/>
                <w:szCs w:val="24"/>
              </w:rPr>
            </w:pPr>
            <w:r w:rsidRPr="008B7B56">
              <w:rPr>
                <w:rFonts w:ascii="Arial" w:hAnsi="Arial" w:cs="Arial"/>
                <w:sz w:val="24"/>
                <w:szCs w:val="24"/>
              </w:rPr>
              <w:t>14.7%</w:t>
            </w:r>
          </w:p>
        </w:tc>
        <w:tc>
          <w:tcPr>
            <w:tcW w:w="463" w:type="pct"/>
          </w:tcPr>
          <w:p w14:paraId="4092C12E" w14:textId="48A3CD64" w:rsidR="00515F33" w:rsidRPr="008B7B56" w:rsidRDefault="00515F33" w:rsidP="00BC5802">
            <w:pPr>
              <w:rPr>
                <w:rFonts w:ascii="Arial" w:hAnsi="Arial" w:cs="Arial"/>
                <w:sz w:val="24"/>
                <w:szCs w:val="24"/>
              </w:rPr>
            </w:pPr>
            <w:r w:rsidRPr="008B7B56">
              <w:rPr>
                <w:rFonts w:ascii="Arial" w:hAnsi="Arial" w:cs="Arial"/>
                <w:sz w:val="24"/>
                <w:szCs w:val="24"/>
              </w:rPr>
              <w:t>−19.2%</w:t>
            </w:r>
          </w:p>
        </w:tc>
        <w:tc>
          <w:tcPr>
            <w:tcW w:w="1742" w:type="pct"/>
          </w:tcPr>
          <w:p w14:paraId="5909D9C0" w14:textId="34B1148F" w:rsidR="00515F33" w:rsidRPr="008B7B56" w:rsidRDefault="00515F33" w:rsidP="00BC5802">
            <w:pPr>
              <w:rPr>
                <w:rFonts w:ascii="Arial" w:hAnsi="Arial" w:cs="Arial"/>
                <w:sz w:val="24"/>
                <w:szCs w:val="24"/>
              </w:rPr>
            </w:pPr>
            <w:r w:rsidRPr="008B7B56">
              <w:rPr>
                <w:rFonts w:ascii="Arial" w:hAnsi="Arial" w:cs="Arial"/>
                <w:sz w:val="24"/>
                <w:szCs w:val="24"/>
              </w:rPr>
              <w:t xml:space="preserve">The outbreak of COVID-19 in November 2019 forced countries to institute travel restrictions and quarantines, closing many businesses. The initial outbreak expanded into the global pandemic in March 2020. </w:t>
            </w:r>
          </w:p>
        </w:tc>
      </w:tr>
      <w:tr w:rsidR="00A06B47" w:rsidRPr="008B7B56" w14:paraId="06736EDB" w14:textId="77777777" w:rsidTr="00E620C9">
        <w:tc>
          <w:tcPr>
            <w:tcW w:w="470" w:type="pct"/>
            <w:shd w:val="clear" w:color="auto" w:fill="E7E6E6" w:themeFill="background2"/>
          </w:tcPr>
          <w:p w14:paraId="4CDFD058" w14:textId="2FF584C2" w:rsidR="004A1DF2" w:rsidRPr="008B7B56" w:rsidRDefault="004A1DF2" w:rsidP="00BC5802">
            <w:pPr>
              <w:rPr>
                <w:rFonts w:ascii="Arial" w:hAnsi="Arial" w:cs="Arial"/>
                <w:color w:val="7030A0"/>
                <w:sz w:val="24"/>
                <w:szCs w:val="24"/>
              </w:rPr>
            </w:pPr>
            <w:r w:rsidRPr="008B7B56">
              <w:rPr>
                <w:rFonts w:ascii="Arial" w:hAnsi="Arial" w:cs="Arial"/>
                <w:color w:val="7030A0"/>
                <w:sz w:val="24"/>
                <w:szCs w:val="24"/>
              </w:rPr>
              <w:t>GFC</w:t>
            </w:r>
          </w:p>
        </w:tc>
        <w:tc>
          <w:tcPr>
            <w:tcW w:w="384" w:type="pct"/>
          </w:tcPr>
          <w:p w14:paraId="4148A319" w14:textId="4887675B" w:rsidR="004A1DF2" w:rsidRPr="008B7B56" w:rsidRDefault="004A1DF2" w:rsidP="00BC5802">
            <w:pPr>
              <w:rPr>
                <w:rFonts w:ascii="Arial" w:hAnsi="Arial" w:cs="Arial"/>
                <w:sz w:val="24"/>
                <w:szCs w:val="24"/>
              </w:rPr>
            </w:pPr>
            <w:r w:rsidRPr="008B7B56">
              <w:rPr>
                <w:rFonts w:ascii="Arial" w:hAnsi="Arial" w:cs="Arial"/>
                <w:sz w:val="24"/>
                <w:szCs w:val="24"/>
              </w:rPr>
              <w:t>Dec 2007</w:t>
            </w:r>
          </w:p>
        </w:tc>
        <w:tc>
          <w:tcPr>
            <w:tcW w:w="400" w:type="pct"/>
          </w:tcPr>
          <w:p w14:paraId="1AA5DBD6" w14:textId="51BB753F" w:rsidR="004A1DF2" w:rsidRPr="008B7B56" w:rsidRDefault="004A1DF2" w:rsidP="00BC5802">
            <w:pPr>
              <w:rPr>
                <w:rFonts w:ascii="Arial" w:hAnsi="Arial" w:cs="Arial"/>
                <w:sz w:val="24"/>
                <w:szCs w:val="24"/>
              </w:rPr>
            </w:pPr>
            <w:r w:rsidRPr="008B7B56">
              <w:rPr>
                <w:rFonts w:ascii="Arial" w:hAnsi="Arial" w:cs="Arial"/>
                <w:sz w:val="24"/>
                <w:szCs w:val="24"/>
              </w:rPr>
              <w:t>June 2009</w:t>
            </w:r>
          </w:p>
        </w:tc>
        <w:tc>
          <w:tcPr>
            <w:tcW w:w="415" w:type="pct"/>
          </w:tcPr>
          <w:p w14:paraId="67EF6DD7" w14:textId="3FEE2211" w:rsidR="004A1DF2" w:rsidRPr="008B7B56" w:rsidRDefault="00095E7C" w:rsidP="00BC5802">
            <w:pPr>
              <w:rPr>
                <w:rFonts w:ascii="Arial" w:hAnsi="Arial" w:cs="Arial"/>
                <w:sz w:val="24"/>
                <w:szCs w:val="24"/>
              </w:rPr>
            </w:pPr>
            <w:r w:rsidRPr="008B7B56">
              <w:rPr>
                <w:rFonts w:ascii="Arial" w:hAnsi="Arial" w:cs="Arial"/>
                <w:sz w:val="24"/>
                <w:szCs w:val="24"/>
              </w:rPr>
              <w:t>18</w:t>
            </w:r>
            <w:r w:rsidR="004A1DF2" w:rsidRPr="008B7B56">
              <w:rPr>
                <w:rFonts w:ascii="Arial" w:hAnsi="Arial" w:cs="Arial"/>
                <w:sz w:val="24"/>
                <w:szCs w:val="24"/>
              </w:rPr>
              <w:t xml:space="preserve"> months</w:t>
            </w:r>
          </w:p>
        </w:tc>
        <w:tc>
          <w:tcPr>
            <w:tcW w:w="558" w:type="pct"/>
          </w:tcPr>
          <w:p w14:paraId="6755CDC9" w14:textId="3499C641" w:rsidR="004A1DF2" w:rsidRPr="008B7B56" w:rsidRDefault="008E2F58" w:rsidP="00BC5802">
            <w:pPr>
              <w:rPr>
                <w:rFonts w:ascii="Arial" w:hAnsi="Arial" w:cs="Arial"/>
                <w:sz w:val="24"/>
                <w:szCs w:val="24"/>
              </w:rPr>
            </w:pPr>
            <w:r w:rsidRPr="008B7B56">
              <w:rPr>
                <w:rFonts w:ascii="Arial" w:hAnsi="Arial" w:cs="Arial"/>
                <w:sz w:val="24"/>
                <w:szCs w:val="24"/>
              </w:rPr>
              <w:t>73</w:t>
            </w:r>
            <w:r w:rsidR="004A1DF2" w:rsidRPr="008B7B56">
              <w:rPr>
                <w:rFonts w:ascii="Arial" w:hAnsi="Arial" w:cs="Arial"/>
                <w:sz w:val="24"/>
                <w:szCs w:val="24"/>
              </w:rPr>
              <w:t xml:space="preserve"> month</w:t>
            </w:r>
            <w:r w:rsidR="00CD2695" w:rsidRPr="008B7B56">
              <w:rPr>
                <w:rFonts w:ascii="Arial" w:hAnsi="Arial" w:cs="Arial"/>
                <w:sz w:val="24"/>
                <w:szCs w:val="24"/>
              </w:rPr>
              <w:t>s</w:t>
            </w:r>
          </w:p>
        </w:tc>
        <w:tc>
          <w:tcPr>
            <w:tcW w:w="568" w:type="pct"/>
          </w:tcPr>
          <w:p w14:paraId="61C47B73" w14:textId="393E15F6" w:rsidR="004A1DF2" w:rsidRPr="008B7B56" w:rsidRDefault="004A1DF2" w:rsidP="00BC5802">
            <w:pPr>
              <w:rPr>
                <w:rFonts w:ascii="Arial" w:hAnsi="Arial" w:cs="Arial"/>
                <w:sz w:val="24"/>
                <w:szCs w:val="24"/>
              </w:rPr>
            </w:pPr>
            <w:r w:rsidRPr="008B7B56">
              <w:rPr>
                <w:rFonts w:ascii="Arial" w:hAnsi="Arial" w:cs="Arial"/>
                <w:sz w:val="24"/>
                <w:szCs w:val="24"/>
              </w:rPr>
              <w:t>10.0%</w:t>
            </w:r>
          </w:p>
        </w:tc>
        <w:tc>
          <w:tcPr>
            <w:tcW w:w="463" w:type="pct"/>
          </w:tcPr>
          <w:p w14:paraId="49C0C60A" w14:textId="0A92741D" w:rsidR="004A1DF2" w:rsidRPr="008B7B56" w:rsidRDefault="004A1DF2" w:rsidP="00BC5802">
            <w:pPr>
              <w:rPr>
                <w:rFonts w:ascii="Arial" w:hAnsi="Arial" w:cs="Arial"/>
                <w:sz w:val="24"/>
                <w:szCs w:val="24"/>
              </w:rPr>
            </w:pPr>
            <w:r w:rsidRPr="008B7B56">
              <w:rPr>
                <w:rFonts w:ascii="Arial" w:hAnsi="Arial" w:cs="Arial"/>
                <w:sz w:val="24"/>
                <w:szCs w:val="24"/>
              </w:rPr>
              <w:t>−5.1%</w:t>
            </w:r>
          </w:p>
        </w:tc>
        <w:tc>
          <w:tcPr>
            <w:tcW w:w="1742" w:type="pct"/>
          </w:tcPr>
          <w:p w14:paraId="037A509E" w14:textId="086E8439" w:rsidR="004A1DF2" w:rsidRPr="008B7B56" w:rsidRDefault="004A1DF2" w:rsidP="00515F33">
            <w:pPr>
              <w:rPr>
                <w:rFonts w:ascii="Arial" w:hAnsi="Arial" w:cs="Arial"/>
                <w:sz w:val="24"/>
                <w:szCs w:val="24"/>
              </w:rPr>
            </w:pPr>
            <w:r w:rsidRPr="008B7B56">
              <w:rPr>
                <w:rFonts w:ascii="Arial" w:hAnsi="Arial" w:cs="Arial"/>
                <w:sz w:val="24"/>
                <w:szCs w:val="24"/>
              </w:rPr>
              <w:t xml:space="preserve">The subprime mortgage crisis led to the collapse of the United States housing bubble. Falling housing-related assets contributed to a global financial crisis, even as oil and food prices soared. </w:t>
            </w:r>
          </w:p>
        </w:tc>
      </w:tr>
      <w:tr w:rsidR="00A06B47" w:rsidRPr="008B7B56" w14:paraId="47D3DBAC" w14:textId="77777777" w:rsidTr="00E620C9">
        <w:tc>
          <w:tcPr>
            <w:tcW w:w="470" w:type="pct"/>
            <w:shd w:val="clear" w:color="auto" w:fill="E7E6E6" w:themeFill="background2"/>
          </w:tcPr>
          <w:p w14:paraId="3A39B892" w14:textId="77777777" w:rsidR="00CD2695" w:rsidRPr="008B7B56" w:rsidRDefault="00CD2695" w:rsidP="00CD2695">
            <w:pPr>
              <w:rPr>
                <w:rFonts w:ascii="Arial" w:hAnsi="Arial" w:cs="Arial"/>
                <w:color w:val="7030A0"/>
                <w:sz w:val="24"/>
                <w:szCs w:val="24"/>
              </w:rPr>
            </w:pPr>
            <w:r w:rsidRPr="008B7B56">
              <w:rPr>
                <w:rFonts w:ascii="Arial" w:hAnsi="Arial" w:cs="Arial"/>
                <w:color w:val="7030A0"/>
                <w:sz w:val="24"/>
                <w:szCs w:val="24"/>
              </w:rPr>
              <w:t xml:space="preserve">Dot Com </w:t>
            </w:r>
          </w:p>
          <w:p w14:paraId="7F42A69F" w14:textId="46BD5624" w:rsidR="00CD2695" w:rsidRPr="008B7B56" w:rsidRDefault="00CD2695" w:rsidP="00BC5802">
            <w:pPr>
              <w:rPr>
                <w:rFonts w:ascii="Arial" w:hAnsi="Arial" w:cs="Arial"/>
                <w:color w:val="7030A0"/>
                <w:sz w:val="24"/>
                <w:szCs w:val="24"/>
              </w:rPr>
            </w:pPr>
            <w:r w:rsidRPr="008B7B56">
              <w:rPr>
                <w:rFonts w:ascii="Arial" w:hAnsi="Arial" w:cs="Arial"/>
                <w:color w:val="7030A0"/>
                <w:sz w:val="24"/>
                <w:szCs w:val="24"/>
              </w:rPr>
              <w:t>(9-11 attack)</w:t>
            </w:r>
          </w:p>
        </w:tc>
        <w:tc>
          <w:tcPr>
            <w:tcW w:w="384" w:type="pct"/>
          </w:tcPr>
          <w:p w14:paraId="3AFF2915" w14:textId="25CA6B20" w:rsidR="00CD2695" w:rsidRPr="008B7B56" w:rsidRDefault="00CD2695" w:rsidP="00BC5802">
            <w:pPr>
              <w:rPr>
                <w:rFonts w:ascii="Arial" w:hAnsi="Arial" w:cs="Arial"/>
                <w:sz w:val="24"/>
                <w:szCs w:val="24"/>
              </w:rPr>
            </w:pPr>
            <w:r w:rsidRPr="008B7B56">
              <w:rPr>
                <w:rFonts w:ascii="Arial" w:hAnsi="Arial" w:cs="Arial"/>
                <w:sz w:val="24"/>
                <w:szCs w:val="24"/>
              </w:rPr>
              <w:t>Mar 2001</w:t>
            </w:r>
          </w:p>
        </w:tc>
        <w:tc>
          <w:tcPr>
            <w:tcW w:w="400" w:type="pct"/>
          </w:tcPr>
          <w:p w14:paraId="69D7E644" w14:textId="3BBEA2FF" w:rsidR="00CD2695" w:rsidRPr="008B7B56" w:rsidRDefault="00CD2695" w:rsidP="00BC5802">
            <w:pPr>
              <w:rPr>
                <w:rFonts w:ascii="Arial" w:hAnsi="Arial" w:cs="Arial"/>
                <w:sz w:val="24"/>
                <w:szCs w:val="24"/>
              </w:rPr>
            </w:pPr>
            <w:r w:rsidRPr="008B7B56">
              <w:rPr>
                <w:rFonts w:ascii="Arial" w:hAnsi="Arial" w:cs="Arial"/>
                <w:sz w:val="24"/>
                <w:szCs w:val="24"/>
              </w:rPr>
              <w:t>Nov 2001</w:t>
            </w:r>
          </w:p>
        </w:tc>
        <w:tc>
          <w:tcPr>
            <w:tcW w:w="415" w:type="pct"/>
          </w:tcPr>
          <w:p w14:paraId="1AA99E2A" w14:textId="240D769A" w:rsidR="00CD2695" w:rsidRPr="008B7B56" w:rsidRDefault="00CD2695" w:rsidP="00BC5802">
            <w:pPr>
              <w:rPr>
                <w:rFonts w:ascii="Arial" w:hAnsi="Arial" w:cs="Arial"/>
                <w:sz w:val="24"/>
                <w:szCs w:val="24"/>
              </w:rPr>
            </w:pPr>
            <w:r w:rsidRPr="008B7B56">
              <w:rPr>
                <w:rFonts w:ascii="Arial" w:hAnsi="Arial" w:cs="Arial"/>
                <w:sz w:val="24"/>
                <w:szCs w:val="24"/>
              </w:rPr>
              <w:t>8 months</w:t>
            </w:r>
          </w:p>
        </w:tc>
        <w:tc>
          <w:tcPr>
            <w:tcW w:w="558" w:type="pct"/>
          </w:tcPr>
          <w:p w14:paraId="78257477" w14:textId="108ED2E0" w:rsidR="00CD2695" w:rsidRPr="008B7B56" w:rsidRDefault="008E2F58" w:rsidP="00BC5802">
            <w:pPr>
              <w:rPr>
                <w:rFonts w:ascii="Arial" w:hAnsi="Arial" w:cs="Arial"/>
                <w:sz w:val="24"/>
                <w:szCs w:val="24"/>
              </w:rPr>
            </w:pPr>
            <w:r w:rsidRPr="008B7B56">
              <w:rPr>
                <w:rFonts w:ascii="Arial" w:hAnsi="Arial" w:cs="Arial"/>
                <w:sz w:val="24"/>
                <w:szCs w:val="24"/>
              </w:rPr>
              <w:t>120</w:t>
            </w:r>
            <w:r w:rsidR="00CD2695" w:rsidRPr="008B7B56">
              <w:rPr>
                <w:rFonts w:ascii="Arial" w:hAnsi="Arial" w:cs="Arial"/>
                <w:sz w:val="24"/>
                <w:szCs w:val="24"/>
              </w:rPr>
              <w:t xml:space="preserve"> </w:t>
            </w:r>
            <w:r w:rsidRPr="008B7B56">
              <w:rPr>
                <w:rFonts w:ascii="Arial" w:hAnsi="Arial" w:cs="Arial"/>
                <w:sz w:val="24"/>
                <w:szCs w:val="24"/>
              </w:rPr>
              <w:t>months</w:t>
            </w:r>
          </w:p>
        </w:tc>
        <w:tc>
          <w:tcPr>
            <w:tcW w:w="568" w:type="pct"/>
          </w:tcPr>
          <w:p w14:paraId="4FF1F6CF" w14:textId="749B9730" w:rsidR="00CD2695" w:rsidRPr="008B7B56" w:rsidRDefault="00CD2695" w:rsidP="00BC5802">
            <w:pPr>
              <w:rPr>
                <w:rFonts w:ascii="Arial" w:hAnsi="Arial" w:cs="Arial"/>
                <w:sz w:val="24"/>
                <w:szCs w:val="24"/>
              </w:rPr>
            </w:pPr>
            <w:r w:rsidRPr="008B7B56">
              <w:rPr>
                <w:rFonts w:ascii="Arial" w:hAnsi="Arial" w:cs="Arial"/>
                <w:sz w:val="24"/>
                <w:szCs w:val="24"/>
              </w:rPr>
              <w:t>6.3%</w:t>
            </w:r>
          </w:p>
        </w:tc>
        <w:tc>
          <w:tcPr>
            <w:tcW w:w="463" w:type="pct"/>
          </w:tcPr>
          <w:p w14:paraId="10964D87" w14:textId="47339699" w:rsidR="00CD2695" w:rsidRPr="008B7B56" w:rsidRDefault="00CD2695" w:rsidP="00BC5802">
            <w:pPr>
              <w:rPr>
                <w:rFonts w:ascii="Arial" w:hAnsi="Arial" w:cs="Arial"/>
                <w:sz w:val="24"/>
                <w:szCs w:val="24"/>
              </w:rPr>
            </w:pPr>
            <w:r w:rsidRPr="008B7B56">
              <w:rPr>
                <w:rFonts w:ascii="Arial" w:hAnsi="Arial" w:cs="Arial"/>
                <w:sz w:val="24"/>
                <w:szCs w:val="24"/>
              </w:rPr>
              <w:t>−0.3%</w:t>
            </w:r>
          </w:p>
        </w:tc>
        <w:tc>
          <w:tcPr>
            <w:tcW w:w="1742" w:type="pct"/>
          </w:tcPr>
          <w:p w14:paraId="7128DDDA" w14:textId="0D334203" w:rsidR="00CD2695" w:rsidRPr="008B7B56" w:rsidRDefault="00CD2695" w:rsidP="004A1DF2">
            <w:pPr>
              <w:rPr>
                <w:rFonts w:ascii="Arial" w:hAnsi="Arial" w:cs="Arial"/>
                <w:sz w:val="24"/>
                <w:szCs w:val="24"/>
              </w:rPr>
            </w:pPr>
            <w:bookmarkStart w:id="1" w:name="_Hlk99309035"/>
            <w:r w:rsidRPr="008B7B56">
              <w:rPr>
                <w:rFonts w:ascii="Arial" w:hAnsi="Arial" w:cs="Arial"/>
                <w:sz w:val="24"/>
                <w:szCs w:val="24"/>
              </w:rPr>
              <w:t>The 1990s were the longest period of economic growth in American history up to that point. The collapse of the speculative dot-com bubble, a fall in business outlays and investments, and the September 11th attacks, brought the decade of growth to an end.</w:t>
            </w:r>
            <w:bookmarkEnd w:id="1"/>
          </w:p>
        </w:tc>
      </w:tr>
      <w:tr w:rsidR="00A06B47" w:rsidRPr="008B7B56" w14:paraId="0DEC499A" w14:textId="77777777" w:rsidTr="00E620C9">
        <w:tc>
          <w:tcPr>
            <w:tcW w:w="470" w:type="pct"/>
            <w:shd w:val="clear" w:color="auto" w:fill="E7E6E6" w:themeFill="background2"/>
          </w:tcPr>
          <w:p w14:paraId="40AEEC33" w14:textId="220B26B0" w:rsidR="00275472" w:rsidRPr="008B7B56" w:rsidRDefault="00275472" w:rsidP="00CD2695">
            <w:pPr>
              <w:rPr>
                <w:rFonts w:ascii="Arial" w:hAnsi="Arial" w:cs="Arial"/>
                <w:color w:val="7030A0"/>
                <w:sz w:val="24"/>
                <w:szCs w:val="24"/>
              </w:rPr>
            </w:pPr>
            <w:r w:rsidRPr="008B7B56">
              <w:rPr>
                <w:rFonts w:ascii="Arial" w:hAnsi="Arial" w:cs="Arial"/>
                <w:color w:val="7030A0"/>
                <w:sz w:val="24"/>
                <w:szCs w:val="24"/>
              </w:rPr>
              <w:t>Early 1990s</w:t>
            </w:r>
          </w:p>
        </w:tc>
        <w:tc>
          <w:tcPr>
            <w:tcW w:w="384" w:type="pct"/>
          </w:tcPr>
          <w:p w14:paraId="11A82D1B" w14:textId="64870158" w:rsidR="00275472" w:rsidRPr="008B7B56" w:rsidRDefault="00275472" w:rsidP="00BC5802">
            <w:pPr>
              <w:rPr>
                <w:rFonts w:ascii="Arial" w:hAnsi="Arial" w:cs="Arial"/>
                <w:sz w:val="24"/>
                <w:szCs w:val="24"/>
              </w:rPr>
            </w:pPr>
            <w:r w:rsidRPr="008B7B56">
              <w:rPr>
                <w:rFonts w:ascii="Arial" w:hAnsi="Arial" w:cs="Arial"/>
                <w:sz w:val="24"/>
                <w:szCs w:val="24"/>
              </w:rPr>
              <w:t>July 1990</w:t>
            </w:r>
          </w:p>
        </w:tc>
        <w:tc>
          <w:tcPr>
            <w:tcW w:w="400" w:type="pct"/>
          </w:tcPr>
          <w:p w14:paraId="7BD730B5" w14:textId="1CF77745" w:rsidR="00275472" w:rsidRPr="008B7B56" w:rsidRDefault="00275472" w:rsidP="00BC5802">
            <w:pPr>
              <w:rPr>
                <w:rFonts w:ascii="Arial" w:hAnsi="Arial" w:cs="Arial"/>
                <w:sz w:val="24"/>
                <w:szCs w:val="24"/>
              </w:rPr>
            </w:pPr>
            <w:r w:rsidRPr="008B7B56">
              <w:rPr>
                <w:rFonts w:ascii="Arial" w:hAnsi="Arial" w:cs="Arial"/>
                <w:sz w:val="24"/>
                <w:szCs w:val="24"/>
              </w:rPr>
              <w:t>Mar 1991</w:t>
            </w:r>
          </w:p>
        </w:tc>
        <w:tc>
          <w:tcPr>
            <w:tcW w:w="415" w:type="pct"/>
          </w:tcPr>
          <w:p w14:paraId="09749009" w14:textId="7DD6E4C5" w:rsidR="00275472" w:rsidRPr="008B7B56" w:rsidRDefault="00275472" w:rsidP="00BC5802">
            <w:pPr>
              <w:rPr>
                <w:rFonts w:ascii="Arial" w:hAnsi="Arial" w:cs="Arial"/>
                <w:sz w:val="24"/>
                <w:szCs w:val="24"/>
              </w:rPr>
            </w:pPr>
            <w:r w:rsidRPr="008B7B56">
              <w:rPr>
                <w:rFonts w:ascii="Arial" w:hAnsi="Arial" w:cs="Arial"/>
                <w:sz w:val="24"/>
                <w:szCs w:val="24"/>
              </w:rPr>
              <w:t>8 months</w:t>
            </w:r>
          </w:p>
        </w:tc>
        <w:tc>
          <w:tcPr>
            <w:tcW w:w="558" w:type="pct"/>
          </w:tcPr>
          <w:p w14:paraId="57C65B8C" w14:textId="5F19EBDC" w:rsidR="00275472" w:rsidRPr="008B7B56" w:rsidRDefault="008E2F58" w:rsidP="00BC5802">
            <w:pPr>
              <w:rPr>
                <w:rFonts w:ascii="Arial" w:hAnsi="Arial" w:cs="Arial"/>
                <w:sz w:val="24"/>
                <w:szCs w:val="24"/>
              </w:rPr>
            </w:pPr>
            <w:r w:rsidRPr="008B7B56">
              <w:rPr>
                <w:rFonts w:ascii="Arial" w:hAnsi="Arial" w:cs="Arial"/>
                <w:sz w:val="24"/>
                <w:szCs w:val="24"/>
              </w:rPr>
              <w:t>92 months</w:t>
            </w:r>
          </w:p>
        </w:tc>
        <w:tc>
          <w:tcPr>
            <w:tcW w:w="568" w:type="pct"/>
          </w:tcPr>
          <w:p w14:paraId="6FB2DF20" w14:textId="38474785" w:rsidR="00275472" w:rsidRPr="008B7B56" w:rsidRDefault="00275472" w:rsidP="00BC5802">
            <w:pPr>
              <w:rPr>
                <w:rFonts w:ascii="Arial" w:hAnsi="Arial" w:cs="Arial"/>
                <w:sz w:val="24"/>
                <w:szCs w:val="24"/>
              </w:rPr>
            </w:pPr>
            <w:r w:rsidRPr="008B7B56">
              <w:rPr>
                <w:rFonts w:ascii="Arial" w:hAnsi="Arial" w:cs="Arial"/>
                <w:sz w:val="24"/>
                <w:szCs w:val="24"/>
              </w:rPr>
              <w:t>7.8%</w:t>
            </w:r>
          </w:p>
        </w:tc>
        <w:tc>
          <w:tcPr>
            <w:tcW w:w="463" w:type="pct"/>
          </w:tcPr>
          <w:p w14:paraId="3C26C397" w14:textId="237D88BB" w:rsidR="00275472" w:rsidRPr="008B7B56" w:rsidRDefault="00275472" w:rsidP="00BC5802">
            <w:pPr>
              <w:rPr>
                <w:rFonts w:ascii="Arial" w:hAnsi="Arial" w:cs="Arial"/>
                <w:sz w:val="24"/>
                <w:szCs w:val="24"/>
              </w:rPr>
            </w:pPr>
            <w:r w:rsidRPr="008B7B56">
              <w:rPr>
                <w:rFonts w:ascii="Arial" w:hAnsi="Arial" w:cs="Arial"/>
                <w:sz w:val="24"/>
                <w:szCs w:val="24"/>
              </w:rPr>
              <w:t>−1.4%</w:t>
            </w:r>
          </w:p>
        </w:tc>
        <w:tc>
          <w:tcPr>
            <w:tcW w:w="1742" w:type="pct"/>
          </w:tcPr>
          <w:p w14:paraId="362A402A" w14:textId="6B7E72C2" w:rsidR="00275472" w:rsidRPr="008B7B56" w:rsidRDefault="00275472" w:rsidP="004A1DF2">
            <w:pPr>
              <w:rPr>
                <w:rFonts w:ascii="Arial" w:hAnsi="Arial" w:cs="Arial"/>
                <w:sz w:val="24"/>
                <w:szCs w:val="24"/>
              </w:rPr>
            </w:pPr>
            <w:r w:rsidRPr="008B7B56">
              <w:rPr>
                <w:rFonts w:ascii="Arial" w:hAnsi="Arial" w:cs="Arial"/>
                <w:sz w:val="24"/>
                <w:szCs w:val="24"/>
              </w:rPr>
              <w:t xml:space="preserve">Inflation began to </w:t>
            </w:r>
            <w:proofErr w:type="gramStart"/>
            <w:r w:rsidRPr="008B7B56">
              <w:rPr>
                <w:rFonts w:ascii="Arial" w:hAnsi="Arial" w:cs="Arial"/>
                <w:sz w:val="24"/>
                <w:szCs w:val="24"/>
              </w:rPr>
              <w:t>increase</w:t>
            </w:r>
            <w:proofErr w:type="gramEnd"/>
            <w:r w:rsidRPr="008B7B56">
              <w:rPr>
                <w:rFonts w:ascii="Arial" w:hAnsi="Arial" w:cs="Arial"/>
                <w:sz w:val="24"/>
                <w:szCs w:val="24"/>
              </w:rPr>
              <w:t xml:space="preserve"> and the Federal Reserve responded by raising interest rates from 1986 to 1989. This weakened but did not stop growth, but some combination of the subsequent 1990 oil price shock, the debt accumulation of the 1980s, and growing consumer pessimism combined with the weakened economy to produce a brief recession.</w:t>
            </w:r>
          </w:p>
        </w:tc>
      </w:tr>
      <w:tr w:rsidR="00A06B47" w:rsidRPr="008B7B56" w14:paraId="4AD926F5" w14:textId="77777777" w:rsidTr="00E620C9">
        <w:tc>
          <w:tcPr>
            <w:tcW w:w="470" w:type="pct"/>
            <w:shd w:val="clear" w:color="auto" w:fill="E7E6E6" w:themeFill="background2"/>
          </w:tcPr>
          <w:p w14:paraId="639E4ABE" w14:textId="77777777" w:rsidR="006C00BB" w:rsidRPr="008B7B56" w:rsidRDefault="006C00BB" w:rsidP="00CD2695">
            <w:pPr>
              <w:rPr>
                <w:rFonts w:ascii="Arial" w:hAnsi="Arial" w:cs="Arial"/>
                <w:color w:val="7030A0"/>
                <w:sz w:val="24"/>
                <w:szCs w:val="24"/>
              </w:rPr>
            </w:pPr>
            <w:r w:rsidRPr="008B7B56">
              <w:rPr>
                <w:rFonts w:ascii="Arial" w:hAnsi="Arial" w:cs="Arial"/>
                <w:color w:val="7030A0"/>
                <w:sz w:val="24"/>
                <w:szCs w:val="24"/>
              </w:rPr>
              <w:t>Early 1980s</w:t>
            </w:r>
          </w:p>
          <w:p w14:paraId="440DB329" w14:textId="4AA6505C" w:rsidR="006C00BB" w:rsidRPr="008B7B56" w:rsidRDefault="006C00BB" w:rsidP="00CD2695">
            <w:pPr>
              <w:rPr>
                <w:rFonts w:ascii="Arial" w:hAnsi="Arial" w:cs="Arial"/>
                <w:color w:val="7030A0"/>
                <w:sz w:val="24"/>
                <w:szCs w:val="24"/>
              </w:rPr>
            </w:pPr>
            <w:r w:rsidRPr="008B7B56">
              <w:rPr>
                <w:rFonts w:ascii="Arial" w:hAnsi="Arial" w:cs="Arial"/>
                <w:color w:val="7030A0"/>
                <w:sz w:val="24"/>
                <w:szCs w:val="24"/>
              </w:rPr>
              <w:t>Part 1</w:t>
            </w:r>
          </w:p>
        </w:tc>
        <w:tc>
          <w:tcPr>
            <w:tcW w:w="384" w:type="pct"/>
          </w:tcPr>
          <w:p w14:paraId="5C9F1564" w14:textId="33FF228C" w:rsidR="006C00BB" w:rsidRPr="008B7B56" w:rsidRDefault="006C00BB" w:rsidP="00BC5802">
            <w:pPr>
              <w:rPr>
                <w:rFonts w:ascii="Arial" w:hAnsi="Arial" w:cs="Arial"/>
                <w:sz w:val="24"/>
                <w:szCs w:val="24"/>
              </w:rPr>
            </w:pPr>
            <w:r w:rsidRPr="008B7B56">
              <w:rPr>
                <w:rFonts w:ascii="Arial" w:hAnsi="Arial" w:cs="Arial"/>
                <w:sz w:val="24"/>
                <w:szCs w:val="24"/>
              </w:rPr>
              <w:t>July 1981</w:t>
            </w:r>
          </w:p>
        </w:tc>
        <w:tc>
          <w:tcPr>
            <w:tcW w:w="400" w:type="pct"/>
          </w:tcPr>
          <w:p w14:paraId="5E0493F0" w14:textId="276B1226" w:rsidR="006C00BB" w:rsidRPr="008B7B56" w:rsidRDefault="006C00BB" w:rsidP="00BC5802">
            <w:pPr>
              <w:rPr>
                <w:rFonts w:ascii="Arial" w:hAnsi="Arial" w:cs="Arial"/>
                <w:sz w:val="24"/>
                <w:szCs w:val="24"/>
              </w:rPr>
            </w:pPr>
            <w:r w:rsidRPr="008B7B56">
              <w:rPr>
                <w:rFonts w:ascii="Arial" w:hAnsi="Arial" w:cs="Arial"/>
                <w:sz w:val="24"/>
                <w:szCs w:val="24"/>
              </w:rPr>
              <w:t>Nov 1982</w:t>
            </w:r>
          </w:p>
        </w:tc>
        <w:tc>
          <w:tcPr>
            <w:tcW w:w="415" w:type="pct"/>
          </w:tcPr>
          <w:p w14:paraId="70AC4CA1" w14:textId="58F4FF5F" w:rsidR="006C00BB" w:rsidRPr="008B7B56" w:rsidRDefault="00095E7C" w:rsidP="00BC5802">
            <w:pPr>
              <w:rPr>
                <w:rFonts w:ascii="Arial" w:hAnsi="Arial" w:cs="Arial"/>
                <w:sz w:val="24"/>
                <w:szCs w:val="24"/>
              </w:rPr>
            </w:pPr>
            <w:r w:rsidRPr="008B7B56">
              <w:rPr>
                <w:rFonts w:ascii="Arial" w:hAnsi="Arial" w:cs="Arial"/>
                <w:sz w:val="24"/>
                <w:szCs w:val="24"/>
              </w:rPr>
              <w:t>16</w:t>
            </w:r>
            <w:r w:rsidR="006C00BB" w:rsidRPr="008B7B56">
              <w:rPr>
                <w:rFonts w:ascii="Arial" w:hAnsi="Arial" w:cs="Arial"/>
                <w:sz w:val="24"/>
                <w:szCs w:val="24"/>
              </w:rPr>
              <w:t xml:space="preserve"> months</w:t>
            </w:r>
          </w:p>
        </w:tc>
        <w:tc>
          <w:tcPr>
            <w:tcW w:w="558" w:type="pct"/>
          </w:tcPr>
          <w:p w14:paraId="1D04B2A7" w14:textId="5F071483" w:rsidR="006C00BB" w:rsidRPr="008B7B56" w:rsidRDefault="008E2F58" w:rsidP="00BC5802">
            <w:pPr>
              <w:rPr>
                <w:rFonts w:ascii="Arial" w:hAnsi="Arial" w:cs="Arial"/>
                <w:sz w:val="24"/>
                <w:szCs w:val="24"/>
              </w:rPr>
            </w:pPr>
            <w:r w:rsidRPr="008B7B56">
              <w:rPr>
                <w:rFonts w:ascii="Arial" w:hAnsi="Arial" w:cs="Arial"/>
                <w:sz w:val="24"/>
                <w:szCs w:val="24"/>
              </w:rPr>
              <w:t>12 months</w:t>
            </w:r>
          </w:p>
        </w:tc>
        <w:tc>
          <w:tcPr>
            <w:tcW w:w="568" w:type="pct"/>
          </w:tcPr>
          <w:p w14:paraId="58467560" w14:textId="359B59EF" w:rsidR="006C00BB" w:rsidRPr="008B7B56" w:rsidRDefault="006C00BB" w:rsidP="00BC5802">
            <w:pPr>
              <w:rPr>
                <w:rFonts w:ascii="Arial" w:hAnsi="Arial" w:cs="Arial"/>
                <w:sz w:val="24"/>
                <w:szCs w:val="24"/>
              </w:rPr>
            </w:pPr>
            <w:r w:rsidRPr="008B7B56">
              <w:rPr>
                <w:rFonts w:ascii="Arial" w:hAnsi="Arial" w:cs="Arial"/>
                <w:sz w:val="24"/>
                <w:szCs w:val="24"/>
              </w:rPr>
              <w:t>10.8%</w:t>
            </w:r>
          </w:p>
        </w:tc>
        <w:tc>
          <w:tcPr>
            <w:tcW w:w="463" w:type="pct"/>
          </w:tcPr>
          <w:p w14:paraId="2211D35F" w14:textId="55008039" w:rsidR="006C00BB" w:rsidRPr="008B7B56" w:rsidRDefault="006C00BB" w:rsidP="00BC5802">
            <w:pPr>
              <w:rPr>
                <w:rFonts w:ascii="Arial" w:hAnsi="Arial" w:cs="Arial"/>
                <w:sz w:val="24"/>
                <w:szCs w:val="24"/>
              </w:rPr>
            </w:pPr>
            <w:r w:rsidRPr="008B7B56">
              <w:rPr>
                <w:rFonts w:ascii="Arial" w:hAnsi="Arial" w:cs="Arial"/>
                <w:sz w:val="24"/>
                <w:szCs w:val="24"/>
              </w:rPr>
              <w:t>−2.7%</w:t>
            </w:r>
          </w:p>
        </w:tc>
        <w:tc>
          <w:tcPr>
            <w:tcW w:w="1742" w:type="pct"/>
          </w:tcPr>
          <w:p w14:paraId="20E6A1C8" w14:textId="241FE9E5" w:rsidR="006C00BB" w:rsidRPr="008B7B56" w:rsidRDefault="006C00BB" w:rsidP="004A1DF2">
            <w:pPr>
              <w:rPr>
                <w:rFonts w:ascii="Arial" w:hAnsi="Arial" w:cs="Arial"/>
                <w:sz w:val="24"/>
                <w:szCs w:val="24"/>
              </w:rPr>
            </w:pPr>
            <w:r w:rsidRPr="008B7B56">
              <w:rPr>
                <w:rFonts w:ascii="Arial" w:hAnsi="Arial" w:cs="Arial"/>
                <w:sz w:val="24"/>
                <w:szCs w:val="24"/>
              </w:rPr>
              <w:t>The Iranian Revolution sharply increased the price of oil around the world in 1979, causing the 1979 energy crisis. This was caused by the new regime in power in Iran, which exported oil at inconsistent intervals and at a lower volume, forcing prices up. Tight monetary policy in the United States to control inflation led to another recession.</w:t>
            </w:r>
          </w:p>
        </w:tc>
      </w:tr>
      <w:tr w:rsidR="00A06B47" w:rsidRPr="008B7B56" w14:paraId="4A037E5B" w14:textId="77777777" w:rsidTr="00E620C9">
        <w:tc>
          <w:tcPr>
            <w:tcW w:w="470" w:type="pct"/>
            <w:shd w:val="clear" w:color="auto" w:fill="E7E6E6" w:themeFill="background2"/>
          </w:tcPr>
          <w:p w14:paraId="3097CC17" w14:textId="4486C0B4" w:rsidR="006C00BB" w:rsidRPr="008B7B56" w:rsidRDefault="006C00BB" w:rsidP="006C00BB">
            <w:pPr>
              <w:rPr>
                <w:rFonts w:ascii="Arial" w:hAnsi="Arial" w:cs="Arial"/>
                <w:color w:val="7030A0"/>
                <w:sz w:val="24"/>
                <w:szCs w:val="24"/>
              </w:rPr>
            </w:pPr>
            <w:r w:rsidRPr="008B7B56">
              <w:rPr>
                <w:rFonts w:ascii="Arial" w:hAnsi="Arial" w:cs="Arial"/>
                <w:color w:val="7030A0"/>
                <w:sz w:val="24"/>
                <w:szCs w:val="24"/>
              </w:rPr>
              <w:t>Early 1980s</w:t>
            </w:r>
          </w:p>
          <w:p w14:paraId="4931933C" w14:textId="4A7D5084" w:rsidR="006C00BB" w:rsidRPr="008B7B56" w:rsidRDefault="006C00BB" w:rsidP="006C00BB">
            <w:pPr>
              <w:rPr>
                <w:rFonts w:ascii="Arial" w:hAnsi="Arial" w:cs="Arial"/>
                <w:color w:val="7030A0"/>
                <w:sz w:val="24"/>
                <w:szCs w:val="24"/>
              </w:rPr>
            </w:pPr>
            <w:r w:rsidRPr="008B7B56">
              <w:rPr>
                <w:rFonts w:ascii="Arial" w:hAnsi="Arial" w:cs="Arial"/>
                <w:color w:val="7030A0"/>
                <w:sz w:val="24"/>
                <w:szCs w:val="24"/>
              </w:rPr>
              <w:lastRenderedPageBreak/>
              <w:t>Part 2</w:t>
            </w:r>
          </w:p>
        </w:tc>
        <w:tc>
          <w:tcPr>
            <w:tcW w:w="384" w:type="pct"/>
          </w:tcPr>
          <w:p w14:paraId="0DEA3220" w14:textId="11BB987A" w:rsidR="006C00BB" w:rsidRPr="008B7B56" w:rsidRDefault="006C00BB" w:rsidP="00BC5802">
            <w:pPr>
              <w:rPr>
                <w:rFonts w:ascii="Arial" w:hAnsi="Arial" w:cs="Arial"/>
                <w:sz w:val="24"/>
                <w:szCs w:val="24"/>
              </w:rPr>
            </w:pPr>
            <w:r w:rsidRPr="008B7B56">
              <w:rPr>
                <w:rFonts w:ascii="Arial" w:hAnsi="Arial" w:cs="Arial"/>
                <w:sz w:val="24"/>
                <w:szCs w:val="24"/>
              </w:rPr>
              <w:lastRenderedPageBreak/>
              <w:t>Jan 1980</w:t>
            </w:r>
          </w:p>
        </w:tc>
        <w:tc>
          <w:tcPr>
            <w:tcW w:w="400" w:type="pct"/>
          </w:tcPr>
          <w:p w14:paraId="6C91BA7B" w14:textId="04EFE50F" w:rsidR="006C00BB" w:rsidRPr="008B7B56" w:rsidRDefault="006C00BB" w:rsidP="00BC5802">
            <w:pPr>
              <w:rPr>
                <w:rFonts w:ascii="Arial" w:hAnsi="Arial" w:cs="Arial"/>
                <w:sz w:val="24"/>
                <w:szCs w:val="24"/>
              </w:rPr>
            </w:pPr>
            <w:r w:rsidRPr="008B7B56">
              <w:rPr>
                <w:rFonts w:ascii="Arial" w:hAnsi="Arial" w:cs="Arial"/>
                <w:sz w:val="24"/>
                <w:szCs w:val="24"/>
              </w:rPr>
              <w:t>July 1980</w:t>
            </w:r>
          </w:p>
        </w:tc>
        <w:tc>
          <w:tcPr>
            <w:tcW w:w="415" w:type="pct"/>
          </w:tcPr>
          <w:p w14:paraId="2DABFE1D" w14:textId="3488B8D5" w:rsidR="006C00BB" w:rsidRPr="008B7B56" w:rsidRDefault="006C00BB" w:rsidP="00BC5802">
            <w:pPr>
              <w:rPr>
                <w:rFonts w:ascii="Arial" w:hAnsi="Arial" w:cs="Arial"/>
                <w:sz w:val="24"/>
                <w:szCs w:val="24"/>
              </w:rPr>
            </w:pPr>
            <w:r w:rsidRPr="008B7B56">
              <w:rPr>
                <w:rFonts w:ascii="Arial" w:hAnsi="Arial" w:cs="Arial"/>
                <w:sz w:val="24"/>
                <w:szCs w:val="24"/>
              </w:rPr>
              <w:t>6 months</w:t>
            </w:r>
          </w:p>
        </w:tc>
        <w:tc>
          <w:tcPr>
            <w:tcW w:w="558" w:type="pct"/>
          </w:tcPr>
          <w:p w14:paraId="3A407B13" w14:textId="750A35FE" w:rsidR="006C00BB" w:rsidRPr="008B7B56" w:rsidRDefault="00A06B47" w:rsidP="00BC5802">
            <w:pPr>
              <w:rPr>
                <w:rFonts w:ascii="Arial" w:hAnsi="Arial" w:cs="Arial"/>
                <w:sz w:val="24"/>
                <w:szCs w:val="24"/>
              </w:rPr>
            </w:pPr>
            <w:r w:rsidRPr="008B7B56">
              <w:rPr>
                <w:rFonts w:ascii="Arial" w:hAnsi="Arial" w:cs="Arial"/>
                <w:sz w:val="24"/>
                <w:szCs w:val="24"/>
              </w:rPr>
              <w:t>58</w:t>
            </w:r>
            <w:r w:rsidR="006C00BB" w:rsidRPr="008B7B56">
              <w:rPr>
                <w:rFonts w:ascii="Arial" w:hAnsi="Arial" w:cs="Arial"/>
                <w:sz w:val="24"/>
                <w:szCs w:val="24"/>
              </w:rPr>
              <w:t xml:space="preserve"> months</w:t>
            </w:r>
          </w:p>
        </w:tc>
        <w:tc>
          <w:tcPr>
            <w:tcW w:w="568" w:type="pct"/>
          </w:tcPr>
          <w:p w14:paraId="56BE47E4" w14:textId="3B1B3CD5" w:rsidR="006C00BB" w:rsidRPr="008B7B56" w:rsidRDefault="006C00BB" w:rsidP="00BC5802">
            <w:pPr>
              <w:rPr>
                <w:rFonts w:ascii="Arial" w:hAnsi="Arial" w:cs="Arial"/>
                <w:sz w:val="24"/>
                <w:szCs w:val="24"/>
              </w:rPr>
            </w:pPr>
            <w:r w:rsidRPr="008B7B56">
              <w:rPr>
                <w:rFonts w:ascii="Arial" w:hAnsi="Arial" w:cs="Arial"/>
                <w:sz w:val="24"/>
                <w:szCs w:val="24"/>
              </w:rPr>
              <w:t>7.8%</w:t>
            </w:r>
          </w:p>
        </w:tc>
        <w:tc>
          <w:tcPr>
            <w:tcW w:w="463" w:type="pct"/>
          </w:tcPr>
          <w:p w14:paraId="5CD8D450" w14:textId="2B2B40AF" w:rsidR="006C00BB" w:rsidRPr="008B7B56" w:rsidRDefault="006C00BB" w:rsidP="00BC5802">
            <w:pPr>
              <w:rPr>
                <w:rFonts w:ascii="Arial" w:hAnsi="Arial" w:cs="Arial"/>
                <w:sz w:val="24"/>
                <w:szCs w:val="24"/>
              </w:rPr>
            </w:pPr>
            <w:r w:rsidRPr="008B7B56">
              <w:rPr>
                <w:rFonts w:ascii="Arial" w:hAnsi="Arial" w:cs="Arial"/>
                <w:sz w:val="24"/>
                <w:szCs w:val="24"/>
              </w:rPr>
              <w:t>−2.2%</w:t>
            </w:r>
          </w:p>
        </w:tc>
        <w:tc>
          <w:tcPr>
            <w:tcW w:w="1742" w:type="pct"/>
          </w:tcPr>
          <w:p w14:paraId="0555DCC7" w14:textId="04EAFE63" w:rsidR="006C00BB" w:rsidRPr="008B7B56" w:rsidRDefault="006C00BB" w:rsidP="004A1DF2">
            <w:pPr>
              <w:rPr>
                <w:rFonts w:ascii="Arial" w:hAnsi="Arial" w:cs="Arial"/>
                <w:sz w:val="24"/>
                <w:szCs w:val="24"/>
              </w:rPr>
            </w:pPr>
            <w:r w:rsidRPr="008B7B56">
              <w:rPr>
                <w:rFonts w:ascii="Arial" w:hAnsi="Arial" w:cs="Arial"/>
                <w:sz w:val="24"/>
                <w:szCs w:val="24"/>
              </w:rPr>
              <w:t xml:space="preserve">The NBER considers a very short recession to have occurred in 1980, followed by a short </w:t>
            </w:r>
            <w:r w:rsidRPr="008B7B56">
              <w:rPr>
                <w:rFonts w:ascii="Arial" w:hAnsi="Arial" w:cs="Arial"/>
                <w:sz w:val="24"/>
                <w:szCs w:val="24"/>
              </w:rPr>
              <w:lastRenderedPageBreak/>
              <w:t>period of growth and then a deep recession. Unemployment remained relatively elevated in between recessions. The recession began as the Federal Reserve, under Paul Volcker, raised interest rates dramatically to fight the inflation of the 1970s.</w:t>
            </w:r>
          </w:p>
        </w:tc>
      </w:tr>
      <w:bookmarkEnd w:id="0"/>
    </w:tbl>
    <w:p w14:paraId="3E6C5C9F" w14:textId="5EDCA1DB" w:rsidR="006C00BB" w:rsidRPr="008B7B56" w:rsidRDefault="006C00BB" w:rsidP="006C00BB">
      <w:pPr>
        <w:rPr>
          <w:rFonts w:ascii="Arial" w:hAnsi="Arial" w:cs="Arial"/>
          <w:sz w:val="24"/>
          <w:szCs w:val="24"/>
        </w:rPr>
      </w:pPr>
    </w:p>
    <w:p w14:paraId="2C2FFE91" w14:textId="462DDBA7" w:rsidR="00515F33" w:rsidRPr="008B7B56" w:rsidRDefault="00515F33" w:rsidP="00515F33">
      <w:pPr>
        <w:rPr>
          <w:rFonts w:ascii="Arial" w:hAnsi="Arial" w:cs="Arial"/>
          <w:sz w:val="24"/>
          <w:szCs w:val="24"/>
        </w:rPr>
      </w:pPr>
      <w:r w:rsidRPr="008B7B56">
        <w:rPr>
          <w:rFonts w:ascii="Arial" w:hAnsi="Arial" w:cs="Arial"/>
          <w:sz w:val="24"/>
          <w:szCs w:val="24"/>
        </w:rPr>
        <w:tab/>
        <w:t xml:space="preserve"> </w:t>
      </w:r>
    </w:p>
    <w:p w14:paraId="6F97B1EC" w14:textId="77777777" w:rsidR="00623DA8" w:rsidRPr="00623DA8" w:rsidRDefault="00623DA8" w:rsidP="00623DA8">
      <w:pPr>
        <w:shd w:val="clear" w:color="auto" w:fill="FFFFFF"/>
        <w:spacing w:line="240" w:lineRule="auto"/>
        <w:rPr>
          <w:rFonts w:ascii="Arial" w:eastAsia="Times New Roman" w:hAnsi="Arial" w:cs="Arial"/>
          <w:color w:val="202124"/>
          <w:sz w:val="24"/>
          <w:szCs w:val="24"/>
          <w:lang w:eastAsia="en-AU"/>
        </w:rPr>
      </w:pPr>
      <w:r w:rsidRPr="00623DA8">
        <w:rPr>
          <w:rFonts w:ascii="Arial" w:eastAsia="Times New Roman" w:hAnsi="Arial" w:cs="Arial"/>
          <w:color w:val="202124"/>
          <w:sz w:val="24"/>
          <w:szCs w:val="24"/>
          <w:highlight w:val="yellow"/>
          <w:lang w:eastAsia="en-AU"/>
        </w:rPr>
        <w:t>How will Ukraine war affect stock market?</w:t>
      </w:r>
    </w:p>
    <w:p w14:paraId="29919E5A" w14:textId="75646447" w:rsidR="00623DA8" w:rsidRPr="008B7B56" w:rsidRDefault="00623DA8" w:rsidP="00623DA8">
      <w:pPr>
        <w:shd w:val="clear" w:color="auto" w:fill="FFFFFF"/>
        <w:spacing w:after="0" w:line="240" w:lineRule="auto"/>
        <w:rPr>
          <w:rFonts w:ascii="Arial" w:eastAsia="Times New Roman" w:hAnsi="Arial" w:cs="Arial"/>
          <w:color w:val="202124"/>
          <w:sz w:val="24"/>
          <w:szCs w:val="24"/>
          <w:lang w:eastAsia="en-AU"/>
        </w:rPr>
      </w:pPr>
      <w:r w:rsidRPr="00623DA8">
        <w:rPr>
          <w:rFonts w:ascii="Arial" w:eastAsia="Times New Roman" w:hAnsi="Arial" w:cs="Arial"/>
          <w:color w:val="202124"/>
          <w:sz w:val="24"/>
          <w:szCs w:val="24"/>
          <w:lang w:eastAsia="en-AU"/>
        </w:rPr>
        <w:t>The Ukraine conflict may contribute to </w:t>
      </w:r>
      <w:r w:rsidRPr="00623DA8">
        <w:rPr>
          <w:rFonts w:ascii="Arial" w:eastAsia="Times New Roman" w:hAnsi="Arial" w:cs="Arial"/>
          <w:b/>
          <w:bCs/>
          <w:color w:val="202124"/>
          <w:sz w:val="24"/>
          <w:szCs w:val="24"/>
          <w:lang w:eastAsia="en-AU"/>
        </w:rPr>
        <w:t>increased short-term market volatility</w:t>
      </w:r>
      <w:r w:rsidRPr="00623DA8">
        <w:rPr>
          <w:rFonts w:ascii="Arial" w:eastAsia="Times New Roman" w:hAnsi="Arial" w:cs="Arial"/>
          <w:color w:val="202124"/>
          <w:sz w:val="24"/>
          <w:szCs w:val="24"/>
          <w:lang w:eastAsia="en-AU"/>
        </w:rPr>
        <w:t xml:space="preserve">. Disruption of Russian energy exports </w:t>
      </w:r>
      <w:proofErr w:type="gramStart"/>
      <w:r w:rsidRPr="00623DA8">
        <w:rPr>
          <w:rFonts w:ascii="Arial" w:eastAsia="Times New Roman" w:hAnsi="Arial" w:cs="Arial"/>
          <w:color w:val="202124"/>
          <w:sz w:val="24"/>
          <w:szCs w:val="24"/>
          <w:lang w:eastAsia="en-AU"/>
        </w:rPr>
        <w:t>as a result of</w:t>
      </w:r>
      <w:proofErr w:type="gramEnd"/>
      <w:r w:rsidRPr="00623DA8">
        <w:rPr>
          <w:rFonts w:ascii="Arial" w:eastAsia="Times New Roman" w:hAnsi="Arial" w:cs="Arial"/>
          <w:color w:val="202124"/>
          <w:sz w:val="24"/>
          <w:szCs w:val="24"/>
          <w:lang w:eastAsia="en-AU"/>
        </w:rPr>
        <w:t xml:space="preserve"> the conflict could temporarily contribute to rises in global energy and food prices</w:t>
      </w:r>
    </w:p>
    <w:p w14:paraId="2767E2A4" w14:textId="77777777" w:rsidR="00623DA8" w:rsidRPr="00623DA8" w:rsidRDefault="00623DA8" w:rsidP="00623DA8">
      <w:pPr>
        <w:shd w:val="clear" w:color="auto" w:fill="FFFFFF"/>
        <w:spacing w:after="0" w:line="240" w:lineRule="auto"/>
        <w:rPr>
          <w:rFonts w:ascii="Arial" w:eastAsia="Times New Roman" w:hAnsi="Arial" w:cs="Arial"/>
          <w:color w:val="202124"/>
          <w:sz w:val="24"/>
          <w:szCs w:val="24"/>
          <w:lang w:eastAsia="en-AU"/>
        </w:rPr>
      </w:pPr>
    </w:p>
    <w:p w14:paraId="2A855174" w14:textId="77777777" w:rsidR="00623DA8" w:rsidRPr="00623DA8" w:rsidRDefault="00623DA8" w:rsidP="00623DA8">
      <w:pPr>
        <w:shd w:val="clear" w:color="auto" w:fill="FFFFFF"/>
        <w:spacing w:line="240" w:lineRule="auto"/>
        <w:rPr>
          <w:rFonts w:ascii="Arial" w:eastAsia="Times New Roman" w:hAnsi="Arial" w:cs="Arial"/>
          <w:color w:val="202124"/>
          <w:sz w:val="24"/>
          <w:szCs w:val="24"/>
          <w:lang w:eastAsia="en-AU"/>
        </w:rPr>
      </w:pPr>
      <w:r w:rsidRPr="00623DA8">
        <w:rPr>
          <w:rFonts w:ascii="Arial" w:eastAsia="Times New Roman" w:hAnsi="Arial" w:cs="Arial"/>
          <w:color w:val="202124"/>
          <w:sz w:val="24"/>
          <w:szCs w:val="24"/>
          <w:highlight w:val="yellow"/>
          <w:lang w:eastAsia="en-AU"/>
        </w:rPr>
        <w:t>Will Russia Ukraine War affect stock market?</w:t>
      </w:r>
    </w:p>
    <w:p w14:paraId="57929ECA" w14:textId="77777777" w:rsidR="00623DA8" w:rsidRPr="00623DA8" w:rsidRDefault="00623DA8" w:rsidP="00623DA8">
      <w:pPr>
        <w:shd w:val="clear" w:color="auto" w:fill="FFFFFF"/>
        <w:spacing w:after="0" w:line="240" w:lineRule="auto"/>
        <w:rPr>
          <w:rFonts w:ascii="Arial" w:eastAsia="Times New Roman" w:hAnsi="Arial" w:cs="Arial"/>
          <w:color w:val="202124"/>
          <w:sz w:val="24"/>
          <w:szCs w:val="24"/>
          <w:lang w:eastAsia="en-AU"/>
        </w:rPr>
      </w:pPr>
      <w:r w:rsidRPr="00623DA8">
        <w:rPr>
          <w:rFonts w:ascii="Arial" w:eastAsia="Times New Roman" w:hAnsi="Arial" w:cs="Arial"/>
          <w:b/>
          <w:bCs/>
          <w:color w:val="202124"/>
          <w:sz w:val="24"/>
          <w:szCs w:val="24"/>
          <w:lang w:eastAsia="en-AU"/>
        </w:rPr>
        <w:t>Russia's Ukraine conflict, big inflation report will keep the stock market volatile in coming week</w:t>
      </w:r>
      <w:r w:rsidRPr="00623DA8">
        <w:rPr>
          <w:rFonts w:ascii="Arial" w:eastAsia="Times New Roman" w:hAnsi="Arial" w:cs="Arial"/>
          <w:color w:val="202124"/>
          <w:sz w:val="24"/>
          <w:szCs w:val="24"/>
          <w:lang w:eastAsia="en-AU"/>
        </w:rPr>
        <w:t>. Russia's invasion of Ukraine will continue to dominate markets in the week ahead, as oil and other commodities react to supply concerns</w:t>
      </w:r>
    </w:p>
    <w:p w14:paraId="4FA14D9F" w14:textId="7477027A" w:rsidR="00623DA8" w:rsidRPr="008B7B56" w:rsidRDefault="00623DA8" w:rsidP="00BC5802">
      <w:pPr>
        <w:rPr>
          <w:rFonts w:ascii="Arial" w:hAnsi="Arial" w:cs="Arial"/>
          <w:sz w:val="24"/>
          <w:szCs w:val="24"/>
        </w:rPr>
      </w:pPr>
    </w:p>
    <w:p w14:paraId="14A709F2" w14:textId="574D343F" w:rsidR="00B82DE5" w:rsidRPr="008B7B56" w:rsidRDefault="00B82DE5" w:rsidP="00BC5802">
      <w:pPr>
        <w:rPr>
          <w:rFonts w:ascii="Arial" w:hAnsi="Arial" w:cs="Arial"/>
          <w:sz w:val="24"/>
          <w:szCs w:val="24"/>
        </w:rPr>
      </w:pPr>
      <w:hyperlink r:id="rId4" w:history="1">
        <w:r w:rsidRPr="008B7B56">
          <w:rPr>
            <w:rStyle w:val="Hyperlink"/>
            <w:rFonts w:ascii="Arial" w:hAnsi="Arial" w:cs="Arial"/>
            <w:sz w:val="24"/>
            <w:szCs w:val="24"/>
          </w:rPr>
          <w:t>https://www.bloomberg.com/news/articles/2022-03-02/no-corner-of-u-s-stock-market-left-untouched-by-war-in-ukraine</w:t>
        </w:r>
      </w:hyperlink>
    </w:p>
    <w:p w14:paraId="776E7BF3" w14:textId="77FD435C" w:rsidR="00B82DE5" w:rsidRPr="008B7B56" w:rsidRDefault="00B82DE5" w:rsidP="00BC5802">
      <w:pPr>
        <w:rPr>
          <w:rFonts w:ascii="Arial" w:hAnsi="Arial" w:cs="Arial"/>
          <w:sz w:val="24"/>
          <w:szCs w:val="24"/>
        </w:rPr>
      </w:pPr>
      <w:r w:rsidRPr="008B7B56">
        <w:rPr>
          <w:rFonts w:ascii="Arial" w:hAnsi="Arial" w:cs="Arial"/>
          <w:color w:val="000000"/>
          <w:sz w:val="24"/>
          <w:szCs w:val="24"/>
          <w:shd w:val="clear" w:color="auto" w:fill="FFFFFF"/>
        </w:rPr>
        <w:t>From tech companies to banks to cruise-ship operators, virtually no corner of the U.S. stock market has been left untouched by Russia’s invasion of Ukraine.</w:t>
      </w:r>
    </w:p>
    <w:p w14:paraId="1A0D7399" w14:textId="77777777" w:rsidR="00B82DE5" w:rsidRPr="008B7B56" w:rsidRDefault="00B82DE5" w:rsidP="00B82DE5">
      <w:pPr>
        <w:pStyle w:val="NormalWeb"/>
        <w:shd w:val="clear" w:color="auto" w:fill="FFFFFF"/>
        <w:spacing w:before="0" w:beforeAutospacing="0" w:after="0" w:afterAutospacing="0"/>
        <w:textAlignment w:val="baseline"/>
        <w:rPr>
          <w:rFonts w:ascii="Arial" w:hAnsi="Arial" w:cs="Arial"/>
          <w:color w:val="000000"/>
        </w:rPr>
      </w:pPr>
      <w:r w:rsidRPr="008B7B56">
        <w:rPr>
          <w:rFonts w:ascii="Arial" w:hAnsi="Arial" w:cs="Arial"/>
          <w:color w:val="000000"/>
        </w:rPr>
        <w:t>The reasons are numerous. Oil prices have surged, boosting energy companies while threatening to fuel inflation already at a four-decade high. The conflict is casting uncertainty over the outlook for global economic growth even as </w:t>
      </w:r>
      <w:hyperlink r:id="rId5" w:tooltip="Company Overview" w:history="1">
        <w:r w:rsidRPr="008B7B56">
          <w:rPr>
            <w:rStyle w:val="Hyperlink"/>
            <w:rFonts w:ascii="Arial" w:hAnsi="Arial" w:cs="Arial"/>
            <w:color w:val="000000"/>
            <w:bdr w:val="none" w:sz="0" w:space="0" w:color="auto" w:frame="1"/>
          </w:rPr>
          <w:t>Federal Reserve</w:t>
        </w:r>
      </w:hyperlink>
      <w:r w:rsidRPr="008B7B56">
        <w:rPr>
          <w:rFonts w:ascii="Arial" w:hAnsi="Arial" w:cs="Arial"/>
          <w:color w:val="000000"/>
        </w:rPr>
        <w:t> Chair Jerome Powell says the bank </w:t>
      </w:r>
      <w:hyperlink r:id="rId6" w:tgtFrame="_blank" w:tooltip="Powell Backs Quarter-Point March Rate Hike, Open to Bigger Moves" w:history="1">
        <w:r w:rsidRPr="008B7B56">
          <w:rPr>
            <w:rStyle w:val="Hyperlink"/>
            <w:rFonts w:ascii="Arial" w:hAnsi="Arial" w:cs="Arial"/>
            <w:color w:val="000000"/>
            <w:bdr w:val="none" w:sz="0" w:space="0" w:color="auto" w:frame="1"/>
          </w:rPr>
          <w:t>is poised</w:t>
        </w:r>
      </w:hyperlink>
      <w:r w:rsidRPr="008B7B56">
        <w:rPr>
          <w:rFonts w:ascii="Arial" w:hAnsi="Arial" w:cs="Arial"/>
          <w:color w:val="000000"/>
        </w:rPr>
        <w:t> to start raising interest rates this month. And volatility has surged as money-managers rush in and out of havens and industries like utilities and communication-service providers that are seen as relatively insulated from the latest risks. </w:t>
      </w:r>
    </w:p>
    <w:p w14:paraId="7F0D2900" w14:textId="0F5353B1" w:rsidR="00B82DE5" w:rsidRPr="008B7B56" w:rsidRDefault="00B82DE5" w:rsidP="00BC5802">
      <w:pPr>
        <w:rPr>
          <w:rFonts w:ascii="Arial" w:hAnsi="Arial" w:cs="Arial"/>
          <w:sz w:val="24"/>
          <w:szCs w:val="24"/>
        </w:rPr>
      </w:pPr>
    </w:p>
    <w:p w14:paraId="773A73B5" w14:textId="77777777" w:rsidR="00B82DE5" w:rsidRPr="00B82DE5" w:rsidRDefault="00B82DE5" w:rsidP="00B82DE5">
      <w:pPr>
        <w:shd w:val="clear" w:color="auto" w:fill="FFFFFF"/>
        <w:spacing w:before="185" w:after="185" w:line="240" w:lineRule="auto"/>
        <w:textAlignment w:val="baseline"/>
        <w:outlineLvl w:val="2"/>
        <w:rPr>
          <w:rFonts w:ascii="Arial" w:eastAsia="Times New Roman" w:hAnsi="Arial" w:cs="Arial"/>
          <w:b/>
          <w:bCs/>
          <w:color w:val="000000"/>
          <w:sz w:val="24"/>
          <w:szCs w:val="24"/>
          <w:lang w:eastAsia="en-AU"/>
        </w:rPr>
      </w:pPr>
      <w:r w:rsidRPr="00B82DE5">
        <w:rPr>
          <w:rFonts w:ascii="Arial" w:eastAsia="Times New Roman" w:hAnsi="Arial" w:cs="Arial"/>
          <w:b/>
          <w:bCs/>
          <w:color w:val="000000"/>
          <w:sz w:val="24"/>
          <w:szCs w:val="24"/>
          <w:lang w:eastAsia="en-AU"/>
        </w:rPr>
        <w:t>Wild Ride</w:t>
      </w:r>
    </w:p>
    <w:p w14:paraId="1875D008" w14:textId="44098FD2" w:rsidR="00B82DE5" w:rsidRPr="008B7B56" w:rsidRDefault="00B82DE5"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r w:rsidRPr="00B82DE5">
        <w:rPr>
          <w:rFonts w:ascii="Arial" w:eastAsia="Times New Roman" w:hAnsi="Arial" w:cs="Arial"/>
          <w:color w:val="000000"/>
          <w:sz w:val="24"/>
          <w:szCs w:val="24"/>
          <w:lang w:eastAsia="en-AU"/>
        </w:rPr>
        <w:t xml:space="preserve">One of the most volatile segments of the market has been tech stocks, whose valuations are highly sensitive to higher interest </w:t>
      </w:r>
      <w:proofErr w:type="gramStart"/>
      <w:r w:rsidRPr="00B82DE5">
        <w:rPr>
          <w:rFonts w:ascii="Arial" w:eastAsia="Times New Roman" w:hAnsi="Arial" w:cs="Arial"/>
          <w:color w:val="000000"/>
          <w:sz w:val="24"/>
          <w:szCs w:val="24"/>
          <w:lang w:eastAsia="en-AU"/>
        </w:rPr>
        <w:t>rates</w:t>
      </w:r>
      <w:proofErr w:type="gramEnd"/>
      <w:r w:rsidRPr="00B82DE5">
        <w:rPr>
          <w:rFonts w:ascii="Arial" w:eastAsia="Times New Roman" w:hAnsi="Arial" w:cs="Arial"/>
          <w:color w:val="000000"/>
          <w:sz w:val="24"/>
          <w:szCs w:val="24"/>
          <w:lang w:eastAsia="en-AU"/>
        </w:rPr>
        <w:t xml:space="preserve"> and which serve as a gauge of risk-taking sentiment. The Nasdaq 100 Index’s average intraday swing over the last 30 days has climbed to nearly 3%, its highest since May 2020, early in the pandemic. </w:t>
      </w:r>
    </w:p>
    <w:p w14:paraId="3DDF39E4" w14:textId="37EB023C" w:rsidR="00B82DE5" w:rsidRPr="008B7B56" w:rsidRDefault="00B82DE5"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r w:rsidRPr="008B7B56">
        <w:rPr>
          <w:rFonts w:ascii="Arial" w:hAnsi="Arial" w:cs="Arial"/>
          <w:noProof/>
          <w:sz w:val="24"/>
          <w:szCs w:val="24"/>
        </w:rPr>
        <w:lastRenderedPageBreak/>
        <w:drawing>
          <wp:inline distT="0" distB="0" distL="0" distR="0" wp14:anchorId="31E6B5A6" wp14:editId="6447F766">
            <wp:extent cx="9777730" cy="5501005"/>
            <wp:effectExtent l="0" t="0" r="0" b="4445"/>
            <wp:docPr id="1" name="Picture 1" descr="Tech stocks have seen their average trading range balloon to the largest sinc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stocks have seen their average trading range balloon to the largest since 2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7730" cy="5501005"/>
                    </a:xfrm>
                    <a:prstGeom prst="rect">
                      <a:avLst/>
                    </a:prstGeom>
                    <a:noFill/>
                    <a:ln>
                      <a:noFill/>
                    </a:ln>
                  </pic:spPr>
                </pic:pic>
              </a:graphicData>
            </a:graphic>
          </wp:inline>
        </w:drawing>
      </w:r>
    </w:p>
    <w:p w14:paraId="4DC18D24" w14:textId="3D224FA2" w:rsidR="00B82DE5" w:rsidRPr="008B7B56" w:rsidRDefault="00B82DE5"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p>
    <w:p w14:paraId="2640D31E" w14:textId="77777777" w:rsidR="00B82DE5" w:rsidRPr="00B82DE5" w:rsidRDefault="00B82DE5" w:rsidP="00B82DE5">
      <w:pPr>
        <w:shd w:val="clear" w:color="auto" w:fill="FFFFFF"/>
        <w:spacing w:before="185" w:after="185" w:line="240" w:lineRule="auto"/>
        <w:textAlignment w:val="baseline"/>
        <w:outlineLvl w:val="2"/>
        <w:rPr>
          <w:rFonts w:ascii="Arial" w:eastAsia="Times New Roman" w:hAnsi="Arial" w:cs="Arial"/>
          <w:b/>
          <w:bCs/>
          <w:color w:val="000000"/>
          <w:sz w:val="24"/>
          <w:szCs w:val="24"/>
          <w:lang w:eastAsia="en-AU"/>
        </w:rPr>
      </w:pPr>
      <w:r w:rsidRPr="00B82DE5">
        <w:rPr>
          <w:rFonts w:ascii="Arial" w:eastAsia="Times New Roman" w:hAnsi="Arial" w:cs="Arial"/>
          <w:b/>
          <w:bCs/>
          <w:color w:val="000000"/>
          <w:sz w:val="24"/>
          <w:szCs w:val="24"/>
          <w:lang w:eastAsia="en-AU"/>
        </w:rPr>
        <w:t>Volatility Rises</w:t>
      </w:r>
    </w:p>
    <w:p w14:paraId="1FEFEB82" w14:textId="77777777" w:rsidR="00B82DE5" w:rsidRPr="00B82DE5" w:rsidRDefault="00B82DE5"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r w:rsidRPr="00B82DE5">
        <w:rPr>
          <w:rFonts w:ascii="Arial" w:eastAsia="Times New Roman" w:hAnsi="Arial" w:cs="Arial"/>
          <w:color w:val="000000"/>
          <w:sz w:val="24"/>
          <w:szCs w:val="24"/>
          <w:lang w:eastAsia="en-AU"/>
        </w:rPr>
        <w:lastRenderedPageBreak/>
        <w:t>Even so, stocks are still down deeply this year as the war exaggerates already existing pressures. That briefly pushed the S&amp;P 500 Index into correction territory -- or a drop of at least 10% from the peak -- for the first time since the coronavirus pandemic rocked markets in early 2020. The benchmark has since pared some of the drop and is down about 8.6% from the record high on Jan. 3. But that’s still the worst start to a year since 2009.</w:t>
      </w:r>
    </w:p>
    <w:p w14:paraId="522AAA40" w14:textId="735AE7FF" w:rsidR="00B82DE5" w:rsidRPr="00B82DE5" w:rsidRDefault="00B82DE5" w:rsidP="00B82DE5">
      <w:pPr>
        <w:spacing w:after="0" w:line="240" w:lineRule="auto"/>
        <w:textAlignment w:val="baseline"/>
        <w:rPr>
          <w:rFonts w:ascii="Arial" w:eastAsia="Times New Roman" w:hAnsi="Arial" w:cs="Arial"/>
          <w:sz w:val="24"/>
          <w:szCs w:val="24"/>
          <w:lang w:eastAsia="en-AU"/>
        </w:rPr>
      </w:pPr>
      <w:r w:rsidRPr="008B7B56">
        <w:rPr>
          <w:rFonts w:ascii="Arial" w:eastAsia="Times New Roman" w:hAnsi="Arial" w:cs="Arial"/>
          <w:noProof/>
          <w:sz w:val="24"/>
          <w:szCs w:val="24"/>
          <w:lang w:eastAsia="en-AU"/>
        </w:rPr>
        <w:drawing>
          <wp:inline distT="0" distB="0" distL="0" distR="0" wp14:anchorId="15F655A8" wp14:editId="21F5F23E">
            <wp:extent cx="5908040" cy="3315970"/>
            <wp:effectExtent l="0" t="0" r="0" b="0"/>
            <wp:docPr id="2" name="Picture 2" descr="S&amp;P 500 whipsaws in and out of correction territory amid war in Uk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P 500 whipsaws in and out of correction territory amid war in Ukra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3315970"/>
                    </a:xfrm>
                    <a:prstGeom prst="rect">
                      <a:avLst/>
                    </a:prstGeom>
                    <a:noFill/>
                    <a:ln>
                      <a:noFill/>
                    </a:ln>
                  </pic:spPr>
                </pic:pic>
              </a:graphicData>
            </a:graphic>
          </wp:inline>
        </w:drawing>
      </w:r>
    </w:p>
    <w:p w14:paraId="6855CE98" w14:textId="76028BCE" w:rsidR="00B82DE5" w:rsidRPr="008B7B56" w:rsidRDefault="00B82DE5"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p>
    <w:p w14:paraId="5ABA63CE" w14:textId="281C78EC" w:rsidR="002E0737" w:rsidRPr="008B7B56" w:rsidRDefault="002E0737" w:rsidP="00B82DE5">
      <w:pPr>
        <w:shd w:val="clear" w:color="auto" w:fill="FFFFFF"/>
        <w:spacing w:before="360" w:after="360" w:line="240" w:lineRule="auto"/>
        <w:textAlignment w:val="baseline"/>
        <w:rPr>
          <w:rFonts w:ascii="Arial" w:hAnsi="Arial" w:cs="Arial"/>
          <w:color w:val="202124"/>
          <w:sz w:val="24"/>
          <w:szCs w:val="24"/>
          <w:shd w:val="clear" w:color="auto" w:fill="FFFFFF"/>
        </w:rPr>
      </w:pPr>
      <w:r w:rsidRPr="008B7B56">
        <w:rPr>
          <w:rFonts w:ascii="Arial" w:hAnsi="Arial" w:cs="Arial"/>
          <w:b/>
          <w:bCs/>
          <w:color w:val="202124"/>
          <w:sz w:val="24"/>
          <w:szCs w:val="24"/>
          <w:shd w:val="clear" w:color="auto" w:fill="FFFFFF"/>
        </w:rPr>
        <w:t>The inverse occurs when GDP falls, leading to less spending by businesses and consumers, which drives the markets lower</w:t>
      </w:r>
      <w:r w:rsidRPr="008B7B56">
        <w:rPr>
          <w:rFonts w:ascii="Arial" w:hAnsi="Arial" w:cs="Arial"/>
          <w:color w:val="202124"/>
          <w:sz w:val="24"/>
          <w:szCs w:val="24"/>
          <w:shd w:val="clear" w:color="auto" w:fill="FFFFFF"/>
        </w:rPr>
        <w:t xml:space="preserve">; however, whether it's a bull market or bear market, the stock market has some level of impact, albeit indirectly, on GDP and the </w:t>
      </w:r>
      <w:proofErr w:type="gramStart"/>
      <w:r w:rsidRPr="008B7B56">
        <w:rPr>
          <w:rFonts w:ascii="Arial" w:hAnsi="Arial" w:cs="Arial"/>
          <w:color w:val="202124"/>
          <w:sz w:val="24"/>
          <w:szCs w:val="24"/>
          <w:shd w:val="clear" w:color="auto" w:fill="FFFFFF"/>
        </w:rPr>
        <w:t>economy as a whole</w:t>
      </w:r>
      <w:proofErr w:type="gramEnd"/>
      <w:r w:rsidRPr="008B7B56">
        <w:rPr>
          <w:rFonts w:ascii="Arial" w:hAnsi="Arial" w:cs="Arial"/>
          <w:color w:val="202124"/>
          <w:sz w:val="24"/>
          <w:szCs w:val="24"/>
          <w:shd w:val="clear" w:color="auto" w:fill="FFFFFF"/>
        </w:rPr>
        <w:t>.</w:t>
      </w:r>
    </w:p>
    <w:p w14:paraId="6757AADB" w14:textId="29428B72" w:rsidR="008B4751" w:rsidRPr="008B7B56" w:rsidRDefault="008B4751" w:rsidP="00B82DE5">
      <w:pPr>
        <w:shd w:val="clear" w:color="auto" w:fill="FFFFFF"/>
        <w:spacing w:before="360" w:after="360" w:line="240" w:lineRule="auto"/>
        <w:textAlignment w:val="baseline"/>
        <w:rPr>
          <w:rFonts w:ascii="Arial" w:hAnsi="Arial" w:cs="Arial"/>
          <w:color w:val="202124"/>
          <w:sz w:val="24"/>
          <w:szCs w:val="24"/>
          <w:shd w:val="clear" w:color="auto" w:fill="FFFFFF"/>
        </w:rPr>
      </w:pPr>
    </w:p>
    <w:p w14:paraId="78EC5FDD" w14:textId="30D5598F" w:rsidR="008B4751" w:rsidRPr="008B7B56" w:rsidRDefault="008B4751"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r w:rsidRPr="008B7B56">
        <w:rPr>
          <w:rFonts w:ascii="Arial" w:eastAsia="Times New Roman" w:hAnsi="Arial" w:cs="Arial"/>
          <w:color w:val="000000"/>
          <w:sz w:val="24"/>
          <w:szCs w:val="24"/>
          <w:lang w:eastAsia="en-AU"/>
        </w:rPr>
        <w:lastRenderedPageBreak/>
        <w:drawing>
          <wp:inline distT="0" distB="0" distL="0" distR="0" wp14:anchorId="5BD91A6D" wp14:editId="32D7C0FC">
            <wp:extent cx="9507277" cy="4706007"/>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9507277" cy="4706007"/>
                    </a:xfrm>
                    <a:prstGeom prst="rect">
                      <a:avLst/>
                    </a:prstGeom>
                  </pic:spPr>
                </pic:pic>
              </a:graphicData>
            </a:graphic>
          </wp:inline>
        </w:drawing>
      </w:r>
      <w:r w:rsidRPr="008B7B56">
        <w:rPr>
          <w:rFonts w:ascii="Arial" w:eastAsia="Times New Roman" w:hAnsi="Arial" w:cs="Arial"/>
          <w:color w:val="000000"/>
          <w:sz w:val="24"/>
          <w:szCs w:val="24"/>
          <w:lang w:eastAsia="en-AU"/>
        </w:rPr>
        <w:t>https://www.msci.com/documents/10199/a134c5d5-dca0-420d-875d-06adb948f578</w:t>
      </w:r>
    </w:p>
    <w:p w14:paraId="03D9912E" w14:textId="4CA3371A" w:rsidR="008B4751" w:rsidRPr="008B7B56" w:rsidRDefault="008B4751"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p>
    <w:p w14:paraId="2C85AC6D" w14:textId="5232A3EB" w:rsidR="008B4751" w:rsidRPr="008B7B56" w:rsidRDefault="008B4751" w:rsidP="00B82DE5">
      <w:pPr>
        <w:shd w:val="clear" w:color="auto" w:fill="FFFFFF"/>
        <w:spacing w:before="360" w:after="360" w:line="240" w:lineRule="auto"/>
        <w:textAlignment w:val="baseline"/>
        <w:rPr>
          <w:rFonts w:ascii="Arial" w:hAnsi="Arial" w:cs="Arial"/>
          <w:sz w:val="24"/>
          <w:szCs w:val="24"/>
        </w:rPr>
      </w:pPr>
      <w:bookmarkStart w:id="2" w:name="_Hlk99313090"/>
      <w:r w:rsidRPr="008B7B56">
        <w:rPr>
          <w:rFonts w:ascii="Arial" w:hAnsi="Arial" w:cs="Arial"/>
          <w:sz w:val="24"/>
          <w:szCs w:val="24"/>
        </w:rPr>
        <w:t xml:space="preserve">If we further assume that: </w:t>
      </w:r>
      <w:r w:rsidRPr="008B7B56">
        <w:rPr>
          <w:rFonts w:ascii="Arial" w:hAnsi="Arial" w:cs="Arial"/>
          <w:sz w:val="24"/>
          <w:szCs w:val="24"/>
        </w:rPr>
        <w:sym w:font="Symbol" w:char="F0A7"/>
      </w:r>
      <w:r w:rsidRPr="008B7B56">
        <w:rPr>
          <w:rFonts w:ascii="Arial" w:hAnsi="Arial" w:cs="Arial"/>
          <w:sz w:val="24"/>
          <w:szCs w:val="24"/>
        </w:rPr>
        <w:t xml:space="preserve"> the share of company profits in the total economy remains constant; </w:t>
      </w:r>
      <w:r w:rsidRPr="008B7B56">
        <w:rPr>
          <w:rFonts w:ascii="Arial" w:hAnsi="Arial" w:cs="Arial"/>
          <w:sz w:val="24"/>
          <w:szCs w:val="24"/>
        </w:rPr>
        <w:sym w:font="Symbol" w:char="F0A7"/>
      </w:r>
      <w:r w:rsidRPr="008B7B56">
        <w:rPr>
          <w:rFonts w:ascii="Arial" w:hAnsi="Arial" w:cs="Arial"/>
          <w:sz w:val="24"/>
          <w:szCs w:val="24"/>
        </w:rPr>
        <w:t xml:space="preserve"> investors have a claim on a constant proportion of those profits; </w:t>
      </w:r>
      <w:r w:rsidRPr="008B7B56">
        <w:rPr>
          <w:rFonts w:ascii="Arial" w:hAnsi="Arial" w:cs="Arial"/>
          <w:sz w:val="24"/>
          <w:szCs w:val="24"/>
        </w:rPr>
        <w:sym w:font="Symbol" w:char="F0A7"/>
      </w:r>
      <w:r w:rsidRPr="008B7B56">
        <w:rPr>
          <w:rFonts w:ascii="Arial" w:hAnsi="Arial" w:cs="Arial"/>
          <w:sz w:val="24"/>
          <w:szCs w:val="24"/>
        </w:rPr>
        <w:t xml:space="preserve"> valuation ratios are constant; </w:t>
      </w:r>
      <w:r w:rsidRPr="008B7B56">
        <w:rPr>
          <w:rFonts w:ascii="Arial" w:hAnsi="Arial" w:cs="Arial"/>
          <w:sz w:val="24"/>
          <w:szCs w:val="24"/>
        </w:rPr>
        <w:sym w:font="Symbol" w:char="F0A7"/>
      </w:r>
      <w:r w:rsidRPr="008B7B56">
        <w:rPr>
          <w:rFonts w:ascii="Arial" w:hAnsi="Arial" w:cs="Arial"/>
          <w:sz w:val="24"/>
          <w:szCs w:val="24"/>
        </w:rPr>
        <w:t xml:space="preserve"> the country’s stock market only lists domestic companies; </w:t>
      </w:r>
      <w:r w:rsidRPr="008B7B56">
        <w:rPr>
          <w:rFonts w:ascii="Arial" w:hAnsi="Arial" w:cs="Arial"/>
          <w:sz w:val="24"/>
          <w:szCs w:val="24"/>
        </w:rPr>
        <w:sym w:font="Symbol" w:char="F0A7"/>
      </w:r>
      <w:r w:rsidRPr="008B7B56">
        <w:rPr>
          <w:rFonts w:ascii="Arial" w:hAnsi="Arial" w:cs="Arial"/>
          <w:sz w:val="24"/>
          <w:szCs w:val="24"/>
        </w:rPr>
        <w:t xml:space="preserve"> the country’s economy is closed, then we would expect an exact match between real price increase and real GDP growth. This theory is simple and makes intuitive sense. But is it true in practice? Several studies (Dimson et al. [2002], Ritter [2005]) have examined whether countries with higher long-run real GDP growth also had higher long-run real stock market return. The surprising result was contrary to expectations -- the correlation between stock returns and economic growth across countries can be negative! Our own analysis confirms this empirical finding: Exhibit 1 plots stock returns </w:t>
      </w:r>
      <w:bookmarkEnd w:id="2"/>
      <w:r w:rsidRPr="008B7B56">
        <w:rPr>
          <w:rFonts w:ascii="Arial" w:hAnsi="Arial" w:cs="Arial"/>
          <w:sz w:val="24"/>
          <w:szCs w:val="24"/>
        </w:rPr>
        <w:lastRenderedPageBreak/>
        <w:t xml:space="preserve">versus GDP growth for eight developed markets between 1958 and 2008 </w:t>
      </w:r>
      <w:proofErr w:type="gramStart"/>
      <w:r w:rsidRPr="008B7B56">
        <w:rPr>
          <w:rFonts w:ascii="Arial" w:hAnsi="Arial" w:cs="Arial"/>
          <w:sz w:val="24"/>
          <w:szCs w:val="24"/>
        </w:rPr>
        <w:t>and also</w:t>
      </w:r>
      <w:proofErr w:type="gramEnd"/>
      <w:r w:rsidRPr="008B7B56">
        <w:rPr>
          <w:rFonts w:ascii="Arial" w:hAnsi="Arial" w:cs="Arial"/>
          <w:sz w:val="24"/>
          <w:szCs w:val="24"/>
        </w:rPr>
        <w:t xml:space="preserve"> shows negative correlation. Note, however, that these tests are dependent on the starting and ending point of the period </w:t>
      </w:r>
      <w:proofErr w:type="spellStart"/>
      <w:r w:rsidRPr="008B7B56">
        <w:rPr>
          <w:rFonts w:ascii="Arial" w:hAnsi="Arial" w:cs="Arial"/>
          <w:sz w:val="24"/>
          <w:szCs w:val="24"/>
        </w:rPr>
        <w:t>analyzed</w:t>
      </w:r>
      <w:proofErr w:type="spellEnd"/>
      <w:r w:rsidRPr="008B7B56">
        <w:rPr>
          <w:rFonts w:ascii="Arial" w:hAnsi="Arial" w:cs="Arial"/>
          <w:sz w:val="24"/>
          <w:szCs w:val="24"/>
        </w:rPr>
        <w:t>; by changing the period by only one year to 1958-2007, we get very different results (although the observed correlation in this example is still negative). For example, the annualized return for Belgium is changed from 1.7% to -0.5%.</w:t>
      </w:r>
    </w:p>
    <w:p w14:paraId="7BC75C24" w14:textId="2A26BA5B" w:rsidR="008C00A1" w:rsidRPr="008B7B56" w:rsidRDefault="008C00A1" w:rsidP="00B82DE5">
      <w:pPr>
        <w:shd w:val="clear" w:color="auto" w:fill="FFFFFF"/>
        <w:spacing w:before="360" w:after="360" w:line="240" w:lineRule="auto"/>
        <w:textAlignment w:val="baseline"/>
        <w:rPr>
          <w:rFonts w:ascii="Arial" w:hAnsi="Arial" w:cs="Arial"/>
          <w:sz w:val="24"/>
          <w:szCs w:val="24"/>
        </w:rPr>
      </w:pPr>
    </w:p>
    <w:p w14:paraId="2AC7F07A" w14:textId="070FC128" w:rsidR="008C00A1" w:rsidRPr="00B82DE5" w:rsidRDefault="008C00A1" w:rsidP="00B82DE5">
      <w:pPr>
        <w:shd w:val="clear" w:color="auto" w:fill="FFFFFF"/>
        <w:spacing w:before="360" w:after="360" w:line="240" w:lineRule="auto"/>
        <w:textAlignment w:val="baseline"/>
        <w:rPr>
          <w:rFonts w:ascii="Arial" w:eastAsia="Times New Roman" w:hAnsi="Arial" w:cs="Arial"/>
          <w:color w:val="000000"/>
          <w:sz w:val="24"/>
          <w:szCs w:val="24"/>
          <w:lang w:eastAsia="en-AU"/>
        </w:rPr>
      </w:pPr>
      <w:r w:rsidRPr="008B7B56">
        <w:rPr>
          <w:rFonts w:ascii="Arial" w:eastAsia="Times New Roman" w:hAnsi="Arial" w:cs="Arial"/>
          <w:color w:val="000000"/>
          <w:sz w:val="24"/>
          <w:szCs w:val="24"/>
          <w:lang w:eastAsia="en-AU"/>
        </w:rPr>
        <w:lastRenderedPageBreak/>
        <w:drawing>
          <wp:inline distT="0" distB="0" distL="0" distR="0" wp14:anchorId="0271E1F8" wp14:editId="65F690AD">
            <wp:extent cx="9288171" cy="5449060"/>
            <wp:effectExtent l="0" t="0" r="825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9288171" cy="5449060"/>
                    </a:xfrm>
                    <a:prstGeom prst="rect">
                      <a:avLst/>
                    </a:prstGeom>
                  </pic:spPr>
                </pic:pic>
              </a:graphicData>
            </a:graphic>
          </wp:inline>
        </w:drawing>
      </w:r>
    </w:p>
    <w:p w14:paraId="0ABE5A7D" w14:textId="107BB7A7" w:rsidR="00B82DE5" w:rsidRPr="008B7B56" w:rsidRDefault="00B82DE5" w:rsidP="00BC5802">
      <w:pPr>
        <w:rPr>
          <w:rFonts w:ascii="Arial" w:hAnsi="Arial" w:cs="Arial"/>
          <w:sz w:val="24"/>
          <w:szCs w:val="24"/>
        </w:rPr>
      </w:pPr>
    </w:p>
    <w:p w14:paraId="75413823" w14:textId="7EF2BE28" w:rsidR="002F359A" w:rsidRPr="008B7B56" w:rsidRDefault="002F359A" w:rsidP="002F359A">
      <w:pPr>
        <w:pStyle w:val="Title"/>
        <w:jc w:val="center"/>
        <w:rPr>
          <w:rFonts w:ascii="Arial" w:hAnsi="Arial" w:cs="Arial"/>
          <w:b/>
          <w:color w:val="5B9BD5" w:themeColor="accent5"/>
          <w:spacing w:val="0"/>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B7B56">
        <w:rPr>
          <w:rFonts w:ascii="Arial" w:hAnsi="Arial" w:cs="Arial"/>
          <w:b/>
          <w:color w:val="5B9BD5" w:themeColor="accent5"/>
          <w:spacing w:val="0"/>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Things contribute to </w:t>
      </w:r>
      <w:proofErr w:type="spellStart"/>
      <w:r w:rsidRPr="008B7B56">
        <w:rPr>
          <w:rFonts w:ascii="Arial" w:hAnsi="Arial" w:cs="Arial"/>
          <w:b/>
          <w:color w:val="5B9BD5" w:themeColor="accent5"/>
          <w:spacing w:val="0"/>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shareprice</w:t>
      </w:r>
      <w:proofErr w:type="spellEnd"/>
    </w:p>
    <w:p w14:paraId="41760495" w14:textId="679AB24D" w:rsidR="002F359A" w:rsidRPr="008B7B56" w:rsidRDefault="002F359A" w:rsidP="002F359A">
      <w:pPr>
        <w:rPr>
          <w:rFonts w:ascii="Arial" w:hAnsi="Arial" w:cs="Arial"/>
          <w:sz w:val="24"/>
          <w:szCs w:val="24"/>
        </w:rPr>
      </w:pPr>
    </w:p>
    <w:p w14:paraId="566B5039" w14:textId="77777777" w:rsidR="002F359A" w:rsidRPr="008B7B56" w:rsidRDefault="002F359A" w:rsidP="002F359A">
      <w:pPr>
        <w:pStyle w:val="NormalWeb"/>
        <w:shd w:val="clear" w:color="auto" w:fill="FFFFFF"/>
        <w:rPr>
          <w:rFonts w:ascii="Arial" w:hAnsi="Arial" w:cs="Arial"/>
          <w:color w:val="000000"/>
        </w:rPr>
      </w:pPr>
      <w:bookmarkStart w:id="3" w:name="_Hlk99313433"/>
      <w:r w:rsidRPr="008B7B56">
        <w:rPr>
          <w:rFonts w:ascii="Arial" w:hAnsi="Arial" w:cs="Arial"/>
          <w:color w:val="000000"/>
        </w:rPr>
        <w:lastRenderedPageBreak/>
        <w:t>Fluctuations in the prices of financial assets in the stock market can sometimes seem to be inconsistent with what is happening in the rest of the economy – what’s sometimes referred to as the ‘real economy’.</w:t>
      </w:r>
    </w:p>
    <w:p w14:paraId="6DF16D33" w14:textId="77777777" w:rsidR="002F359A" w:rsidRPr="008B7B56" w:rsidRDefault="002F359A" w:rsidP="002F359A">
      <w:pPr>
        <w:pStyle w:val="NormalWeb"/>
        <w:shd w:val="clear" w:color="auto" w:fill="FFFFFF"/>
        <w:spacing w:before="0" w:after="0"/>
        <w:rPr>
          <w:rFonts w:ascii="Arial" w:hAnsi="Arial" w:cs="Arial"/>
          <w:color w:val="000000"/>
        </w:rPr>
      </w:pPr>
      <w:r w:rsidRPr="008B7B56">
        <w:rPr>
          <w:rFonts w:ascii="Arial" w:hAnsi="Arial" w:cs="Arial"/>
          <w:color w:val="000000"/>
        </w:rPr>
        <w:t>For example, in 2020, US GDP fell by 3.5% – the largest contraction since the end of the Second World War (</w:t>
      </w:r>
      <w:hyperlink r:id="rId11" w:tgtFrame="_blank" w:history="1">
        <w:r w:rsidRPr="008B7B56">
          <w:rPr>
            <w:rStyle w:val="Hyperlink"/>
            <w:rFonts w:ascii="Arial" w:hAnsi="Arial" w:cs="Arial"/>
          </w:rPr>
          <w:t>Furman and Powell, 2021</w:t>
        </w:r>
      </w:hyperlink>
      <w:r w:rsidRPr="008B7B56">
        <w:rPr>
          <w:rFonts w:ascii="Arial" w:hAnsi="Arial" w:cs="Arial"/>
          <w:color w:val="000000"/>
        </w:rPr>
        <w:t>). But the S&amp;P 500 – a weighted index used to measure the US stock market – increased substantially during this period, more than recovering any temporary losses and ending the year 15% higher than its pre-pandemic level.</w:t>
      </w:r>
    </w:p>
    <w:p w14:paraId="61F73D34" w14:textId="46444BE2" w:rsidR="002F359A" w:rsidRPr="008B7B56" w:rsidRDefault="002F359A" w:rsidP="002F359A">
      <w:pPr>
        <w:pStyle w:val="NormalWeb"/>
        <w:shd w:val="clear" w:color="auto" w:fill="FFFFFF"/>
        <w:rPr>
          <w:rFonts w:ascii="Arial" w:hAnsi="Arial" w:cs="Arial"/>
          <w:color w:val="000000"/>
        </w:rPr>
      </w:pPr>
      <w:r w:rsidRPr="008B7B56">
        <w:rPr>
          <w:rFonts w:ascii="Arial" w:hAnsi="Arial" w:cs="Arial"/>
          <w:color w:val="000000"/>
        </w:rPr>
        <w:t>How do we explain this apparent disconnect?</w:t>
      </w:r>
    </w:p>
    <w:bookmarkStart w:id="4" w:name="_Hlk99308902"/>
    <w:bookmarkEnd w:id="3"/>
    <w:p w14:paraId="452001CE" w14:textId="6F0356FE" w:rsidR="002F359A" w:rsidRPr="008B7B56" w:rsidRDefault="002F359A" w:rsidP="002F359A">
      <w:pPr>
        <w:pStyle w:val="NormalWeb"/>
        <w:shd w:val="clear" w:color="auto" w:fill="FFFFFF"/>
        <w:rPr>
          <w:rFonts w:ascii="Arial" w:hAnsi="Arial" w:cs="Arial"/>
          <w:color w:val="000000"/>
        </w:rPr>
      </w:pPr>
      <w:r w:rsidRPr="008B7B56">
        <w:rPr>
          <w:rFonts w:ascii="Arial" w:hAnsi="Arial" w:cs="Arial"/>
          <w:color w:val="000000"/>
        </w:rPr>
        <w:fldChar w:fldCharType="begin"/>
      </w:r>
      <w:r w:rsidRPr="008B7B56">
        <w:rPr>
          <w:rFonts w:ascii="Arial" w:hAnsi="Arial" w:cs="Arial"/>
          <w:color w:val="000000"/>
        </w:rPr>
        <w:instrText xml:space="preserve"> HYPERLINK "</w:instrText>
      </w:r>
      <w:r w:rsidRPr="008B7B56">
        <w:rPr>
          <w:rFonts w:ascii="Arial" w:hAnsi="Arial" w:cs="Arial"/>
          <w:color w:val="000000"/>
        </w:rPr>
        <w:instrText>https://www.economicsobservatory.com/does-the-stock-market-reflect-the-economy</w:instrText>
      </w:r>
      <w:r w:rsidRPr="008B7B56">
        <w:rPr>
          <w:rFonts w:ascii="Arial" w:hAnsi="Arial" w:cs="Arial"/>
          <w:color w:val="000000"/>
        </w:rPr>
        <w:instrText xml:space="preserve">" </w:instrText>
      </w:r>
      <w:r w:rsidRPr="008B7B56">
        <w:rPr>
          <w:rFonts w:ascii="Arial" w:hAnsi="Arial" w:cs="Arial"/>
          <w:color w:val="000000"/>
        </w:rPr>
        <w:fldChar w:fldCharType="separate"/>
      </w:r>
      <w:r w:rsidRPr="008B7B56">
        <w:rPr>
          <w:rStyle w:val="Hyperlink"/>
          <w:rFonts w:ascii="Arial" w:hAnsi="Arial" w:cs="Arial"/>
        </w:rPr>
        <w:t>https://www.economi</w:t>
      </w:r>
      <w:r w:rsidRPr="008B7B56">
        <w:rPr>
          <w:rStyle w:val="Hyperlink"/>
          <w:rFonts w:ascii="Arial" w:hAnsi="Arial" w:cs="Arial"/>
        </w:rPr>
        <w:t>c</w:t>
      </w:r>
      <w:r w:rsidRPr="008B7B56">
        <w:rPr>
          <w:rStyle w:val="Hyperlink"/>
          <w:rFonts w:ascii="Arial" w:hAnsi="Arial" w:cs="Arial"/>
        </w:rPr>
        <w:t>sobservatory.com/does-the-stock-market-reflect-the-economy</w:t>
      </w:r>
      <w:r w:rsidRPr="008B7B56">
        <w:rPr>
          <w:rFonts w:ascii="Arial" w:hAnsi="Arial" w:cs="Arial"/>
          <w:color w:val="000000"/>
        </w:rPr>
        <w:fldChar w:fldCharType="end"/>
      </w:r>
    </w:p>
    <w:p w14:paraId="5B1E788E" w14:textId="2D8073CD" w:rsidR="002F359A" w:rsidRPr="008B7B56" w:rsidRDefault="002F359A" w:rsidP="002F359A">
      <w:pPr>
        <w:pStyle w:val="NormalWeb"/>
        <w:shd w:val="clear" w:color="auto" w:fill="FFFFFF"/>
        <w:rPr>
          <w:rFonts w:ascii="Arial" w:hAnsi="Arial" w:cs="Arial"/>
          <w:color w:val="000000"/>
        </w:rPr>
      </w:pPr>
      <w:bookmarkStart w:id="5" w:name="_Hlk99313463"/>
      <w:bookmarkEnd w:id="4"/>
      <w:r w:rsidRPr="008B7B56">
        <w:rPr>
          <w:rFonts w:ascii="Arial" w:hAnsi="Arial" w:cs="Arial"/>
          <w:color w:val="000000"/>
        </w:rPr>
        <w:t>The market value of a company should reflect how much cash investors believe the firm will make in the future. If changes in the broader economy are likely to affect company performance, then this should lead to changes in share prices. But it is important to emphasise that investors will consider not only what is happening now, but also what is likely to occur in the future.</w:t>
      </w:r>
    </w:p>
    <w:p w14:paraId="3B03B9E0" w14:textId="77777777" w:rsidR="002F359A" w:rsidRPr="008B7B56" w:rsidRDefault="002F359A" w:rsidP="002F359A">
      <w:pPr>
        <w:pStyle w:val="NormalWeb"/>
        <w:shd w:val="clear" w:color="auto" w:fill="FFFFFF"/>
        <w:rPr>
          <w:rFonts w:ascii="Arial" w:hAnsi="Arial" w:cs="Arial"/>
          <w:color w:val="000000"/>
        </w:rPr>
      </w:pPr>
      <w:r w:rsidRPr="008B7B56">
        <w:rPr>
          <w:rFonts w:ascii="Arial" w:hAnsi="Arial" w:cs="Arial"/>
          <w:color w:val="000000"/>
        </w:rPr>
        <w:t xml:space="preserve">Research has shown that a considerable proportion of the variation in share prices can be explained by key economic variables such as industrial production, </w:t>
      </w:r>
      <w:proofErr w:type="gramStart"/>
      <w:r w:rsidRPr="008B7B56">
        <w:rPr>
          <w:rFonts w:ascii="Arial" w:hAnsi="Arial" w:cs="Arial"/>
          <w:color w:val="000000"/>
        </w:rPr>
        <w:t>inflation</w:t>
      </w:r>
      <w:proofErr w:type="gramEnd"/>
      <w:r w:rsidRPr="008B7B56">
        <w:rPr>
          <w:rFonts w:ascii="Arial" w:hAnsi="Arial" w:cs="Arial"/>
          <w:color w:val="000000"/>
        </w:rPr>
        <w:t xml:space="preserve"> and interest rates, as well as changes in the dividends that companies pay to shareholders (Cutler et al, 1988). The evidence suggests that expectations about future changes in the economy play an important role in current pricing, although there may be some feedback effects involved, as changes in the stock market may </w:t>
      </w:r>
      <w:proofErr w:type="gramStart"/>
      <w:r w:rsidRPr="008B7B56">
        <w:rPr>
          <w:rFonts w:ascii="Arial" w:hAnsi="Arial" w:cs="Arial"/>
          <w:color w:val="000000"/>
        </w:rPr>
        <w:t>actually cause</w:t>
      </w:r>
      <w:proofErr w:type="gramEnd"/>
      <w:r w:rsidRPr="008B7B56">
        <w:rPr>
          <w:rFonts w:ascii="Arial" w:hAnsi="Arial" w:cs="Arial"/>
          <w:color w:val="000000"/>
        </w:rPr>
        <w:t xml:space="preserve"> changes in the wider economy.</w:t>
      </w:r>
    </w:p>
    <w:p w14:paraId="18FE9B7F" w14:textId="77777777" w:rsidR="002F359A" w:rsidRPr="008B7B56" w:rsidRDefault="002F359A" w:rsidP="002F359A">
      <w:pPr>
        <w:pStyle w:val="NormalWeb"/>
        <w:shd w:val="clear" w:color="auto" w:fill="FFFFFF"/>
        <w:rPr>
          <w:rFonts w:ascii="Arial" w:hAnsi="Arial" w:cs="Arial"/>
          <w:color w:val="000000"/>
        </w:rPr>
      </w:pPr>
    </w:p>
    <w:p w14:paraId="7AA017CC" w14:textId="77777777" w:rsidR="002F359A" w:rsidRPr="008B7B56" w:rsidRDefault="002F359A" w:rsidP="002F359A">
      <w:pPr>
        <w:pStyle w:val="NormalWeb"/>
        <w:shd w:val="clear" w:color="auto" w:fill="FFFFFF"/>
        <w:rPr>
          <w:rFonts w:ascii="Arial" w:hAnsi="Arial" w:cs="Arial"/>
          <w:color w:val="000000"/>
        </w:rPr>
      </w:pPr>
      <w:r w:rsidRPr="008B7B56">
        <w:rPr>
          <w:rFonts w:ascii="Arial" w:hAnsi="Arial" w:cs="Arial"/>
          <w:color w:val="000000"/>
        </w:rPr>
        <w:t>But it has been has argued that share prices fluctuate more than they should – they exhibit ‘excess volatility’ (Shiller, 1981). What this means is that asset prices fluctuate more than is justified by changes to the fundamental characteristics of the underlying companies, which suggests that share prices may not always predict accurately what will happen in the future.</w:t>
      </w:r>
    </w:p>
    <w:p w14:paraId="6ABDE3F2" w14:textId="77777777" w:rsidR="002F359A" w:rsidRPr="008B7B56" w:rsidRDefault="002F359A" w:rsidP="002F359A">
      <w:pPr>
        <w:pStyle w:val="NormalWeb"/>
        <w:shd w:val="clear" w:color="auto" w:fill="FFFFFF"/>
        <w:rPr>
          <w:rFonts w:ascii="Arial" w:hAnsi="Arial" w:cs="Arial"/>
          <w:color w:val="000000"/>
        </w:rPr>
      </w:pPr>
    </w:p>
    <w:p w14:paraId="1B879CB3" w14:textId="6B6AE790" w:rsidR="002F359A" w:rsidRPr="008B7B56" w:rsidRDefault="002F359A" w:rsidP="002F359A">
      <w:pPr>
        <w:pStyle w:val="NormalWeb"/>
        <w:shd w:val="clear" w:color="auto" w:fill="FFFFFF"/>
        <w:rPr>
          <w:rFonts w:ascii="Arial" w:hAnsi="Arial" w:cs="Arial"/>
          <w:color w:val="000000"/>
        </w:rPr>
      </w:pPr>
      <w:r w:rsidRPr="008B7B56">
        <w:rPr>
          <w:rFonts w:ascii="Arial" w:hAnsi="Arial" w:cs="Arial"/>
          <w:color w:val="000000"/>
        </w:rPr>
        <w:t>Prices are also affected by changes in the interest rate that is used to ‘discount’ future cash flows (Cochrane, 2011). Again, this means that prices may not necessarily reflect only predictions about company growth.</w:t>
      </w:r>
    </w:p>
    <w:p w14:paraId="34B71C93" w14:textId="55D90E6B" w:rsidR="002F359A" w:rsidRPr="008B7B56" w:rsidRDefault="002F359A" w:rsidP="002F359A">
      <w:pPr>
        <w:rPr>
          <w:rFonts w:ascii="Arial" w:hAnsi="Arial" w:cs="Arial"/>
          <w:sz w:val="24"/>
          <w:szCs w:val="24"/>
        </w:rPr>
      </w:pPr>
    </w:p>
    <w:bookmarkEnd w:id="5"/>
    <w:p w14:paraId="030AF4D1" w14:textId="0F547C3D" w:rsidR="00B8153C" w:rsidRPr="008B7B56" w:rsidRDefault="00B8153C" w:rsidP="002F359A">
      <w:pPr>
        <w:rPr>
          <w:rFonts w:ascii="Arial" w:hAnsi="Arial" w:cs="Arial"/>
          <w:sz w:val="24"/>
          <w:szCs w:val="24"/>
        </w:rPr>
      </w:pPr>
      <w:r w:rsidRPr="008B7B56">
        <w:rPr>
          <w:rFonts w:ascii="Arial" w:hAnsi="Arial" w:cs="Arial"/>
          <w:sz w:val="24"/>
          <w:szCs w:val="24"/>
        </w:rPr>
        <w:lastRenderedPageBreak/>
        <w:drawing>
          <wp:inline distT="0" distB="0" distL="0" distR="0" wp14:anchorId="7AD44DAC" wp14:editId="38577C9E">
            <wp:extent cx="9777730" cy="553275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9777730" cy="5532755"/>
                    </a:xfrm>
                    <a:prstGeom prst="rect">
                      <a:avLst/>
                    </a:prstGeom>
                  </pic:spPr>
                </pic:pic>
              </a:graphicData>
            </a:graphic>
          </wp:inline>
        </w:drawing>
      </w:r>
    </w:p>
    <w:p w14:paraId="372EE489" w14:textId="7807AB65" w:rsidR="00B8153C" w:rsidRPr="008B7B56" w:rsidRDefault="00B8153C" w:rsidP="002F359A">
      <w:pPr>
        <w:rPr>
          <w:rFonts w:ascii="Arial" w:hAnsi="Arial" w:cs="Arial"/>
          <w:sz w:val="24"/>
          <w:szCs w:val="24"/>
        </w:rPr>
      </w:pPr>
      <w:r w:rsidRPr="008B7B56">
        <w:rPr>
          <w:rFonts w:ascii="Arial" w:hAnsi="Arial" w:cs="Arial"/>
          <w:sz w:val="24"/>
          <w:szCs w:val="24"/>
        </w:rPr>
        <w:t xml:space="preserve">Gross domestic product (GDP), the featured measure of U.S. output, is the market value of the goods and services produced by </w:t>
      </w:r>
      <w:proofErr w:type="spellStart"/>
      <w:r w:rsidRPr="008B7B56">
        <w:rPr>
          <w:rFonts w:ascii="Arial" w:hAnsi="Arial" w:cs="Arial"/>
          <w:sz w:val="24"/>
          <w:szCs w:val="24"/>
        </w:rPr>
        <w:t>labor</w:t>
      </w:r>
      <w:proofErr w:type="spellEnd"/>
      <w:r w:rsidRPr="008B7B56">
        <w:rPr>
          <w:rFonts w:ascii="Arial" w:hAnsi="Arial" w:cs="Arial"/>
          <w:sz w:val="24"/>
          <w:szCs w:val="24"/>
        </w:rPr>
        <w:t xml:space="preserve"> and property located in the United </w:t>
      </w:r>
      <w:proofErr w:type="spellStart"/>
      <w:r w:rsidRPr="008B7B56">
        <w:rPr>
          <w:rFonts w:ascii="Arial" w:hAnsi="Arial" w:cs="Arial"/>
          <w:sz w:val="24"/>
          <w:szCs w:val="24"/>
        </w:rPr>
        <w:t>States.For</w:t>
      </w:r>
      <w:proofErr w:type="spellEnd"/>
      <w:r w:rsidRPr="008B7B56">
        <w:rPr>
          <w:rFonts w:ascii="Arial" w:hAnsi="Arial" w:cs="Arial"/>
          <w:sz w:val="24"/>
          <w:szCs w:val="24"/>
        </w:rPr>
        <w:t xml:space="preserve"> more information, see the Guide to the National Income and Product Accounts of the United States (NIPA) and the Bureau of Economic Analysis.</w:t>
      </w:r>
    </w:p>
    <w:p w14:paraId="59472F63" w14:textId="1AF1BFCF" w:rsidR="00B8153C" w:rsidRPr="008B7B56" w:rsidRDefault="00B8153C" w:rsidP="002F359A">
      <w:pPr>
        <w:rPr>
          <w:rFonts w:ascii="Arial" w:hAnsi="Arial" w:cs="Arial"/>
          <w:sz w:val="24"/>
          <w:szCs w:val="24"/>
        </w:rPr>
      </w:pPr>
    </w:p>
    <w:p w14:paraId="47582FAE" w14:textId="25CD75CF" w:rsidR="00B8153C" w:rsidRPr="008B7B56" w:rsidRDefault="00B8153C" w:rsidP="002F359A">
      <w:pPr>
        <w:rPr>
          <w:rFonts w:ascii="Arial" w:hAnsi="Arial" w:cs="Arial"/>
          <w:noProof/>
          <w:sz w:val="24"/>
          <w:szCs w:val="24"/>
        </w:rPr>
      </w:pPr>
    </w:p>
    <w:p w14:paraId="562D498F" w14:textId="3AE7EEF7" w:rsidR="004451A6" w:rsidRPr="008B7B56" w:rsidRDefault="004451A6" w:rsidP="002F359A">
      <w:pPr>
        <w:rPr>
          <w:rFonts w:ascii="Arial" w:hAnsi="Arial" w:cs="Arial"/>
          <w:noProof/>
          <w:sz w:val="24"/>
          <w:szCs w:val="24"/>
        </w:rPr>
      </w:pPr>
    </w:p>
    <w:p w14:paraId="6EC75A29" w14:textId="6F79886A" w:rsidR="004451A6" w:rsidRPr="008B7B56" w:rsidRDefault="004451A6" w:rsidP="002F359A">
      <w:pPr>
        <w:rPr>
          <w:rFonts w:ascii="Arial" w:hAnsi="Arial" w:cs="Arial"/>
          <w:sz w:val="24"/>
          <w:szCs w:val="24"/>
        </w:rPr>
      </w:pPr>
      <w:r w:rsidRPr="008B7B56">
        <w:rPr>
          <w:rFonts w:ascii="Arial" w:hAnsi="Arial" w:cs="Arial"/>
          <w:sz w:val="24"/>
          <w:szCs w:val="24"/>
        </w:rPr>
        <w:drawing>
          <wp:inline distT="0" distB="0" distL="0" distR="0" wp14:anchorId="4A9936CE" wp14:editId="72D84FC7">
            <wp:extent cx="8049748" cy="4867954"/>
            <wp:effectExtent l="0" t="0" r="889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8049748" cy="4867954"/>
                    </a:xfrm>
                    <a:prstGeom prst="rect">
                      <a:avLst/>
                    </a:prstGeom>
                  </pic:spPr>
                </pic:pic>
              </a:graphicData>
            </a:graphic>
          </wp:inline>
        </w:drawing>
      </w:r>
    </w:p>
    <w:bookmarkStart w:id="6" w:name="_Hlk99308914"/>
    <w:p w14:paraId="247345EB" w14:textId="42308588" w:rsidR="004451A6" w:rsidRPr="008B7B56" w:rsidRDefault="00AA230C" w:rsidP="002F359A">
      <w:pPr>
        <w:rPr>
          <w:rFonts w:ascii="Arial" w:hAnsi="Arial" w:cs="Arial"/>
          <w:sz w:val="24"/>
          <w:szCs w:val="24"/>
        </w:rPr>
      </w:pPr>
      <w:r w:rsidRPr="008B7B56">
        <w:rPr>
          <w:rFonts w:ascii="Arial" w:hAnsi="Arial" w:cs="Arial"/>
          <w:sz w:val="24"/>
          <w:szCs w:val="24"/>
        </w:rPr>
        <w:fldChar w:fldCharType="begin"/>
      </w:r>
      <w:r w:rsidRPr="008B7B56">
        <w:rPr>
          <w:rFonts w:ascii="Arial" w:hAnsi="Arial" w:cs="Arial"/>
          <w:sz w:val="24"/>
          <w:szCs w:val="24"/>
        </w:rPr>
        <w:instrText xml:space="preserve"> HYPERLINK "</w:instrText>
      </w:r>
      <w:r w:rsidRPr="008B7B56">
        <w:rPr>
          <w:rFonts w:ascii="Arial" w:hAnsi="Arial" w:cs="Arial"/>
          <w:sz w:val="24"/>
          <w:szCs w:val="24"/>
        </w:rPr>
        <w:instrText>https://www.rbcgam.com/en/ca/learn-plan/investment-basics/whats-the-relationship-between-the-stock-market-and-the-economy/detail</w:instrText>
      </w:r>
      <w:r w:rsidRPr="008B7B56">
        <w:rPr>
          <w:rFonts w:ascii="Arial" w:hAnsi="Arial" w:cs="Arial"/>
          <w:sz w:val="24"/>
          <w:szCs w:val="24"/>
        </w:rPr>
        <w:instrText xml:space="preserve">" </w:instrText>
      </w:r>
      <w:r w:rsidRPr="008B7B56">
        <w:rPr>
          <w:rFonts w:ascii="Arial" w:hAnsi="Arial" w:cs="Arial"/>
          <w:sz w:val="24"/>
          <w:szCs w:val="24"/>
        </w:rPr>
        <w:fldChar w:fldCharType="separate"/>
      </w:r>
      <w:r w:rsidRPr="008B7B56">
        <w:rPr>
          <w:rStyle w:val="Hyperlink"/>
          <w:rFonts w:ascii="Arial" w:hAnsi="Arial" w:cs="Arial"/>
          <w:sz w:val="24"/>
          <w:szCs w:val="24"/>
        </w:rPr>
        <w:t>https://www.rbcgam.com/en/ca/learn-plan/investment-basics/whats-the-relationship-between-the-stock-market-and-the-economy/detail</w:t>
      </w:r>
      <w:r w:rsidRPr="008B7B56">
        <w:rPr>
          <w:rFonts w:ascii="Arial" w:hAnsi="Arial" w:cs="Arial"/>
          <w:sz w:val="24"/>
          <w:szCs w:val="24"/>
        </w:rPr>
        <w:fldChar w:fldCharType="end"/>
      </w:r>
    </w:p>
    <w:p w14:paraId="5B0D3E44" w14:textId="5A7F910A" w:rsidR="00AA230C" w:rsidRPr="008B7B56" w:rsidRDefault="00AA230C" w:rsidP="002F359A">
      <w:pPr>
        <w:rPr>
          <w:rFonts w:ascii="Arial" w:hAnsi="Arial" w:cs="Arial"/>
          <w:sz w:val="24"/>
          <w:szCs w:val="24"/>
        </w:rPr>
      </w:pPr>
    </w:p>
    <w:p w14:paraId="6AEC1648" w14:textId="4EE73A8E" w:rsidR="00AA230C" w:rsidRPr="008B7B56" w:rsidRDefault="00AA230C" w:rsidP="002F359A">
      <w:pPr>
        <w:rPr>
          <w:rFonts w:ascii="Arial" w:hAnsi="Arial" w:cs="Arial"/>
          <w:sz w:val="24"/>
          <w:szCs w:val="24"/>
        </w:rPr>
      </w:pPr>
      <w:hyperlink r:id="rId14" w:history="1">
        <w:r w:rsidRPr="008B7B56">
          <w:rPr>
            <w:rStyle w:val="Hyperlink"/>
            <w:rFonts w:ascii="Arial" w:hAnsi="Arial" w:cs="Arial"/>
            <w:sz w:val="24"/>
            <w:szCs w:val="24"/>
          </w:rPr>
          <w:t>https://www.macrotrends.net/2526/sp-500-historical-annual-returns</w:t>
        </w:r>
      </w:hyperlink>
    </w:p>
    <w:p w14:paraId="457887A8" w14:textId="287B67B2" w:rsidR="00D41FF6" w:rsidRPr="008B7B56" w:rsidRDefault="00D41FF6" w:rsidP="00AA230C">
      <w:pPr>
        <w:pStyle w:val="Heading1"/>
        <w:shd w:val="clear" w:color="auto" w:fill="FFFFFF"/>
        <w:spacing w:before="150" w:after="225"/>
        <w:rPr>
          <w:rFonts w:ascii="Arial" w:hAnsi="Arial" w:cs="Arial"/>
          <w:color w:val="444444"/>
          <w:sz w:val="24"/>
          <w:szCs w:val="24"/>
        </w:rPr>
      </w:pPr>
      <w:bookmarkStart w:id="7" w:name="_Hlk99308923"/>
      <w:bookmarkEnd w:id="6"/>
      <w:r w:rsidRPr="008B7B56">
        <w:rPr>
          <w:rFonts w:ascii="Arial" w:hAnsi="Arial" w:cs="Arial"/>
          <w:color w:val="444444"/>
          <w:sz w:val="24"/>
          <w:szCs w:val="24"/>
        </w:rPr>
        <w:lastRenderedPageBreak/>
        <w:t>https://www.macrotrends.net/2526/sp-500-historical-annual-returns</w:t>
      </w:r>
    </w:p>
    <w:bookmarkEnd w:id="7"/>
    <w:p w14:paraId="1F7D1511" w14:textId="551298B0" w:rsidR="00AA230C" w:rsidRPr="008B7B56" w:rsidRDefault="00AA230C" w:rsidP="00AA230C">
      <w:pPr>
        <w:pStyle w:val="Heading1"/>
        <w:shd w:val="clear" w:color="auto" w:fill="FFFFFF"/>
        <w:spacing w:before="150" w:after="225"/>
        <w:rPr>
          <w:rFonts w:ascii="Arial" w:hAnsi="Arial" w:cs="Arial"/>
          <w:color w:val="444444"/>
          <w:sz w:val="24"/>
          <w:szCs w:val="24"/>
        </w:rPr>
      </w:pPr>
      <w:r w:rsidRPr="008B7B56">
        <w:rPr>
          <w:rFonts w:ascii="Arial" w:hAnsi="Arial" w:cs="Arial"/>
          <w:color w:val="444444"/>
          <w:sz w:val="24"/>
          <w:szCs w:val="24"/>
        </w:rPr>
        <w:t>S&amp;P 500 Historical Annual Returns</w:t>
      </w:r>
    </w:p>
    <w:p w14:paraId="41E654CB" w14:textId="2494B0EB" w:rsidR="00AA230C" w:rsidRPr="008B7B56" w:rsidRDefault="00D41FF6" w:rsidP="002F359A">
      <w:pPr>
        <w:rPr>
          <w:rFonts w:ascii="Arial" w:hAnsi="Arial" w:cs="Arial"/>
          <w:sz w:val="24"/>
          <w:szCs w:val="24"/>
        </w:rPr>
      </w:pPr>
      <w:hyperlink r:id="rId15" w:history="1">
        <w:r w:rsidRPr="008B7B56">
          <w:rPr>
            <w:rStyle w:val="Hyperlink"/>
            <w:rFonts w:ascii="Arial" w:hAnsi="Arial" w:cs="Arial"/>
            <w:sz w:val="24"/>
            <w:szCs w:val="24"/>
          </w:rPr>
          <w:t>https://fred.s</w:t>
        </w:r>
        <w:r w:rsidRPr="008B7B56">
          <w:rPr>
            <w:rStyle w:val="Hyperlink"/>
            <w:rFonts w:ascii="Arial" w:hAnsi="Arial" w:cs="Arial"/>
            <w:sz w:val="24"/>
            <w:szCs w:val="24"/>
          </w:rPr>
          <w:t>t</w:t>
        </w:r>
        <w:r w:rsidRPr="008B7B56">
          <w:rPr>
            <w:rStyle w:val="Hyperlink"/>
            <w:rFonts w:ascii="Arial" w:hAnsi="Arial" w:cs="Arial"/>
            <w:sz w:val="24"/>
            <w:szCs w:val="24"/>
          </w:rPr>
          <w:t>louisfed.org/graph/?g=oCZ</w:t>
        </w:r>
      </w:hyperlink>
    </w:p>
    <w:p w14:paraId="16038C2C" w14:textId="29AC6104" w:rsidR="00D41FF6" w:rsidRPr="008B7B56" w:rsidRDefault="00D41FF6" w:rsidP="002F359A">
      <w:pPr>
        <w:rPr>
          <w:rFonts w:ascii="Arial" w:hAnsi="Arial" w:cs="Arial"/>
          <w:sz w:val="24"/>
          <w:szCs w:val="24"/>
        </w:rPr>
      </w:pPr>
      <w:r w:rsidRPr="008B7B56">
        <w:rPr>
          <w:rFonts w:ascii="Arial" w:hAnsi="Arial" w:cs="Arial"/>
          <w:b/>
          <w:bCs/>
          <w:color w:val="333333"/>
          <w:sz w:val="24"/>
          <w:szCs w:val="24"/>
          <w:shd w:val="clear" w:color="auto" w:fill="F2F4DF"/>
        </w:rPr>
        <w:t>S&amp;P 500 / Gross Domestic Product</w:t>
      </w:r>
    </w:p>
    <w:p w14:paraId="0B1837F7" w14:textId="2FEF578B" w:rsidR="002F359A" w:rsidRPr="008B7B56" w:rsidRDefault="002F359A" w:rsidP="00BC5802">
      <w:pPr>
        <w:rPr>
          <w:rFonts w:ascii="Arial" w:hAnsi="Arial" w:cs="Arial"/>
          <w:sz w:val="24"/>
          <w:szCs w:val="24"/>
        </w:rPr>
      </w:pPr>
    </w:p>
    <w:p w14:paraId="0BFE45AB" w14:textId="34C36041" w:rsidR="0015184E" w:rsidRPr="008B7B56" w:rsidRDefault="0015184E" w:rsidP="00BC5802">
      <w:pPr>
        <w:rPr>
          <w:rFonts w:ascii="Arial" w:hAnsi="Arial" w:cs="Arial"/>
          <w:sz w:val="24"/>
          <w:szCs w:val="24"/>
        </w:rPr>
      </w:pPr>
    </w:p>
    <w:p w14:paraId="46505AC1" w14:textId="195CD1B1" w:rsidR="0015184E" w:rsidRPr="008B7B56" w:rsidRDefault="0015184E" w:rsidP="00BC5802">
      <w:pPr>
        <w:rPr>
          <w:rFonts w:ascii="Arial" w:hAnsi="Arial" w:cs="Arial"/>
          <w:sz w:val="24"/>
          <w:szCs w:val="24"/>
        </w:rPr>
      </w:pPr>
      <w:hyperlink r:id="rId16" w:history="1">
        <w:r w:rsidRPr="008B7B56">
          <w:rPr>
            <w:rStyle w:val="Hyperlink"/>
            <w:rFonts w:ascii="Arial" w:hAnsi="Arial" w:cs="Arial"/>
            <w:sz w:val="24"/>
            <w:szCs w:val="24"/>
            <w:highlight w:val="yellow"/>
          </w:rPr>
          <w:t>https://advisor.visualcapitalist.com/wall-street-vs-main-street-the-stock-market-is-not-the-economy/</w:t>
        </w:r>
      </w:hyperlink>
    </w:p>
    <w:p w14:paraId="616DA23A" w14:textId="18E5329E" w:rsidR="0015184E" w:rsidRPr="008B7B56" w:rsidRDefault="0015184E" w:rsidP="00BC5802">
      <w:pPr>
        <w:rPr>
          <w:rFonts w:ascii="Arial" w:hAnsi="Arial" w:cs="Arial"/>
          <w:sz w:val="24"/>
          <w:szCs w:val="24"/>
        </w:rPr>
      </w:pPr>
    </w:p>
    <w:p w14:paraId="78C076D7" w14:textId="77777777" w:rsidR="0015184E" w:rsidRPr="008B7B56" w:rsidRDefault="0015184E" w:rsidP="0015184E">
      <w:pPr>
        <w:pStyle w:val="Heading2"/>
        <w:shd w:val="clear" w:color="auto" w:fill="FFFFFF"/>
        <w:spacing w:before="150" w:after="150"/>
        <w:textAlignment w:val="baseline"/>
        <w:rPr>
          <w:rFonts w:ascii="Arial" w:hAnsi="Arial" w:cs="Arial"/>
          <w:color w:val="000000"/>
          <w:spacing w:val="-5"/>
          <w:sz w:val="24"/>
          <w:szCs w:val="24"/>
        </w:rPr>
      </w:pPr>
      <w:r w:rsidRPr="008B7B56">
        <w:rPr>
          <w:rFonts w:ascii="Arial" w:hAnsi="Arial" w:cs="Arial"/>
          <w:color w:val="000000"/>
          <w:spacing w:val="-5"/>
          <w:sz w:val="24"/>
          <w:szCs w:val="24"/>
        </w:rPr>
        <w:t>GDP Growth and S&amp;P 500 Returns</w:t>
      </w:r>
    </w:p>
    <w:p w14:paraId="0A9C1BA2" w14:textId="77777777" w:rsidR="0015184E" w:rsidRPr="008B7B56" w:rsidRDefault="0015184E" w:rsidP="0015184E">
      <w:pPr>
        <w:pStyle w:val="NormalWeb"/>
        <w:shd w:val="clear" w:color="auto" w:fill="FFFFFF"/>
        <w:spacing w:before="0" w:beforeAutospacing="0" w:after="0" w:afterAutospacing="0"/>
        <w:textAlignment w:val="baseline"/>
        <w:rPr>
          <w:rFonts w:ascii="Arial" w:hAnsi="Arial" w:cs="Arial"/>
          <w:color w:val="000000"/>
        </w:rPr>
      </w:pPr>
      <w:r w:rsidRPr="008B7B56">
        <w:rPr>
          <w:rFonts w:ascii="Arial" w:hAnsi="Arial" w:cs="Arial"/>
          <w:color w:val="000000"/>
        </w:rPr>
        <w:t>Here’s how annual GDP growth and </w:t>
      </w:r>
      <w:hyperlink r:id="rId17" w:tgtFrame="_blank" w:history="1">
        <w:r w:rsidRPr="008B7B56">
          <w:rPr>
            <w:rStyle w:val="Hyperlink"/>
            <w:rFonts w:ascii="Arial" w:hAnsi="Arial" w:cs="Arial"/>
            <w:color w:val="000000"/>
            <w:bdr w:val="none" w:sz="0" w:space="0" w:color="auto" w:frame="1"/>
          </w:rPr>
          <w:t>S&amp;P 500 Index</w:t>
        </w:r>
      </w:hyperlink>
      <w:r w:rsidRPr="008B7B56">
        <w:rPr>
          <w:rFonts w:ascii="Arial" w:hAnsi="Arial" w:cs="Arial"/>
          <w:color w:val="000000"/>
        </w:rPr>
        <w:t> returns stack up from 1980 to the second quarter of 2021. Both metrics are net of inflation.</w:t>
      </w:r>
    </w:p>
    <w:tbl>
      <w:tblPr>
        <w:tblW w:w="12300" w:type="dxa"/>
        <w:tblCellMar>
          <w:left w:w="0" w:type="dxa"/>
          <w:right w:w="0" w:type="dxa"/>
        </w:tblCellMar>
        <w:tblLook w:val="04A0" w:firstRow="1" w:lastRow="0" w:firstColumn="1" w:lastColumn="0" w:noHBand="0" w:noVBand="1"/>
      </w:tblPr>
      <w:tblGrid>
        <w:gridCol w:w="1891"/>
        <w:gridCol w:w="4572"/>
        <w:gridCol w:w="5837"/>
      </w:tblGrid>
      <w:tr w:rsidR="0015184E" w:rsidRPr="008B7B56" w14:paraId="4D50A9CC" w14:textId="77777777" w:rsidTr="0015184E">
        <w:trPr>
          <w:tblHeader/>
        </w:trPr>
        <w:tc>
          <w:tcPr>
            <w:tcW w:w="1891" w:type="dxa"/>
            <w:tcBorders>
              <w:top w:val="nil"/>
              <w:left w:val="nil"/>
              <w:bottom w:val="single" w:sz="6" w:space="0" w:color="DDDDDD"/>
              <w:right w:val="nil"/>
            </w:tcBorders>
            <w:shd w:val="clear" w:color="auto" w:fill="D9EDF7"/>
            <w:tcMar>
              <w:top w:w="75" w:type="dxa"/>
              <w:left w:w="184" w:type="dxa"/>
              <w:bottom w:w="75" w:type="dxa"/>
              <w:right w:w="184" w:type="dxa"/>
            </w:tcMar>
            <w:vAlign w:val="center"/>
            <w:hideMark/>
          </w:tcPr>
          <w:p w14:paraId="21DCBD57" w14:textId="77777777" w:rsidR="0015184E" w:rsidRPr="008B7B56" w:rsidRDefault="0015184E">
            <w:pPr>
              <w:rPr>
                <w:rFonts w:ascii="Arial" w:hAnsi="Arial" w:cs="Arial"/>
                <w:b/>
                <w:bCs/>
                <w:sz w:val="24"/>
                <w:szCs w:val="24"/>
              </w:rPr>
            </w:pPr>
            <w:r w:rsidRPr="008B7B56">
              <w:rPr>
                <w:rFonts w:ascii="Arial" w:hAnsi="Arial" w:cs="Arial"/>
                <w:b/>
                <w:bCs/>
                <w:sz w:val="24"/>
                <w:szCs w:val="24"/>
              </w:rPr>
              <w:t>Year</w:t>
            </w:r>
          </w:p>
        </w:tc>
        <w:tc>
          <w:tcPr>
            <w:tcW w:w="4572" w:type="dxa"/>
            <w:tcBorders>
              <w:top w:val="nil"/>
              <w:left w:val="nil"/>
              <w:bottom w:val="single" w:sz="6" w:space="0" w:color="DDDDDD"/>
              <w:right w:val="nil"/>
            </w:tcBorders>
            <w:shd w:val="clear" w:color="auto" w:fill="D9EDF7"/>
            <w:tcMar>
              <w:top w:w="75" w:type="dxa"/>
              <w:left w:w="184" w:type="dxa"/>
              <w:bottom w:w="75" w:type="dxa"/>
              <w:right w:w="184" w:type="dxa"/>
            </w:tcMar>
            <w:vAlign w:val="center"/>
            <w:hideMark/>
          </w:tcPr>
          <w:p w14:paraId="2C5881E2" w14:textId="77777777" w:rsidR="0015184E" w:rsidRPr="008B7B56" w:rsidRDefault="0015184E">
            <w:pPr>
              <w:rPr>
                <w:rFonts w:ascii="Arial" w:hAnsi="Arial" w:cs="Arial"/>
                <w:b/>
                <w:bCs/>
                <w:sz w:val="24"/>
                <w:szCs w:val="24"/>
              </w:rPr>
            </w:pPr>
            <w:r w:rsidRPr="008B7B56">
              <w:rPr>
                <w:rFonts w:ascii="Arial" w:hAnsi="Arial" w:cs="Arial"/>
                <w:b/>
                <w:bCs/>
                <w:sz w:val="24"/>
                <w:szCs w:val="24"/>
              </w:rPr>
              <w:t>Real GDP Growth</w:t>
            </w:r>
          </w:p>
        </w:tc>
        <w:tc>
          <w:tcPr>
            <w:tcW w:w="5837" w:type="dxa"/>
            <w:tcBorders>
              <w:top w:val="nil"/>
              <w:left w:val="nil"/>
              <w:bottom w:val="single" w:sz="6" w:space="0" w:color="DDDDDD"/>
              <w:right w:val="nil"/>
            </w:tcBorders>
            <w:shd w:val="clear" w:color="auto" w:fill="D9EDF7"/>
            <w:tcMar>
              <w:top w:w="75" w:type="dxa"/>
              <w:left w:w="184" w:type="dxa"/>
              <w:bottom w:w="75" w:type="dxa"/>
              <w:right w:w="184" w:type="dxa"/>
            </w:tcMar>
            <w:vAlign w:val="center"/>
            <w:hideMark/>
          </w:tcPr>
          <w:p w14:paraId="5A7B7552" w14:textId="77777777" w:rsidR="0015184E" w:rsidRPr="008B7B56" w:rsidRDefault="0015184E">
            <w:pPr>
              <w:rPr>
                <w:rFonts w:ascii="Arial" w:hAnsi="Arial" w:cs="Arial"/>
                <w:b/>
                <w:bCs/>
                <w:sz w:val="24"/>
                <w:szCs w:val="24"/>
              </w:rPr>
            </w:pPr>
            <w:r w:rsidRPr="008B7B56">
              <w:rPr>
                <w:rFonts w:ascii="Arial" w:hAnsi="Arial" w:cs="Arial"/>
                <w:b/>
                <w:bCs/>
                <w:sz w:val="24"/>
                <w:szCs w:val="24"/>
              </w:rPr>
              <w:t>Real S&amp;P 500 Returns</w:t>
            </w:r>
          </w:p>
        </w:tc>
      </w:tr>
      <w:tr w:rsidR="0015184E" w:rsidRPr="008B7B56" w14:paraId="77618999" w14:textId="77777777" w:rsidTr="0015184E">
        <w:tc>
          <w:tcPr>
            <w:tcW w:w="0" w:type="auto"/>
            <w:tcBorders>
              <w:top w:val="nil"/>
              <w:left w:val="nil"/>
              <w:bottom w:val="nil"/>
              <w:right w:val="nil"/>
            </w:tcBorders>
            <w:shd w:val="clear" w:color="auto" w:fill="FFFFFF"/>
            <w:tcMar>
              <w:top w:w="75" w:type="dxa"/>
              <w:left w:w="184" w:type="dxa"/>
              <w:bottom w:w="75" w:type="dxa"/>
              <w:right w:w="184" w:type="dxa"/>
            </w:tcMar>
            <w:hideMark/>
          </w:tcPr>
          <w:p w14:paraId="2A8EDD3D" w14:textId="77777777" w:rsidR="0015184E" w:rsidRPr="008B7B56" w:rsidRDefault="0015184E">
            <w:pPr>
              <w:rPr>
                <w:rFonts w:ascii="Arial" w:hAnsi="Arial" w:cs="Arial"/>
                <w:sz w:val="24"/>
                <w:szCs w:val="24"/>
              </w:rPr>
            </w:pPr>
            <w:r w:rsidRPr="008B7B56">
              <w:rPr>
                <w:rFonts w:ascii="Arial" w:hAnsi="Arial" w:cs="Arial"/>
                <w:sz w:val="24"/>
                <w:szCs w:val="24"/>
              </w:rPr>
              <w:t>1980</w:t>
            </w:r>
          </w:p>
        </w:tc>
        <w:tc>
          <w:tcPr>
            <w:tcW w:w="0" w:type="auto"/>
            <w:tcBorders>
              <w:top w:val="nil"/>
              <w:left w:val="nil"/>
              <w:bottom w:val="nil"/>
              <w:right w:val="nil"/>
            </w:tcBorders>
            <w:shd w:val="clear" w:color="auto" w:fill="FFFFFF"/>
            <w:tcMar>
              <w:top w:w="75" w:type="dxa"/>
              <w:left w:w="184" w:type="dxa"/>
              <w:bottom w:w="75" w:type="dxa"/>
              <w:right w:w="184" w:type="dxa"/>
            </w:tcMar>
            <w:hideMark/>
          </w:tcPr>
          <w:p w14:paraId="45CA36BD" w14:textId="77777777" w:rsidR="0015184E" w:rsidRPr="008B7B56" w:rsidRDefault="0015184E">
            <w:pPr>
              <w:rPr>
                <w:rFonts w:ascii="Arial" w:hAnsi="Arial" w:cs="Arial"/>
                <w:sz w:val="24"/>
                <w:szCs w:val="24"/>
              </w:rPr>
            </w:pPr>
            <w:r w:rsidRPr="008B7B56">
              <w:rPr>
                <w:rFonts w:ascii="Arial" w:hAnsi="Arial" w:cs="Arial"/>
                <w:sz w:val="24"/>
                <w:szCs w:val="24"/>
              </w:rPr>
              <w:t>-0.3%</w:t>
            </w:r>
          </w:p>
        </w:tc>
        <w:tc>
          <w:tcPr>
            <w:tcW w:w="0" w:type="auto"/>
            <w:tcBorders>
              <w:top w:val="nil"/>
              <w:left w:val="nil"/>
              <w:bottom w:val="nil"/>
              <w:right w:val="nil"/>
            </w:tcBorders>
            <w:shd w:val="clear" w:color="auto" w:fill="FFFFFF"/>
            <w:tcMar>
              <w:top w:w="75" w:type="dxa"/>
              <w:left w:w="184" w:type="dxa"/>
              <w:bottom w:w="75" w:type="dxa"/>
              <w:right w:w="184" w:type="dxa"/>
            </w:tcMar>
            <w:hideMark/>
          </w:tcPr>
          <w:p w14:paraId="79A2D8BB" w14:textId="77777777" w:rsidR="0015184E" w:rsidRPr="008B7B56" w:rsidRDefault="0015184E">
            <w:pPr>
              <w:rPr>
                <w:rFonts w:ascii="Arial" w:hAnsi="Arial" w:cs="Arial"/>
                <w:sz w:val="24"/>
                <w:szCs w:val="24"/>
              </w:rPr>
            </w:pPr>
            <w:r w:rsidRPr="008B7B56">
              <w:rPr>
                <w:rFonts w:ascii="Arial" w:hAnsi="Arial" w:cs="Arial"/>
                <w:sz w:val="24"/>
                <w:szCs w:val="24"/>
              </w:rPr>
              <w:t>13.9%</w:t>
            </w:r>
          </w:p>
        </w:tc>
      </w:tr>
      <w:tr w:rsidR="0015184E" w:rsidRPr="008B7B56" w14:paraId="52F65F7D" w14:textId="77777777" w:rsidTr="0015184E">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73E8A299" w14:textId="77777777" w:rsidR="0015184E" w:rsidRPr="008B7B56" w:rsidRDefault="0015184E">
            <w:pPr>
              <w:rPr>
                <w:rFonts w:ascii="Arial" w:hAnsi="Arial" w:cs="Arial"/>
                <w:sz w:val="24"/>
                <w:szCs w:val="24"/>
              </w:rPr>
            </w:pPr>
            <w:r w:rsidRPr="008B7B56">
              <w:rPr>
                <w:rFonts w:ascii="Arial" w:hAnsi="Arial" w:cs="Arial"/>
                <w:sz w:val="24"/>
                <w:szCs w:val="24"/>
              </w:rPr>
              <w:t>1981</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3EB2B6B3" w14:textId="77777777" w:rsidR="0015184E" w:rsidRPr="008B7B56" w:rsidRDefault="0015184E">
            <w:pPr>
              <w:rPr>
                <w:rFonts w:ascii="Arial" w:hAnsi="Arial" w:cs="Arial"/>
                <w:sz w:val="24"/>
                <w:szCs w:val="24"/>
              </w:rPr>
            </w:pPr>
            <w:r w:rsidRPr="008B7B56">
              <w:rPr>
                <w:rFonts w:ascii="Arial" w:hAnsi="Arial" w:cs="Arial"/>
                <w:sz w:val="24"/>
                <w:szCs w:val="24"/>
              </w:rPr>
              <w:t>2.5%</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6917D940" w14:textId="77777777" w:rsidR="0015184E" w:rsidRPr="008B7B56" w:rsidRDefault="0015184E">
            <w:pPr>
              <w:rPr>
                <w:rFonts w:ascii="Arial" w:hAnsi="Arial" w:cs="Arial"/>
                <w:sz w:val="24"/>
                <w:szCs w:val="24"/>
              </w:rPr>
            </w:pPr>
            <w:r w:rsidRPr="008B7B56">
              <w:rPr>
                <w:rFonts w:ascii="Arial" w:hAnsi="Arial" w:cs="Arial"/>
                <w:sz w:val="24"/>
                <w:szCs w:val="24"/>
              </w:rPr>
              <w:t>-18.3%</w:t>
            </w:r>
          </w:p>
        </w:tc>
      </w:tr>
      <w:tr w:rsidR="0015184E" w:rsidRPr="008B7B56" w14:paraId="2EF3FA91" w14:textId="77777777" w:rsidTr="0015184E">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50BA262F" w14:textId="77777777" w:rsidR="0015184E" w:rsidRPr="008B7B56" w:rsidRDefault="0015184E">
            <w:pPr>
              <w:rPr>
                <w:rFonts w:ascii="Arial" w:hAnsi="Arial" w:cs="Arial"/>
                <w:sz w:val="24"/>
                <w:szCs w:val="24"/>
              </w:rPr>
            </w:pPr>
            <w:r w:rsidRPr="008B7B56">
              <w:rPr>
                <w:rFonts w:ascii="Arial" w:hAnsi="Arial" w:cs="Arial"/>
                <w:sz w:val="24"/>
                <w:szCs w:val="24"/>
              </w:rPr>
              <w:t>1982</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1057C8DF" w14:textId="77777777" w:rsidR="0015184E" w:rsidRPr="008B7B56" w:rsidRDefault="0015184E">
            <w:pPr>
              <w:rPr>
                <w:rFonts w:ascii="Arial" w:hAnsi="Arial" w:cs="Arial"/>
                <w:sz w:val="24"/>
                <w:szCs w:val="24"/>
              </w:rPr>
            </w:pPr>
            <w:r w:rsidRPr="008B7B56">
              <w:rPr>
                <w:rFonts w:ascii="Arial" w:hAnsi="Arial" w:cs="Arial"/>
                <w:sz w:val="24"/>
                <w:szCs w:val="24"/>
              </w:rPr>
              <w:t>-1.8%</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12C1C6CA" w14:textId="77777777" w:rsidR="0015184E" w:rsidRPr="008B7B56" w:rsidRDefault="0015184E">
            <w:pPr>
              <w:rPr>
                <w:rFonts w:ascii="Arial" w:hAnsi="Arial" w:cs="Arial"/>
                <w:sz w:val="24"/>
                <w:szCs w:val="24"/>
              </w:rPr>
            </w:pPr>
            <w:r w:rsidRPr="008B7B56">
              <w:rPr>
                <w:rFonts w:ascii="Arial" w:hAnsi="Arial" w:cs="Arial"/>
                <w:sz w:val="24"/>
                <w:szCs w:val="24"/>
              </w:rPr>
              <w:t>10.8%</w:t>
            </w:r>
          </w:p>
        </w:tc>
      </w:tr>
      <w:tr w:rsidR="0015184E" w:rsidRPr="008B7B56" w14:paraId="50138E5A" w14:textId="77777777" w:rsidTr="0015184E">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60E05594" w14:textId="77777777" w:rsidR="0015184E" w:rsidRPr="008B7B56" w:rsidRDefault="0015184E">
            <w:pPr>
              <w:rPr>
                <w:rFonts w:ascii="Arial" w:hAnsi="Arial" w:cs="Arial"/>
                <w:sz w:val="24"/>
                <w:szCs w:val="24"/>
              </w:rPr>
            </w:pPr>
            <w:r w:rsidRPr="008B7B56">
              <w:rPr>
                <w:rFonts w:ascii="Arial" w:hAnsi="Arial" w:cs="Arial"/>
                <w:sz w:val="24"/>
                <w:szCs w:val="24"/>
              </w:rPr>
              <w:t>1983</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194004DB" w14:textId="77777777" w:rsidR="0015184E" w:rsidRPr="008B7B56" w:rsidRDefault="0015184E">
            <w:pPr>
              <w:rPr>
                <w:rFonts w:ascii="Arial" w:hAnsi="Arial" w:cs="Arial"/>
                <w:sz w:val="24"/>
                <w:szCs w:val="24"/>
              </w:rPr>
            </w:pPr>
            <w:r w:rsidRPr="008B7B56">
              <w:rPr>
                <w:rFonts w:ascii="Arial" w:hAnsi="Arial" w:cs="Arial"/>
                <w:sz w:val="24"/>
                <w:szCs w:val="24"/>
              </w:rPr>
              <w:t>4.6%</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48070339" w14:textId="77777777" w:rsidR="0015184E" w:rsidRPr="008B7B56" w:rsidRDefault="0015184E">
            <w:pPr>
              <w:rPr>
                <w:rFonts w:ascii="Arial" w:hAnsi="Arial" w:cs="Arial"/>
                <w:sz w:val="24"/>
                <w:szCs w:val="24"/>
              </w:rPr>
            </w:pPr>
            <w:r w:rsidRPr="008B7B56">
              <w:rPr>
                <w:rFonts w:ascii="Arial" w:hAnsi="Arial" w:cs="Arial"/>
                <w:sz w:val="24"/>
                <w:szCs w:val="24"/>
              </w:rPr>
              <w:t>13.4%</w:t>
            </w:r>
          </w:p>
        </w:tc>
      </w:tr>
      <w:tr w:rsidR="0015184E" w:rsidRPr="008B7B56" w14:paraId="2E24A99D" w14:textId="77777777" w:rsidTr="0015184E">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1948FB13" w14:textId="77777777" w:rsidR="0015184E" w:rsidRPr="008B7B56" w:rsidRDefault="0015184E">
            <w:pPr>
              <w:rPr>
                <w:rFonts w:ascii="Arial" w:hAnsi="Arial" w:cs="Arial"/>
                <w:sz w:val="24"/>
                <w:szCs w:val="24"/>
              </w:rPr>
            </w:pPr>
            <w:r w:rsidRPr="008B7B56">
              <w:rPr>
                <w:rFonts w:ascii="Arial" w:hAnsi="Arial" w:cs="Arial"/>
                <w:sz w:val="24"/>
                <w:szCs w:val="24"/>
              </w:rPr>
              <w:t>1984</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1FD4BC5B" w14:textId="77777777" w:rsidR="0015184E" w:rsidRPr="008B7B56" w:rsidRDefault="0015184E">
            <w:pPr>
              <w:rPr>
                <w:rFonts w:ascii="Arial" w:hAnsi="Arial" w:cs="Arial"/>
                <w:sz w:val="24"/>
                <w:szCs w:val="24"/>
              </w:rPr>
            </w:pPr>
            <w:r w:rsidRPr="008B7B56">
              <w:rPr>
                <w:rFonts w:ascii="Arial" w:hAnsi="Arial" w:cs="Arial"/>
                <w:sz w:val="24"/>
                <w:szCs w:val="24"/>
              </w:rPr>
              <w:t>7.2%</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3F4AA83B" w14:textId="77777777" w:rsidR="0015184E" w:rsidRPr="008B7B56" w:rsidRDefault="0015184E">
            <w:pPr>
              <w:rPr>
                <w:rFonts w:ascii="Arial" w:hAnsi="Arial" w:cs="Arial"/>
                <w:sz w:val="24"/>
                <w:szCs w:val="24"/>
              </w:rPr>
            </w:pPr>
            <w:r w:rsidRPr="008B7B56">
              <w:rPr>
                <w:rFonts w:ascii="Arial" w:hAnsi="Arial" w:cs="Arial"/>
                <w:sz w:val="24"/>
                <w:szCs w:val="24"/>
              </w:rPr>
              <w:t>-2.5%</w:t>
            </w:r>
          </w:p>
        </w:tc>
      </w:tr>
      <w:tr w:rsidR="0015184E" w:rsidRPr="008B7B56" w14:paraId="054AE6BB" w14:textId="77777777" w:rsidTr="0015184E">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4F8BBF21" w14:textId="77777777" w:rsidR="0015184E" w:rsidRPr="008B7B56" w:rsidRDefault="0015184E">
            <w:pPr>
              <w:rPr>
                <w:rFonts w:ascii="Arial" w:hAnsi="Arial" w:cs="Arial"/>
                <w:sz w:val="24"/>
                <w:szCs w:val="24"/>
              </w:rPr>
            </w:pPr>
            <w:r w:rsidRPr="008B7B56">
              <w:rPr>
                <w:rFonts w:ascii="Arial" w:hAnsi="Arial" w:cs="Arial"/>
                <w:sz w:val="24"/>
                <w:szCs w:val="24"/>
              </w:rPr>
              <w:t>1985</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3F303FB0" w14:textId="77777777" w:rsidR="0015184E" w:rsidRPr="008B7B56" w:rsidRDefault="0015184E">
            <w:pPr>
              <w:rPr>
                <w:rFonts w:ascii="Arial" w:hAnsi="Arial" w:cs="Arial"/>
                <w:sz w:val="24"/>
                <w:szCs w:val="24"/>
              </w:rPr>
            </w:pPr>
            <w:r w:rsidRPr="008B7B56">
              <w:rPr>
                <w:rFonts w:ascii="Arial" w:hAnsi="Arial" w:cs="Arial"/>
                <w:sz w:val="24"/>
                <w:szCs w:val="24"/>
              </w:rPr>
              <w:t>4.2%</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39080F97" w14:textId="77777777" w:rsidR="0015184E" w:rsidRPr="008B7B56" w:rsidRDefault="0015184E">
            <w:pPr>
              <w:rPr>
                <w:rFonts w:ascii="Arial" w:hAnsi="Arial" w:cs="Arial"/>
                <w:sz w:val="24"/>
                <w:szCs w:val="24"/>
              </w:rPr>
            </w:pPr>
            <w:r w:rsidRPr="008B7B56">
              <w:rPr>
                <w:rFonts w:ascii="Arial" w:hAnsi="Arial" w:cs="Arial"/>
                <w:sz w:val="24"/>
                <w:szCs w:val="24"/>
              </w:rPr>
              <w:t>23.0%</w:t>
            </w:r>
          </w:p>
        </w:tc>
      </w:tr>
      <w:tr w:rsidR="0015184E" w:rsidRPr="008B7B56" w14:paraId="6EF4BDB3" w14:textId="77777777" w:rsidTr="0015184E">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2582435D" w14:textId="77777777" w:rsidR="0015184E" w:rsidRPr="008B7B56" w:rsidRDefault="0015184E">
            <w:pPr>
              <w:rPr>
                <w:rFonts w:ascii="Arial" w:hAnsi="Arial" w:cs="Arial"/>
                <w:sz w:val="24"/>
                <w:szCs w:val="24"/>
              </w:rPr>
            </w:pPr>
            <w:r w:rsidRPr="008B7B56">
              <w:rPr>
                <w:rFonts w:ascii="Arial" w:hAnsi="Arial" w:cs="Arial"/>
                <w:sz w:val="24"/>
                <w:szCs w:val="24"/>
              </w:rPr>
              <w:t>1986</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115F1FCE" w14:textId="77777777" w:rsidR="0015184E" w:rsidRPr="008B7B56" w:rsidRDefault="0015184E">
            <w:pPr>
              <w:rPr>
                <w:rFonts w:ascii="Arial" w:hAnsi="Arial" w:cs="Arial"/>
                <w:sz w:val="24"/>
                <w:szCs w:val="24"/>
              </w:rPr>
            </w:pPr>
            <w:r w:rsidRPr="008B7B56">
              <w:rPr>
                <w:rFonts w:ascii="Arial" w:hAnsi="Arial" w:cs="Arial"/>
                <w:sz w:val="24"/>
                <w:szCs w:val="24"/>
              </w:rPr>
              <w:t>3.5%</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0953CD39" w14:textId="77777777" w:rsidR="0015184E" w:rsidRPr="008B7B56" w:rsidRDefault="0015184E">
            <w:pPr>
              <w:rPr>
                <w:rFonts w:ascii="Arial" w:hAnsi="Arial" w:cs="Arial"/>
                <w:sz w:val="24"/>
                <w:szCs w:val="24"/>
              </w:rPr>
            </w:pPr>
            <w:r w:rsidRPr="008B7B56">
              <w:rPr>
                <w:rFonts w:ascii="Arial" w:hAnsi="Arial" w:cs="Arial"/>
                <w:sz w:val="24"/>
                <w:szCs w:val="24"/>
              </w:rPr>
              <w:t>12.9%</w:t>
            </w:r>
          </w:p>
        </w:tc>
      </w:tr>
      <w:tr w:rsidR="0015184E" w:rsidRPr="008B7B56" w14:paraId="40216010" w14:textId="77777777" w:rsidTr="0015184E">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3E1E6C7F" w14:textId="77777777" w:rsidR="0015184E" w:rsidRPr="008B7B56" w:rsidRDefault="0015184E">
            <w:pPr>
              <w:rPr>
                <w:rFonts w:ascii="Arial" w:hAnsi="Arial" w:cs="Arial"/>
                <w:sz w:val="24"/>
                <w:szCs w:val="24"/>
              </w:rPr>
            </w:pPr>
            <w:r w:rsidRPr="008B7B56">
              <w:rPr>
                <w:rFonts w:ascii="Arial" w:hAnsi="Arial" w:cs="Arial"/>
                <w:sz w:val="24"/>
                <w:szCs w:val="24"/>
              </w:rPr>
              <w:t>1987</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30351057" w14:textId="77777777" w:rsidR="0015184E" w:rsidRPr="008B7B56" w:rsidRDefault="0015184E">
            <w:pPr>
              <w:rPr>
                <w:rFonts w:ascii="Arial" w:hAnsi="Arial" w:cs="Arial"/>
                <w:sz w:val="24"/>
                <w:szCs w:val="24"/>
              </w:rPr>
            </w:pPr>
            <w:r w:rsidRPr="008B7B56">
              <w:rPr>
                <w:rFonts w:ascii="Arial" w:hAnsi="Arial" w:cs="Arial"/>
                <w:sz w:val="24"/>
                <w:szCs w:val="24"/>
              </w:rPr>
              <w:t>3.5%</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7EC0A907" w14:textId="77777777" w:rsidR="0015184E" w:rsidRPr="008B7B56" w:rsidRDefault="0015184E">
            <w:pPr>
              <w:rPr>
                <w:rFonts w:ascii="Arial" w:hAnsi="Arial" w:cs="Arial"/>
                <w:sz w:val="24"/>
                <w:szCs w:val="24"/>
              </w:rPr>
            </w:pPr>
            <w:r w:rsidRPr="008B7B56">
              <w:rPr>
                <w:rFonts w:ascii="Arial" w:hAnsi="Arial" w:cs="Arial"/>
                <w:sz w:val="24"/>
                <w:szCs w:val="24"/>
              </w:rPr>
              <w:t>-2.2%</w:t>
            </w:r>
          </w:p>
        </w:tc>
      </w:tr>
      <w:tr w:rsidR="0015184E" w:rsidRPr="008B7B56" w14:paraId="56CBC9C0" w14:textId="77777777" w:rsidTr="0015184E">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5B6F1CA7" w14:textId="77777777" w:rsidR="0015184E" w:rsidRPr="008B7B56" w:rsidRDefault="0015184E">
            <w:pPr>
              <w:rPr>
                <w:rFonts w:ascii="Arial" w:hAnsi="Arial" w:cs="Arial"/>
                <w:sz w:val="24"/>
                <w:szCs w:val="24"/>
              </w:rPr>
            </w:pPr>
            <w:r w:rsidRPr="008B7B56">
              <w:rPr>
                <w:rFonts w:ascii="Arial" w:hAnsi="Arial" w:cs="Arial"/>
                <w:sz w:val="24"/>
                <w:szCs w:val="24"/>
              </w:rPr>
              <w:lastRenderedPageBreak/>
              <w:t>1988</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50AB2083" w14:textId="77777777" w:rsidR="0015184E" w:rsidRPr="008B7B56" w:rsidRDefault="0015184E">
            <w:pPr>
              <w:rPr>
                <w:rFonts w:ascii="Arial" w:hAnsi="Arial" w:cs="Arial"/>
                <w:sz w:val="24"/>
                <w:szCs w:val="24"/>
              </w:rPr>
            </w:pPr>
            <w:r w:rsidRPr="008B7B56">
              <w:rPr>
                <w:rFonts w:ascii="Arial" w:hAnsi="Arial" w:cs="Arial"/>
                <w:sz w:val="24"/>
                <w:szCs w:val="24"/>
              </w:rPr>
              <w:t>4.2%</w:t>
            </w:r>
          </w:p>
        </w:tc>
        <w:tc>
          <w:tcPr>
            <w:tcW w:w="0" w:type="auto"/>
            <w:tcBorders>
              <w:top w:val="single" w:sz="6" w:space="0" w:color="DDDDDD"/>
              <w:left w:val="nil"/>
              <w:bottom w:val="nil"/>
              <w:right w:val="nil"/>
            </w:tcBorders>
            <w:shd w:val="clear" w:color="auto" w:fill="FFFFFF"/>
            <w:tcMar>
              <w:top w:w="75" w:type="dxa"/>
              <w:left w:w="184" w:type="dxa"/>
              <w:bottom w:w="75" w:type="dxa"/>
              <w:right w:w="184" w:type="dxa"/>
            </w:tcMar>
            <w:hideMark/>
          </w:tcPr>
          <w:p w14:paraId="500B265E" w14:textId="77777777" w:rsidR="0015184E" w:rsidRPr="008B7B56" w:rsidRDefault="0015184E">
            <w:pPr>
              <w:rPr>
                <w:rFonts w:ascii="Arial" w:hAnsi="Arial" w:cs="Arial"/>
                <w:sz w:val="24"/>
                <w:szCs w:val="24"/>
              </w:rPr>
            </w:pPr>
            <w:r w:rsidRPr="008B7B56">
              <w:rPr>
                <w:rFonts w:ascii="Arial" w:hAnsi="Arial" w:cs="Arial"/>
                <w:sz w:val="24"/>
                <w:szCs w:val="24"/>
              </w:rPr>
              <w:t>7.9%</w:t>
            </w:r>
          </w:p>
        </w:tc>
      </w:tr>
      <w:tr w:rsidR="0015184E" w:rsidRPr="008B7B56" w14:paraId="7CDF4A2D" w14:textId="77777777" w:rsidTr="0015184E">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6307B047" w14:textId="77777777" w:rsidR="0015184E" w:rsidRPr="008B7B56" w:rsidRDefault="0015184E">
            <w:pPr>
              <w:rPr>
                <w:rFonts w:ascii="Arial" w:hAnsi="Arial" w:cs="Arial"/>
                <w:sz w:val="24"/>
                <w:szCs w:val="24"/>
              </w:rPr>
            </w:pPr>
            <w:r w:rsidRPr="008B7B56">
              <w:rPr>
                <w:rFonts w:ascii="Arial" w:hAnsi="Arial" w:cs="Arial"/>
                <w:sz w:val="24"/>
                <w:szCs w:val="24"/>
              </w:rPr>
              <w:t>1989</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3902725A" w14:textId="77777777" w:rsidR="0015184E" w:rsidRPr="008B7B56" w:rsidRDefault="0015184E">
            <w:pPr>
              <w:rPr>
                <w:rFonts w:ascii="Arial" w:hAnsi="Arial" w:cs="Arial"/>
                <w:sz w:val="24"/>
                <w:szCs w:val="24"/>
              </w:rPr>
            </w:pPr>
            <w:r w:rsidRPr="008B7B56">
              <w:rPr>
                <w:rFonts w:ascii="Arial" w:hAnsi="Arial" w:cs="Arial"/>
                <w:sz w:val="24"/>
                <w:szCs w:val="24"/>
              </w:rPr>
              <w:t>3.7%</w:t>
            </w:r>
          </w:p>
        </w:tc>
        <w:tc>
          <w:tcPr>
            <w:tcW w:w="0" w:type="auto"/>
            <w:tcBorders>
              <w:top w:val="single" w:sz="6" w:space="0" w:color="DDDDDD"/>
              <w:left w:val="nil"/>
              <w:bottom w:val="nil"/>
              <w:right w:val="nil"/>
            </w:tcBorders>
            <w:shd w:val="clear" w:color="auto" w:fill="F9F9F9"/>
            <w:tcMar>
              <w:top w:w="75" w:type="dxa"/>
              <w:left w:w="184" w:type="dxa"/>
              <w:bottom w:w="75" w:type="dxa"/>
              <w:right w:w="184" w:type="dxa"/>
            </w:tcMar>
            <w:hideMark/>
          </w:tcPr>
          <w:p w14:paraId="2DE9C961" w14:textId="77777777" w:rsidR="0015184E" w:rsidRPr="008B7B56" w:rsidRDefault="0015184E">
            <w:pPr>
              <w:rPr>
                <w:rFonts w:ascii="Arial" w:hAnsi="Arial" w:cs="Arial"/>
                <w:sz w:val="24"/>
                <w:szCs w:val="24"/>
              </w:rPr>
            </w:pPr>
            <w:r w:rsidRPr="008B7B56">
              <w:rPr>
                <w:rFonts w:ascii="Arial" w:hAnsi="Arial" w:cs="Arial"/>
                <w:sz w:val="24"/>
                <w:szCs w:val="24"/>
              </w:rPr>
              <w:t>22.4%</w:t>
            </w:r>
          </w:p>
        </w:tc>
      </w:tr>
    </w:tbl>
    <w:p w14:paraId="2BD39D88" w14:textId="7D69327D" w:rsidR="0015184E" w:rsidRPr="008B7B56" w:rsidRDefault="0015184E" w:rsidP="00BC5802">
      <w:pPr>
        <w:rPr>
          <w:rFonts w:ascii="Arial" w:hAnsi="Arial" w:cs="Arial"/>
          <w:sz w:val="24"/>
          <w:szCs w:val="24"/>
        </w:rPr>
      </w:pPr>
      <w:r w:rsidRPr="008B7B56">
        <w:rPr>
          <w:rFonts w:ascii="Arial" w:hAnsi="Arial" w:cs="Arial"/>
          <w:sz w:val="24"/>
          <w:szCs w:val="24"/>
        </w:rPr>
        <w:t>https://advisor.visualcapitalist.com/wall-street-vs-main-street-the-stock-market-is-not-the-economy/</w:t>
      </w:r>
    </w:p>
    <w:sectPr w:rsidR="0015184E" w:rsidRPr="008B7B56" w:rsidSect="00BC580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02"/>
    <w:rsid w:val="00033266"/>
    <w:rsid w:val="00095E7C"/>
    <w:rsid w:val="0015184E"/>
    <w:rsid w:val="00275472"/>
    <w:rsid w:val="00277991"/>
    <w:rsid w:val="002B6FCA"/>
    <w:rsid w:val="002C50B4"/>
    <w:rsid w:val="002E0737"/>
    <w:rsid w:val="002F359A"/>
    <w:rsid w:val="004451A6"/>
    <w:rsid w:val="00470E6B"/>
    <w:rsid w:val="004A1DF2"/>
    <w:rsid w:val="004E0256"/>
    <w:rsid w:val="00515F33"/>
    <w:rsid w:val="00623DA8"/>
    <w:rsid w:val="006C00BB"/>
    <w:rsid w:val="00830915"/>
    <w:rsid w:val="00863DBD"/>
    <w:rsid w:val="008B4751"/>
    <w:rsid w:val="008B7B56"/>
    <w:rsid w:val="008C00A1"/>
    <w:rsid w:val="008C4A45"/>
    <w:rsid w:val="008E2F58"/>
    <w:rsid w:val="009C6249"/>
    <w:rsid w:val="00A06B47"/>
    <w:rsid w:val="00AA230C"/>
    <w:rsid w:val="00B8153C"/>
    <w:rsid w:val="00B82DE5"/>
    <w:rsid w:val="00BC5802"/>
    <w:rsid w:val="00C86B87"/>
    <w:rsid w:val="00CB6659"/>
    <w:rsid w:val="00CD2695"/>
    <w:rsid w:val="00D41FF6"/>
    <w:rsid w:val="00DD0FA5"/>
    <w:rsid w:val="00E620C9"/>
    <w:rsid w:val="00E92FD8"/>
    <w:rsid w:val="00ED7929"/>
    <w:rsid w:val="00FA1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ED04"/>
  <w15:chartTrackingRefBased/>
  <w15:docId w15:val="{1E452509-27FD-4C37-BFC0-3F0FAFDE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1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2DE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802"/>
    <w:rPr>
      <w:color w:val="0000FF"/>
      <w:u w:val="single"/>
    </w:rPr>
  </w:style>
  <w:style w:type="paragraph" w:styleId="NoSpacing">
    <w:name w:val="No Spacing"/>
    <w:uiPriority w:val="1"/>
    <w:qFormat/>
    <w:rsid w:val="00033266"/>
    <w:pPr>
      <w:spacing w:after="0" w:line="240" w:lineRule="auto"/>
    </w:pPr>
  </w:style>
  <w:style w:type="table" w:styleId="TableGrid">
    <w:name w:val="Table Grid"/>
    <w:basedOn w:val="TableNormal"/>
    <w:uiPriority w:val="39"/>
    <w:rsid w:val="0051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23DA8"/>
  </w:style>
  <w:style w:type="paragraph" w:styleId="NormalWeb">
    <w:name w:val="Normal (Web)"/>
    <w:basedOn w:val="Normal"/>
    <w:uiPriority w:val="99"/>
    <w:semiHidden/>
    <w:unhideWhenUsed/>
    <w:rsid w:val="00B82DE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B82DE5"/>
    <w:rPr>
      <w:color w:val="605E5C"/>
      <w:shd w:val="clear" w:color="auto" w:fill="E1DFDD"/>
    </w:rPr>
  </w:style>
  <w:style w:type="character" w:customStyle="1" w:styleId="Heading3Char">
    <w:name w:val="Heading 3 Char"/>
    <w:basedOn w:val="DefaultParagraphFont"/>
    <w:link w:val="Heading3"/>
    <w:uiPriority w:val="9"/>
    <w:rsid w:val="00B82DE5"/>
    <w:rPr>
      <w:rFonts w:ascii="Times New Roman" w:eastAsia="Times New Roman" w:hAnsi="Times New Roman" w:cs="Times New Roman"/>
      <w:b/>
      <w:bCs/>
      <w:sz w:val="27"/>
      <w:szCs w:val="27"/>
      <w:lang w:eastAsia="en-AU"/>
    </w:rPr>
  </w:style>
  <w:style w:type="paragraph" w:customStyle="1" w:styleId="paywall">
    <w:name w:val="paywall"/>
    <w:basedOn w:val="Normal"/>
    <w:rsid w:val="00B82DE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2F35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35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9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A230C"/>
    <w:rPr>
      <w:color w:val="954F72" w:themeColor="followedHyperlink"/>
      <w:u w:val="single"/>
    </w:rPr>
  </w:style>
  <w:style w:type="character" w:customStyle="1" w:styleId="Heading2Char">
    <w:name w:val="Heading 2 Char"/>
    <w:basedOn w:val="DefaultParagraphFont"/>
    <w:link w:val="Heading2"/>
    <w:uiPriority w:val="9"/>
    <w:semiHidden/>
    <w:rsid w:val="00151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677">
      <w:bodyDiv w:val="1"/>
      <w:marLeft w:val="0"/>
      <w:marRight w:val="0"/>
      <w:marTop w:val="0"/>
      <w:marBottom w:val="0"/>
      <w:divBdr>
        <w:top w:val="none" w:sz="0" w:space="0" w:color="auto"/>
        <w:left w:val="none" w:sz="0" w:space="0" w:color="auto"/>
        <w:bottom w:val="none" w:sz="0" w:space="0" w:color="auto"/>
        <w:right w:val="none" w:sz="0" w:space="0" w:color="auto"/>
      </w:divBdr>
    </w:div>
    <w:div w:id="160854123">
      <w:bodyDiv w:val="1"/>
      <w:marLeft w:val="0"/>
      <w:marRight w:val="0"/>
      <w:marTop w:val="0"/>
      <w:marBottom w:val="0"/>
      <w:divBdr>
        <w:top w:val="none" w:sz="0" w:space="0" w:color="auto"/>
        <w:left w:val="none" w:sz="0" w:space="0" w:color="auto"/>
        <w:bottom w:val="none" w:sz="0" w:space="0" w:color="auto"/>
        <w:right w:val="none" w:sz="0" w:space="0" w:color="auto"/>
      </w:divBdr>
    </w:div>
    <w:div w:id="213126177">
      <w:bodyDiv w:val="1"/>
      <w:marLeft w:val="0"/>
      <w:marRight w:val="0"/>
      <w:marTop w:val="0"/>
      <w:marBottom w:val="0"/>
      <w:divBdr>
        <w:top w:val="none" w:sz="0" w:space="0" w:color="auto"/>
        <w:left w:val="none" w:sz="0" w:space="0" w:color="auto"/>
        <w:bottom w:val="none" w:sz="0" w:space="0" w:color="auto"/>
        <w:right w:val="none" w:sz="0" w:space="0" w:color="auto"/>
      </w:divBdr>
    </w:div>
    <w:div w:id="294020508">
      <w:bodyDiv w:val="1"/>
      <w:marLeft w:val="0"/>
      <w:marRight w:val="0"/>
      <w:marTop w:val="0"/>
      <w:marBottom w:val="0"/>
      <w:divBdr>
        <w:top w:val="none" w:sz="0" w:space="0" w:color="auto"/>
        <w:left w:val="none" w:sz="0" w:space="0" w:color="auto"/>
        <w:bottom w:val="none" w:sz="0" w:space="0" w:color="auto"/>
        <w:right w:val="none" w:sz="0" w:space="0" w:color="auto"/>
      </w:divBdr>
    </w:div>
    <w:div w:id="358967288">
      <w:bodyDiv w:val="1"/>
      <w:marLeft w:val="0"/>
      <w:marRight w:val="0"/>
      <w:marTop w:val="0"/>
      <w:marBottom w:val="0"/>
      <w:divBdr>
        <w:top w:val="none" w:sz="0" w:space="0" w:color="auto"/>
        <w:left w:val="none" w:sz="0" w:space="0" w:color="auto"/>
        <w:bottom w:val="none" w:sz="0" w:space="0" w:color="auto"/>
        <w:right w:val="none" w:sz="0" w:space="0" w:color="auto"/>
      </w:divBdr>
    </w:div>
    <w:div w:id="443159883">
      <w:bodyDiv w:val="1"/>
      <w:marLeft w:val="0"/>
      <w:marRight w:val="0"/>
      <w:marTop w:val="0"/>
      <w:marBottom w:val="0"/>
      <w:divBdr>
        <w:top w:val="none" w:sz="0" w:space="0" w:color="auto"/>
        <w:left w:val="none" w:sz="0" w:space="0" w:color="auto"/>
        <w:bottom w:val="none" w:sz="0" w:space="0" w:color="auto"/>
        <w:right w:val="none" w:sz="0" w:space="0" w:color="auto"/>
      </w:divBdr>
    </w:div>
    <w:div w:id="648634891">
      <w:bodyDiv w:val="1"/>
      <w:marLeft w:val="0"/>
      <w:marRight w:val="0"/>
      <w:marTop w:val="0"/>
      <w:marBottom w:val="0"/>
      <w:divBdr>
        <w:top w:val="none" w:sz="0" w:space="0" w:color="auto"/>
        <w:left w:val="none" w:sz="0" w:space="0" w:color="auto"/>
        <w:bottom w:val="none" w:sz="0" w:space="0" w:color="auto"/>
        <w:right w:val="none" w:sz="0" w:space="0" w:color="auto"/>
      </w:divBdr>
      <w:divsChild>
        <w:div w:id="342519206">
          <w:marLeft w:val="0"/>
          <w:marRight w:val="0"/>
          <w:marTop w:val="0"/>
          <w:marBottom w:val="0"/>
          <w:divBdr>
            <w:top w:val="none" w:sz="0" w:space="0" w:color="auto"/>
            <w:left w:val="none" w:sz="0" w:space="0" w:color="auto"/>
            <w:bottom w:val="none" w:sz="0" w:space="0" w:color="auto"/>
            <w:right w:val="none" w:sz="0" w:space="0" w:color="auto"/>
          </w:divBdr>
          <w:divsChild>
            <w:div w:id="14067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120">
      <w:bodyDiv w:val="1"/>
      <w:marLeft w:val="0"/>
      <w:marRight w:val="0"/>
      <w:marTop w:val="0"/>
      <w:marBottom w:val="0"/>
      <w:divBdr>
        <w:top w:val="none" w:sz="0" w:space="0" w:color="auto"/>
        <w:left w:val="none" w:sz="0" w:space="0" w:color="auto"/>
        <w:bottom w:val="none" w:sz="0" w:space="0" w:color="auto"/>
        <w:right w:val="none" w:sz="0" w:space="0" w:color="auto"/>
      </w:divBdr>
      <w:divsChild>
        <w:div w:id="1939439086">
          <w:marLeft w:val="0"/>
          <w:marRight w:val="0"/>
          <w:marTop w:val="0"/>
          <w:marBottom w:val="0"/>
          <w:divBdr>
            <w:top w:val="none" w:sz="0" w:space="0" w:color="auto"/>
            <w:left w:val="none" w:sz="0" w:space="0" w:color="auto"/>
            <w:bottom w:val="none" w:sz="0" w:space="0" w:color="auto"/>
            <w:right w:val="none" w:sz="0" w:space="0" w:color="auto"/>
          </w:divBdr>
          <w:divsChild>
            <w:div w:id="893001399">
              <w:marLeft w:val="0"/>
              <w:marRight w:val="0"/>
              <w:marTop w:val="180"/>
              <w:marBottom w:val="180"/>
              <w:divBdr>
                <w:top w:val="none" w:sz="0" w:space="0" w:color="auto"/>
                <w:left w:val="none" w:sz="0" w:space="0" w:color="auto"/>
                <w:bottom w:val="none" w:sz="0" w:space="0" w:color="auto"/>
                <w:right w:val="none" w:sz="0" w:space="0" w:color="auto"/>
              </w:divBdr>
            </w:div>
          </w:divsChild>
        </w:div>
        <w:div w:id="14432601">
          <w:marLeft w:val="0"/>
          <w:marRight w:val="0"/>
          <w:marTop w:val="0"/>
          <w:marBottom w:val="0"/>
          <w:divBdr>
            <w:top w:val="none" w:sz="0" w:space="0" w:color="auto"/>
            <w:left w:val="none" w:sz="0" w:space="0" w:color="auto"/>
            <w:bottom w:val="none" w:sz="0" w:space="0" w:color="auto"/>
            <w:right w:val="none" w:sz="0" w:space="0" w:color="auto"/>
          </w:divBdr>
          <w:divsChild>
            <w:div w:id="1157694971">
              <w:marLeft w:val="0"/>
              <w:marRight w:val="0"/>
              <w:marTop w:val="0"/>
              <w:marBottom w:val="0"/>
              <w:divBdr>
                <w:top w:val="none" w:sz="0" w:space="0" w:color="auto"/>
                <w:left w:val="none" w:sz="0" w:space="0" w:color="auto"/>
                <w:bottom w:val="none" w:sz="0" w:space="0" w:color="auto"/>
                <w:right w:val="none" w:sz="0" w:space="0" w:color="auto"/>
              </w:divBdr>
              <w:divsChild>
                <w:div w:id="833104013">
                  <w:marLeft w:val="0"/>
                  <w:marRight w:val="0"/>
                  <w:marTop w:val="0"/>
                  <w:marBottom w:val="0"/>
                  <w:divBdr>
                    <w:top w:val="none" w:sz="0" w:space="0" w:color="auto"/>
                    <w:left w:val="none" w:sz="0" w:space="0" w:color="auto"/>
                    <w:bottom w:val="none" w:sz="0" w:space="0" w:color="auto"/>
                    <w:right w:val="none" w:sz="0" w:space="0" w:color="auto"/>
                  </w:divBdr>
                  <w:divsChild>
                    <w:div w:id="1598902309">
                      <w:marLeft w:val="0"/>
                      <w:marRight w:val="0"/>
                      <w:marTop w:val="0"/>
                      <w:marBottom w:val="0"/>
                      <w:divBdr>
                        <w:top w:val="none" w:sz="0" w:space="0" w:color="auto"/>
                        <w:left w:val="none" w:sz="0" w:space="0" w:color="auto"/>
                        <w:bottom w:val="none" w:sz="0" w:space="0" w:color="auto"/>
                        <w:right w:val="none" w:sz="0" w:space="0" w:color="auto"/>
                      </w:divBdr>
                      <w:divsChild>
                        <w:div w:id="2026250712">
                          <w:marLeft w:val="0"/>
                          <w:marRight w:val="0"/>
                          <w:marTop w:val="0"/>
                          <w:marBottom w:val="0"/>
                          <w:divBdr>
                            <w:top w:val="none" w:sz="0" w:space="0" w:color="auto"/>
                            <w:left w:val="none" w:sz="0" w:space="0" w:color="auto"/>
                            <w:bottom w:val="none" w:sz="0" w:space="0" w:color="auto"/>
                            <w:right w:val="none" w:sz="0" w:space="0" w:color="auto"/>
                          </w:divBdr>
                          <w:divsChild>
                            <w:div w:id="10597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4586">
      <w:bodyDiv w:val="1"/>
      <w:marLeft w:val="0"/>
      <w:marRight w:val="0"/>
      <w:marTop w:val="0"/>
      <w:marBottom w:val="0"/>
      <w:divBdr>
        <w:top w:val="none" w:sz="0" w:space="0" w:color="auto"/>
        <w:left w:val="none" w:sz="0" w:space="0" w:color="auto"/>
        <w:bottom w:val="none" w:sz="0" w:space="0" w:color="auto"/>
        <w:right w:val="none" w:sz="0" w:space="0" w:color="auto"/>
      </w:divBdr>
      <w:divsChild>
        <w:div w:id="1515416817">
          <w:marLeft w:val="0"/>
          <w:marRight w:val="0"/>
          <w:marTop w:val="0"/>
          <w:marBottom w:val="0"/>
          <w:divBdr>
            <w:top w:val="none" w:sz="0" w:space="0" w:color="auto"/>
            <w:left w:val="none" w:sz="0" w:space="0" w:color="auto"/>
            <w:bottom w:val="none" w:sz="0" w:space="0" w:color="auto"/>
            <w:right w:val="none" w:sz="0" w:space="0" w:color="auto"/>
          </w:divBdr>
          <w:divsChild>
            <w:div w:id="457798339">
              <w:marLeft w:val="0"/>
              <w:marRight w:val="0"/>
              <w:marTop w:val="180"/>
              <w:marBottom w:val="180"/>
              <w:divBdr>
                <w:top w:val="none" w:sz="0" w:space="0" w:color="auto"/>
                <w:left w:val="none" w:sz="0" w:space="0" w:color="auto"/>
                <w:bottom w:val="none" w:sz="0" w:space="0" w:color="auto"/>
                <w:right w:val="none" w:sz="0" w:space="0" w:color="auto"/>
              </w:divBdr>
            </w:div>
          </w:divsChild>
        </w:div>
        <w:div w:id="1368337232">
          <w:marLeft w:val="0"/>
          <w:marRight w:val="0"/>
          <w:marTop w:val="0"/>
          <w:marBottom w:val="0"/>
          <w:divBdr>
            <w:top w:val="none" w:sz="0" w:space="0" w:color="auto"/>
            <w:left w:val="none" w:sz="0" w:space="0" w:color="auto"/>
            <w:bottom w:val="none" w:sz="0" w:space="0" w:color="auto"/>
            <w:right w:val="none" w:sz="0" w:space="0" w:color="auto"/>
          </w:divBdr>
          <w:divsChild>
            <w:div w:id="491872081">
              <w:marLeft w:val="0"/>
              <w:marRight w:val="0"/>
              <w:marTop w:val="0"/>
              <w:marBottom w:val="0"/>
              <w:divBdr>
                <w:top w:val="none" w:sz="0" w:space="0" w:color="auto"/>
                <w:left w:val="none" w:sz="0" w:space="0" w:color="auto"/>
                <w:bottom w:val="none" w:sz="0" w:space="0" w:color="auto"/>
                <w:right w:val="none" w:sz="0" w:space="0" w:color="auto"/>
              </w:divBdr>
              <w:divsChild>
                <w:div w:id="196243598">
                  <w:marLeft w:val="0"/>
                  <w:marRight w:val="0"/>
                  <w:marTop w:val="0"/>
                  <w:marBottom w:val="0"/>
                  <w:divBdr>
                    <w:top w:val="none" w:sz="0" w:space="0" w:color="auto"/>
                    <w:left w:val="none" w:sz="0" w:space="0" w:color="auto"/>
                    <w:bottom w:val="none" w:sz="0" w:space="0" w:color="auto"/>
                    <w:right w:val="none" w:sz="0" w:space="0" w:color="auto"/>
                  </w:divBdr>
                  <w:divsChild>
                    <w:div w:id="904072737">
                      <w:marLeft w:val="0"/>
                      <w:marRight w:val="0"/>
                      <w:marTop w:val="0"/>
                      <w:marBottom w:val="0"/>
                      <w:divBdr>
                        <w:top w:val="none" w:sz="0" w:space="0" w:color="auto"/>
                        <w:left w:val="none" w:sz="0" w:space="0" w:color="auto"/>
                        <w:bottom w:val="none" w:sz="0" w:space="0" w:color="auto"/>
                        <w:right w:val="none" w:sz="0" w:space="0" w:color="auto"/>
                      </w:divBdr>
                      <w:divsChild>
                        <w:div w:id="1848521890">
                          <w:marLeft w:val="0"/>
                          <w:marRight w:val="0"/>
                          <w:marTop w:val="0"/>
                          <w:marBottom w:val="0"/>
                          <w:divBdr>
                            <w:top w:val="none" w:sz="0" w:space="0" w:color="auto"/>
                            <w:left w:val="none" w:sz="0" w:space="0" w:color="auto"/>
                            <w:bottom w:val="none" w:sz="0" w:space="0" w:color="auto"/>
                            <w:right w:val="none" w:sz="0" w:space="0" w:color="auto"/>
                          </w:divBdr>
                          <w:divsChild>
                            <w:div w:id="1760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639804">
      <w:bodyDiv w:val="1"/>
      <w:marLeft w:val="0"/>
      <w:marRight w:val="0"/>
      <w:marTop w:val="0"/>
      <w:marBottom w:val="0"/>
      <w:divBdr>
        <w:top w:val="none" w:sz="0" w:space="0" w:color="auto"/>
        <w:left w:val="none" w:sz="0" w:space="0" w:color="auto"/>
        <w:bottom w:val="none" w:sz="0" w:space="0" w:color="auto"/>
        <w:right w:val="none" w:sz="0" w:space="0" w:color="auto"/>
      </w:divBdr>
    </w:div>
    <w:div w:id="1610119918">
      <w:bodyDiv w:val="1"/>
      <w:marLeft w:val="0"/>
      <w:marRight w:val="0"/>
      <w:marTop w:val="0"/>
      <w:marBottom w:val="0"/>
      <w:divBdr>
        <w:top w:val="none" w:sz="0" w:space="0" w:color="auto"/>
        <w:left w:val="none" w:sz="0" w:space="0" w:color="auto"/>
        <w:bottom w:val="none" w:sz="0" w:space="0" w:color="auto"/>
        <w:right w:val="none" w:sz="0" w:space="0" w:color="auto"/>
      </w:divBdr>
      <w:divsChild>
        <w:div w:id="399140220">
          <w:marLeft w:val="0"/>
          <w:marRight w:val="0"/>
          <w:marTop w:val="0"/>
          <w:marBottom w:val="240"/>
          <w:divBdr>
            <w:top w:val="none" w:sz="0" w:space="0" w:color="auto"/>
            <w:left w:val="none" w:sz="0" w:space="0" w:color="auto"/>
            <w:bottom w:val="none" w:sz="0" w:space="0" w:color="auto"/>
            <w:right w:val="none" w:sz="0" w:space="0" w:color="auto"/>
          </w:divBdr>
        </w:div>
      </w:divsChild>
    </w:div>
    <w:div w:id="17732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advisor.visualcapitalist.com/sp-500-sectors-and-industries/" TargetMode="External"/><Relationship Id="rId2" Type="http://schemas.openxmlformats.org/officeDocument/2006/relationships/settings" Target="settings.xml"/><Relationship Id="rId16" Type="http://schemas.openxmlformats.org/officeDocument/2006/relationships/hyperlink" Target="https://advisor.visualcapitalist.com/wall-street-vs-main-street-the-stock-market-is-not-the-economy/" TargetMode="External"/><Relationship Id="rId1" Type="http://schemas.openxmlformats.org/officeDocument/2006/relationships/styles" Target="styles.xml"/><Relationship Id="rId6" Type="http://schemas.openxmlformats.org/officeDocument/2006/relationships/hyperlink" Target="https://www.bloomberg.com/news/articles/2022-03-02/powell-sees-fed-rate-liftoff-in-march-while-ukraine-fogs-outlook" TargetMode="External"/><Relationship Id="rId11" Type="http://schemas.openxmlformats.org/officeDocument/2006/relationships/hyperlink" Target="https://www.piie.com/blogs/realtime-economic-issues-watch/what-us-gdp-data-tell-us-about-2020" TargetMode="External"/><Relationship Id="rId5" Type="http://schemas.openxmlformats.org/officeDocument/2006/relationships/hyperlink" Target="https://www.bloomberg.com/quote/13598Z:US" TargetMode="External"/><Relationship Id="rId15" Type="http://schemas.openxmlformats.org/officeDocument/2006/relationships/hyperlink" Target="https://fred.stlouisfed.org/graph/?g=oCZ"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www.bloomberg.com/news/articles/2022-03-02/no-corner-of-u-s-stock-market-left-untouched-by-war-in-ukraine" TargetMode="External"/><Relationship Id="rId9" Type="http://schemas.openxmlformats.org/officeDocument/2006/relationships/image" Target="media/image3.png"/><Relationship Id="rId14" Type="http://schemas.openxmlformats.org/officeDocument/2006/relationships/hyperlink" Target="https://www.macrotrends.net/2526/sp-500-historical-annual-retu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Burley</dc:creator>
  <cp:keywords/>
  <dc:description/>
  <cp:lastModifiedBy>MAICA TRAN</cp:lastModifiedBy>
  <cp:revision>4</cp:revision>
  <dcterms:created xsi:type="dcterms:W3CDTF">2022-03-27T10:14:00Z</dcterms:created>
  <dcterms:modified xsi:type="dcterms:W3CDTF">2022-03-27T11:53:00Z</dcterms:modified>
</cp:coreProperties>
</file>