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460AD2" w14:textId="3454EB88" w:rsidR="00B861DF" w:rsidRDefault="007713BF" w:rsidP="007713BF">
      <w:pPr>
        <w:pStyle w:val="Title"/>
        <w:jc w:val="center"/>
        <w:rPr>
          <w:b/>
          <w:bCs/>
          <w:spacing w:val="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Hlk99313108"/>
      <w:bookmarkEnd w:id="0"/>
      <w:r w:rsidRPr="007713BF">
        <w:rPr>
          <w:b/>
          <w:bCs/>
          <w:spacing w:val="0"/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Maica Branch</w:t>
      </w:r>
    </w:p>
    <w:p w14:paraId="38DCA0C4" w14:textId="07AACCD4" w:rsidR="007713BF" w:rsidRDefault="007713BF" w:rsidP="007713BF"/>
    <w:p w14:paraId="3E80A80C" w14:textId="68BBB5B0" w:rsidR="00C34D84" w:rsidRDefault="00C34D84" w:rsidP="007713BF"/>
    <w:p w14:paraId="04361F45" w14:textId="77777777" w:rsidR="00C34D84" w:rsidRDefault="00C34D84" w:rsidP="007713BF"/>
    <w:p w14:paraId="22D927D4" w14:textId="491F5F99" w:rsidR="007713BF" w:rsidRPr="009161F7" w:rsidRDefault="007713BF" w:rsidP="009161F7">
      <w:pPr>
        <w:pStyle w:val="Title"/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61F7"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 points:</w:t>
      </w:r>
    </w:p>
    <w:p w14:paraId="53A354E9" w14:textId="0D7FE734" w:rsidR="007713BF" w:rsidRDefault="007713BF" w:rsidP="007713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Recession period comparison</w:t>
      </w:r>
    </w:p>
    <w:p w14:paraId="6884BF8B" w14:textId="37862769" w:rsidR="007713BF" w:rsidRDefault="007713BF" w:rsidP="007713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the economy reacted to the recession from 1980 to 2020 : </w:t>
      </w:r>
      <w:r w:rsidRPr="007713BF">
        <w:rPr>
          <w:sz w:val="24"/>
          <w:szCs w:val="24"/>
        </w:rPr>
        <w:t>The last 6 recessions</w:t>
      </w:r>
    </w:p>
    <w:p w14:paraId="185B0DC5" w14:textId="0EB88AC0" w:rsidR="007713BF" w:rsidRDefault="00712092" w:rsidP="007713B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The relationship between the economy and share market</w:t>
      </w:r>
    </w:p>
    <w:p w14:paraId="125C4FF5" w14:textId="3BE62625" w:rsidR="00712092" w:rsidRPr="00C34D84" w:rsidRDefault="00C34D84" w:rsidP="00C34D84">
      <w:pPr>
        <w:pStyle w:val="Title"/>
        <w:rPr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4D84">
        <w:rPr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Data source: </w:t>
      </w:r>
      <w:r w:rsidR="00C834BC">
        <w:rPr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 S&amp;P 500 companies</w:t>
      </w:r>
    </w:p>
    <w:p w14:paraId="554EDDB7" w14:textId="77777777" w:rsidR="00C34D84" w:rsidRPr="008B7B56" w:rsidRDefault="00566F01" w:rsidP="00C34D84">
      <w:pPr>
        <w:pStyle w:val="NormalWeb"/>
        <w:shd w:val="clear" w:color="auto" w:fill="FFFFFF"/>
        <w:rPr>
          <w:rFonts w:ascii="Arial" w:hAnsi="Arial" w:cs="Arial"/>
          <w:color w:val="000000"/>
        </w:rPr>
      </w:pPr>
      <w:hyperlink r:id="rId5" w:history="1">
        <w:r w:rsidR="00C34D84" w:rsidRPr="008B7B56">
          <w:rPr>
            <w:rStyle w:val="Hyperlink"/>
            <w:rFonts w:ascii="Arial" w:hAnsi="Arial" w:cs="Arial"/>
          </w:rPr>
          <w:t>https://www.economicsobservatory.com/does-the-stock-market-reflect-the-economy</w:t>
        </w:r>
      </w:hyperlink>
    </w:p>
    <w:p w14:paraId="4E94FDCF" w14:textId="1FD0C38E" w:rsidR="00C34D84" w:rsidRPr="008B7B56" w:rsidRDefault="00566F01" w:rsidP="00C34D84">
      <w:pPr>
        <w:rPr>
          <w:rFonts w:ascii="Arial" w:hAnsi="Arial" w:cs="Arial"/>
          <w:sz w:val="24"/>
          <w:szCs w:val="24"/>
        </w:rPr>
      </w:pPr>
      <w:hyperlink r:id="rId6" w:history="1">
        <w:r w:rsidR="00C34D84" w:rsidRPr="008B7B56">
          <w:rPr>
            <w:rStyle w:val="Hyperlink"/>
            <w:rFonts w:ascii="Arial" w:hAnsi="Arial" w:cs="Arial"/>
            <w:sz w:val="24"/>
            <w:szCs w:val="24"/>
          </w:rPr>
          <w:t>https://www.rbcgam.com/en/ca/learn-plan/investment-basics/whats-the-relationship-between-the-stock-market-and-the-economy/detail</w:t>
        </w:r>
      </w:hyperlink>
    </w:p>
    <w:p w14:paraId="6F9C6223" w14:textId="2FD1D478" w:rsidR="00C34D84" w:rsidRPr="00C34D84" w:rsidRDefault="00566F01" w:rsidP="00712092">
      <w:pPr>
        <w:rPr>
          <w:rFonts w:ascii="Arial" w:hAnsi="Arial" w:cs="Arial"/>
          <w:sz w:val="24"/>
          <w:szCs w:val="24"/>
        </w:rPr>
      </w:pPr>
      <w:hyperlink r:id="rId7" w:history="1">
        <w:r w:rsidR="00C34D84" w:rsidRPr="008B7B56">
          <w:rPr>
            <w:rStyle w:val="Hyperlink"/>
            <w:rFonts w:ascii="Arial" w:hAnsi="Arial" w:cs="Arial"/>
            <w:sz w:val="24"/>
            <w:szCs w:val="24"/>
          </w:rPr>
          <w:t>https://www.macrotrends.net/2526/sp-500-historical-annual-returns</w:t>
        </w:r>
      </w:hyperlink>
    </w:p>
    <w:p w14:paraId="621D5715" w14:textId="3A40728B" w:rsidR="00C34D84" w:rsidRDefault="00C34D84" w:rsidP="00712092">
      <w:pPr>
        <w:rPr>
          <w:sz w:val="24"/>
          <w:szCs w:val="24"/>
        </w:rPr>
      </w:pPr>
      <w:r w:rsidRPr="00C34D84">
        <w:rPr>
          <w:sz w:val="24"/>
          <w:szCs w:val="24"/>
        </w:rPr>
        <w:t>https://www.macrotrends.net/2526/sp-500-historical-annual-returns</w:t>
      </w:r>
    </w:p>
    <w:p w14:paraId="7050E29C" w14:textId="6A126BD0" w:rsidR="00C34D84" w:rsidRDefault="00C34D84" w:rsidP="00712092">
      <w:pPr>
        <w:rPr>
          <w:sz w:val="24"/>
          <w:szCs w:val="24"/>
        </w:rPr>
      </w:pPr>
    </w:p>
    <w:p w14:paraId="5FBEEF31" w14:textId="26EAEEC3" w:rsidR="00C34D84" w:rsidRDefault="00C34D84" w:rsidP="00712092">
      <w:pPr>
        <w:rPr>
          <w:sz w:val="24"/>
          <w:szCs w:val="24"/>
        </w:rPr>
      </w:pPr>
    </w:p>
    <w:p w14:paraId="1DD66FF4" w14:textId="4691B78F" w:rsidR="00C34D84" w:rsidRDefault="00C34D84" w:rsidP="00712092">
      <w:pPr>
        <w:rPr>
          <w:sz w:val="24"/>
          <w:szCs w:val="24"/>
        </w:rPr>
      </w:pPr>
    </w:p>
    <w:p w14:paraId="5F3BD392" w14:textId="15307417" w:rsidR="00C34D84" w:rsidRDefault="00C34D84" w:rsidP="00712092">
      <w:pPr>
        <w:rPr>
          <w:sz w:val="24"/>
          <w:szCs w:val="24"/>
        </w:rPr>
      </w:pPr>
    </w:p>
    <w:p w14:paraId="7EE246FB" w14:textId="49CA06F7" w:rsidR="00C34D84" w:rsidRDefault="00C34D84" w:rsidP="00712092">
      <w:pPr>
        <w:rPr>
          <w:sz w:val="24"/>
          <w:szCs w:val="24"/>
        </w:rPr>
      </w:pPr>
    </w:p>
    <w:p w14:paraId="667A0E44" w14:textId="73822D0D" w:rsidR="00C34D84" w:rsidRDefault="00C34D84" w:rsidP="00712092">
      <w:pPr>
        <w:rPr>
          <w:sz w:val="24"/>
          <w:szCs w:val="24"/>
        </w:rPr>
      </w:pPr>
    </w:p>
    <w:p w14:paraId="64075092" w14:textId="77777777" w:rsidR="00C34D84" w:rsidRDefault="00C34D84" w:rsidP="00712092">
      <w:pPr>
        <w:rPr>
          <w:sz w:val="24"/>
          <w:szCs w:val="24"/>
        </w:rPr>
      </w:pPr>
    </w:p>
    <w:p w14:paraId="13751BCF" w14:textId="2B5A56FC" w:rsidR="00C34D84" w:rsidRDefault="00C34D84" w:rsidP="00712092">
      <w:pPr>
        <w:rPr>
          <w:sz w:val="24"/>
          <w:szCs w:val="24"/>
        </w:rPr>
      </w:pPr>
    </w:p>
    <w:p w14:paraId="43C7CEDF" w14:textId="63582C3B" w:rsidR="00C34D84" w:rsidRDefault="00C34D84" w:rsidP="00712092">
      <w:pPr>
        <w:rPr>
          <w:sz w:val="24"/>
          <w:szCs w:val="24"/>
        </w:rPr>
      </w:pPr>
    </w:p>
    <w:p w14:paraId="48A5D0DD" w14:textId="1C4A8AAD" w:rsidR="00C34D84" w:rsidRDefault="00C34D84" w:rsidP="00712092">
      <w:pPr>
        <w:rPr>
          <w:sz w:val="24"/>
          <w:szCs w:val="24"/>
        </w:rPr>
      </w:pPr>
    </w:p>
    <w:p w14:paraId="72B6C0E6" w14:textId="68131E47" w:rsidR="00C34D84" w:rsidRDefault="00C34D84" w:rsidP="00712092">
      <w:pPr>
        <w:rPr>
          <w:sz w:val="24"/>
          <w:szCs w:val="24"/>
        </w:rPr>
      </w:pPr>
    </w:p>
    <w:p w14:paraId="407D8B32" w14:textId="2B51CB3E" w:rsidR="00C34D84" w:rsidRDefault="00C34D84" w:rsidP="00712092">
      <w:pPr>
        <w:rPr>
          <w:sz w:val="24"/>
          <w:szCs w:val="24"/>
        </w:rPr>
      </w:pPr>
    </w:p>
    <w:p w14:paraId="7BEEC756" w14:textId="126228D4" w:rsidR="00C34D84" w:rsidRDefault="00C34D84" w:rsidP="00712092">
      <w:pPr>
        <w:rPr>
          <w:sz w:val="24"/>
          <w:szCs w:val="24"/>
        </w:rPr>
      </w:pPr>
    </w:p>
    <w:p w14:paraId="5AC506C9" w14:textId="53A22895" w:rsidR="00C34D84" w:rsidRDefault="00C34D84" w:rsidP="00712092">
      <w:pPr>
        <w:rPr>
          <w:sz w:val="24"/>
          <w:szCs w:val="24"/>
        </w:rPr>
      </w:pPr>
    </w:p>
    <w:p w14:paraId="0EFBB49F" w14:textId="6E5F584A" w:rsidR="00C34D84" w:rsidRPr="00C34D84" w:rsidRDefault="00C34D84" w:rsidP="00C34D8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Recession period comparison</w:t>
      </w:r>
    </w:p>
    <w:p w14:paraId="7A2FBB46" w14:textId="4525C350" w:rsidR="00712092" w:rsidRDefault="00712092" w:rsidP="00712092">
      <w:pPr>
        <w:rPr>
          <w:sz w:val="24"/>
          <w:szCs w:val="24"/>
        </w:rPr>
      </w:pPr>
      <w:r w:rsidRPr="00712092">
        <w:rPr>
          <w:noProof/>
        </w:rPr>
        <w:drawing>
          <wp:inline distT="0" distB="0" distL="0" distR="0" wp14:anchorId="58219AC1" wp14:editId="167F621A">
            <wp:extent cx="5731510" cy="38303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2A236" w14:textId="49D5DCC4" w:rsidR="009161F7" w:rsidRDefault="009161F7" w:rsidP="00712092">
      <w:pPr>
        <w:rPr>
          <w:sz w:val="24"/>
          <w:szCs w:val="24"/>
        </w:rPr>
      </w:pPr>
    </w:p>
    <w:p w14:paraId="2C831B4E" w14:textId="78521CFF" w:rsidR="009161F7" w:rsidRDefault="00E7348B" w:rsidP="00712092">
      <w:pPr>
        <w:rPr>
          <w:sz w:val="24"/>
          <w:szCs w:val="24"/>
        </w:rPr>
      </w:pPr>
      <w:r w:rsidRPr="00E7348B">
        <w:rPr>
          <w:noProof/>
          <w:sz w:val="24"/>
          <w:szCs w:val="24"/>
        </w:rPr>
        <w:drawing>
          <wp:inline distT="0" distB="0" distL="0" distR="0" wp14:anchorId="012F65C4" wp14:editId="21FB2D49">
            <wp:extent cx="5731510" cy="4225290"/>
            <wp:effectExtent l="0" t="0" r="2540" b="381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11E61" w14:textId="08203E81" w:rsidR="00712092" w:rsidRDefault="00C34D84" w:rsidP="00712092">
      <w:pPr>
        <w:rPr>
          <w:sz w:val="24"/>
          <w:szCs w:val="24"/>
        </w:rPr>
      </w:pPr>
      <w:r w:rsidRPr="00C34D84">
        <w:rPr>
          <w:sz w:val="24"/>
          <w:szCs w:val="24"/>
        </w:rPr>
        <w:lastRenderedPageBreak/>
        <w:t>The 1990s were the longest period of economic growth in American history up to that point. The collapse of the speculative dot-com bubble, a fall in business outlays and investments, and the September 11th attacks, brought the decade of growth to an end.</w:t>
      </w:r>
    </w:p>
    <w:p w14:paraId="580A9B3A" w14:textId="29F1DB09" w:rsidR="00EF7E06" w:rsidRDefault="00EF7E06" w:rsidP="00712092">
      <w:pPr>
        <w:rPr>
          <w:sz w:val="24"/>
          <w:szCs w:val="24"/>
        </w:rPr>
      </w:pPr>
    </w:p>
    <w:p w14:paraId="73208C08" w14:textId="20ECD36C" w:rsidR="00EF7E06" w:rsidRDefault="00EF7E06" w:rsidP="00EF7E0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F7E06">
        <w:rPr>
          <w:sz w:val="24"/>
          <w:szCs w:val="24"/>
        </w:rPr>
        <w:t xml:space="preserve">How the economy reacted to the recession from 1980 to 2020 </w:t>
      </w:r>
    </w:p>
    <w:p w14:paraId="387792ED" w14:textId="26D6B190" w:rsidR="00C834BC" w:rsidRDefault="00C834BC" w:rsidP="00C834B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GDP and unemployment declined. Covid 19 lasted only two months, but it hit the worst. </w:t>
      </w:r>
    </w:p>
    <w:p w14:paraId="1566B682" w14:textId="55CF98E6" w:rsidR="00C834BC" w:rsidRDefault="00C834BC" w:rsidP="00C834BC">
      <w:pPr>
        <w:ind w:left="360"/>
        <w:rPr>
          <w:sz w:val="24"/>
          <w:szCs w:val="24"/>
        </w:rPr>
      </w:pPr>
      <w:r>
        <w:rPr>
          <w:sz w:val="24"/>
          <w:szCs w:val="24"/>
        </w:rPr>
        <w:t>The rates of GDP and unemployment were the highest</w:t>
      </w:r>
    </w:p>
    <w:p w14:paraId="1EFFDDC6" w14:textId="126CF4FF" w:rsidR="00C834BC" w:rsidRPr="00C834BC" w:rsidRDefault="00C834BC" w:rsidP="00C834BC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19B1CE90" w14:textId="01CD8481" w:rsidR="00EF7E06" w:rsidRPr="00EF7E06" w:rsidRDefault="00EF7E06" w:rsidP="00EF7E06">
      <w:pPr>
        <w:rPr>
          <w:sz w:val="24"/>
          <w:szCs w:val="24"/>
        </w:rPr>
      </w:pPr>
      <w:r w:rsidRPr="00EF7E06">
        <w:rPr>
          <w:noProof/>
          <w:sz w:val="24"/>
          <w:szCs w:val="24"/>
        </w:rPr>
        <w:drawing>
          <wp:inline distT="0" distB="0" distL="0" distR="0" wp14:anchorId="4460F406" wp14:editId="286851E1">
            <wp:extent cx="5731510" cy="3399790"/>
            <wp:effectExtent l="0" t="0" r="2540" b="0"/>
            <wp:docPr id="5" name="Picture 5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waterfall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CAF60" w14:textId="06210B03" w:rsidR="00EF7E06" w:rsidRDefault="00EF7E06" w:rsidP="00EF7E06">
      <w:pPr>
        <w:pStyle w:val="ListParagraph"/>
        <w:rPr>
          <w:sz w:val="24"/>
          <w:szCs w:val="24"/>
        </w:rPr>
      </w:pPr>
    </w:p>
    <w:p w14:paraId="3CB01C80" w14:textId="4B422CFF" w:rsidR="002D4C5A" w:rsidRDefault="002D4C5A" w:rsidP="00EF7E06">
      <w:pPr>
        <w:pStyle w:val="ListParagraph"/>
        <w:rPr>
          <w:sz w:val="24"/>
          <w:szCs w:val="24"/>
        </w:rPr>
      </w:pPr>
    </w:p>
    <w:p w14:paraId="44C50BF4" w14:textId="566856E5" w:rsidR="002D4C5A" w:rsidRDefault="002D4C5A" w:rsidP="00EF7E06">
      <w:pPr>
        <w:pStyle w:val="ListParagraph"/>
        <w:rPr>
          <w:sz w:val="24"/>
          <w:szCs w:val="24"/>
        </w:rPr>
      </w:pPr>
    </w:p>
    <w:p w14:paraId="7BDA856D" w14:textId="093D9891" w:rsidR="002D4C5A" w:rsidRDefault="002D4C5A" w:rsidP="00EF7E06">
      <w:pPr>
        <w:pStyle w:val="ListParagraph"/>
        <w:rPr>
          <w:sz w:val="24"/>
          <w:szCs w:val="24"/>
        </w:rPr>
      </w:pPr>
    </w:p>
    <w:p w14:paraId="1B12B0CB" w14:textId="3715257A" w:rsidR="002D4C5A" w:rsidRDefault="002D4C5A" w:rsidP="00EF7E06">
      <w:pPr>
        <w:pStyle w:val="ListParagraph"/>
        <w:rPr>
          <w:sz w:val="24"/>
          <w:szCs w:val="24"/>
        </w:rPr>
      </w:pPr>
    </w:p>
    <w:p w14:paraId="414B88F8" w14:textId="09D26F29" w:rsidR="002D4C5A" w:rsidRDefault="002D4C5A" w:rsidP="00EF7E06">
      <w:pPr>
        <w:pStyle w:val="ListParagraph"/>
        <w:rPr>
          <w:sz w:val="24"/>
          <w:szCs w:val="24"/>
        </w:rPr>
      </w:pPr>
    </w:p>
    <w:p w14:paraId="68FF1BEF" w14:textId="1DDF87D4" w:rsidR="002D4C5A" w:rsidRDefault="002D4C5A" w:rsidP="00EF7E06">
      <w:pPr>
        <w:pStyle w:val="ListParagraph"/>
        <w:rPr>
          <w:sz w:val="24"/>
          <w:szCs w:val="24"/>
        </w:rPr>
      </w:pPr>
    </w:p>
    <w:p w14:paraId="236A87FD" w14:textId="48EFC2AF" w:rsidR="002D4C5A" w:rsidRDefault="002D4C5A" w:rsidP="00EF7E06">
      <w:pPr>
        <w:pStyle w:val="ListParagraph"/>
        <w:rPr>
          <w:sz w:val="24"/>
          <w:szCs w:val="24"/>
        </w:rPr>
      </w:pPr>
    </w:p>
    <w:p w14:paraId="310CA23F" w14:textId="4CB9093A" w:rsidR="002D4C5A" w:rsidRDefault="002D4C5A" w:rsidP="00EF7E06">
      <w:pPr>
        <w:pStyle w:val="ListParagraph"/>
        <w:rPr>
          <w:sz w:val="24"/>
          <w:szCs w:val="24"/>
        </w:rPr>
      </w:pPr>
    </w:p>
    <w:p w14:paraId="71A3D4B4" w14:textId="3523E70A" w:rsidR="002D4C5A" w:rsidRDefault="002D4C5A" w:rsidP="00EF7E06">
      <w:pPr>
        <w:pStyle w:val="ListParagraph"/>
        <w:rPr>
          <w:sz w:val="24"/>
          <w:szCs w:val="24"/>
        </w:rPr>
      </w:pPr>
    </w:p>
    <w:p w14:paraId="3D6348F8" w14:textId="24F31FDF" w:rsidR="002D4C5A" w:rsidRDefault="002D4C5A" w:rsidP="00EF7E06">
      <w:pPr>
        <w:pStyle w:val="ListParagraph"/>
        <w:rPr>
          <w:sz w:val="24"/>
          <w:szCs w:val="24"/>
        </w:rPr>
      </w:pPr>
    </w:p>
    <w:p w14:paraId="1E1A7652" w14:textId="7839E620" w:rsidR="002D4C5A" w:rsidRDefault="002D4C5A" w:rsidP="00EF7E06">
      <w:pPr>
        <w:pStyle w:val="ListParagraph"/>
        <w:rPr>
          <w:sz w:val="24"/>
          <w:szCs w:val="24"/>
        </w:rPr>
      </w:pPr>
    </w:p>
    <w:p w14:paraId="603E5E9F" w14:textId="53C0E37C" w:rsidR="002D4C5A" w:rsidRDefault="002D4C5A" w:rsidP="00EF7E06">
      <w:pPr>
        <w:pStyle w:val="ListParagraph"/>
        <w:rPr>
          <w:sz w:val="24"/>
          <w:szCs w:val="24"/>
        </w:rPr>
      </w:pPr>
    </w:p>
    <w:p w14:paraId="29E3F134" w14:textId="28A9139C" w:rsidR="002D4C5A" w:rsidRDefault="002D4C5A" w:rsidP="00EF7E06">
      <w:pPr>
        <w:pStyle w:val="ListParagraph"/>
        <w:rPr>
          <w:sz w:val="24"/>
          <w:szCs w:val="24"/>
        </w:rPr>
      </w:pPr>
    </w:p>
    <w:p w14:paraId="1D579C1F" w14:textId="77777777" w:rsidR="00712092" w:rsidRPr="00712092" w:rsidRDefault="00712092" w:rsidP="00712092">
      <w:pPr>
        <w:rPr>
          <w:sz w:val="24"/>
          <w:szCs w:val="24"/>
        </w:rPr>
      </w:pPr>
    </w:p>
    <w:p w14:paraId="229C8DCA" w14:textId="07523216" w:rsidR="00C834BC" w:rsidRDefault="00C834BC" w:rsidP="00C834B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834BC">
        <w:rPr>
          <w:sz w:val="24"/>
          <w:szCs w:val="24"/>
        </w:rPr>
        <w:lastRenderedPageBreak/>
        <w:t>The relationship between the economy and share market</w:t>
      </w:r>
    </w:p>
    <w:p w14:paraId="3B3F7F34" w14:textId="42096BCB" w:rsidR="009D778A" w:rsidRPr="009D778A" w:rsidRDefault="00C834BC" w:rsidP="009D778A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078E73" wp14:editId="2A14407E">
            <wp:extent cx="5731510" cy="3466465"/>
            <wp:effectExtent l="0" t="0" r="2540" b="63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883F9" w14:textId="67C9E47C" w:rsidR="009D778A" w:rsidRDefault="009D778A"/>
    <w:p w14:paraId="474F4CC7" w14:textId="2DB6DA5B" w:rsidR="009D778A" w:rsidRDefault="009D778A">
      <w:r>
        <w:t>The graph below shows it is a negative relationship between GDP declined and Time since last recession</w:t>
      </w:r>
    </w:p>
    <w:p w14:paraId="6F368CBF" w14:textId="45EA165A" w:rsidR="009D778A" w:rsidRDefault="00D26875">
      <w:r>
        <w:rPr>
          <w:noProof/>
        </w:rPr>
        <w:drawing>
          <wp:inline distT="0" distB="0" distL="0" distR="0" wp14:anchorId="406841CD" wp14:editId="7AB13DC5">
            <wp:extent cx="4404995" cy="2989580"/>
            <wp:effectExtent l="0" t="0" r="0" b="127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995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FB3AD9" w14:textId="77777777" w:rsidR="009D778A" w:rsidRDefault="009D778A"/>
    <w:p w14:paraId="71081271" w14:textId="77777777" w:rsidR="00435EA6" w:rsidRDefault="00435EA6">
      <w:pPr>
        <w:rPr>
          <w:rFonts w:ascii="Arial" w:hAnsi="Arial" w:cs="Arial"/>
          <w:sz w:val="24"/>
          <w:szCs w:val="24"/>
        </w:rPr>
      </w:pPr>
      <w:r w:rsidRPr="00435EA6">
        <w:rPr>
          <w:rFonts w:ascii="Arial" w:hAnsi="Arial" w:cs="Arial"/>
          <w:sz w:val="24"/>
          <w:szCs w:val="24"/>
        </w:rPr>
        <w:t xml:space="preserve">Several studies (Dimson et al. [2002], Ritter [2005]) </w:t>
      </w:r>
      <w:r>
        <w:rPr>
          <w:rFonts w:ascii="Arial" w:hAnsi="Arial" w:cs="Arial"/>
          <w:sz w:val="24"/>
          <w:szCs w:val="24"/>
        </w:rPr>
        <w:t>found that the correlation between stock returns and GDP can be negative</w:t>
      </w:r>
    </w:p>
    <w:p w14:paraId="55A8D7BD" w14:textId="77EE83FA" w:rsidR="00343073" w:rsidRPr="00CB5CB6" w:rsidRDefault="00435EA6" w:rsidP="00343073">
      <w:r>
        <w:rPr>
          <w:rFonts w:ascii="Arial" w:hAnsi="Arial" w:cs="Arial"/>
          <w:sz w:val="24"/>
          <w:szCs w:val="24"/>
        </w:rPr>
        <w:t>The graph “ GDP Growth and S&amp;P 500 Returns 1980 – 20</w:t>
      </w:r>
      <w:r w:rsidR="00566F01">
        <w:rPr>
          <w:rFonts w:ascii="Arial" w:hAnsi="Arial" w:cs="Arial"/>
          <w:sz w:val="24"/>
          <w:szCs w:val="24"/>
        </w:rPr>
        <w:t>2</w:t>
      </w:r>
      <w:r>
        <w:rPr>
          <w:rFonts w:ascii="Arial" w:hAnsi="Arial" w:cs="Arial"/>
          <w:sz w:val="24"/>
          <w:szCs w:val="24"/>
        </w:rPr>
        <w:t xml:space="preserve">0,  GDP was quite stable. </w:t>
      </w:r>
      <w:r w:rsidR="008113F8">
        <w:rPr>
          <w:rFonts w:ascii="Arial" w:hAnsi="Arial" w:cs="Arial"/>
          <w:sz w:val="24"/>
          <w:szCs w:val="24"/>
        </w:rPr>
        <w:t>In comparison, we can see S&amp;P_500 had dramatic fluctuation</w:t>
      </w:r>
      <w:r w:rsidR="00CB5CB6">
        <w:rPr>
          <w:rFonts w:ascii="Arial" w:hAnsi="Arial" w:cs="Arial"/>
          <w:sz w:val="24"/>
          <w:szCs w:val="24"/>
        </w:rPr>
        <w:t>s</w:t>
      </w:r>
      <w:r w:rsidR="008113F8">
        <w:rPr>
          <w:rFonts w:ascii="Arial" w:hAnsi="Arial" w:cs="Arial"/>
          <w:sz w:val="24"/>
          <w:szCs w:val="24"/>
        </w:rPr>
        <w:t xml:space="preserve">. The highest </w:t>
      </w:r>
      <w:r w:rsidR="008113F8">
        <w:rPr>
          <w:rFonts w:ascii="Arial" w:hAnsi="Arial" w:cs="Arial"/>
          <w:sz w:val="24"/>
          <w:szCs w:val="24"/>
        </w:rPr>
        <w:lastRenderedPageBreak/>
        <w:t xml:space="preserve">point and lowest point were </w:t>
      </w:r>
      <w:r w:rsidR="008113F8">
        <w:rPr>
          <w:rFonts w:ascii="Helvetica" w:hAnsi="Helvetica" w:cs="Helvetica"/>
          <w:color w:val="000000"/>
          <w:sz w:val="18"/>
          <w:szCs w:val="18"/>
        </w:rPr>
        <w:t>29.30</w:t>
      </w:r>
      <w:r w:rsidR="008113F8">
        <w:rPr>
          <w:rFonts w:ascii="Arial" w:hAnsi="Arial" w:cs="Arial"/>
          <w:sz w:val="24"/>
          <w:szCs w:val="24"/>
        </w:rPr>
        <w:t xml:space="preserve"> and </w:t>
      </w:r>
      <w:r w:rsidR="008113F8" w:rsidRPr="008113F8">
        <w:rPr>
          <w:rFonts w:ascii="Arial" w:hAnsi="Arial" w:cs="Arial"/>
          <w:sz w:val="24"/>
          <w:szCs w:val="24"/>
        </w:rPr>
        <w:t xml:space="preserve">-39.20% </w:t>
      </w:r>
      <w:r w:rsidR="009D778A">
        <w:rPr>
          <w:noProof/>
          <w:sz w:val="24"/>
          <w:szCs w:val="24"/>
        </w:rPr>
        <w:drawing>
          <wp:inline distT="0" distB="0" distL="0" distR="0" wp14:anchorId="55F1B32F" wp14:editId="3473E2C6">
            <wp:extent cx="5485714" cy="3657143"/>
            <wp:effectExtent l="0" t="0" r="0" b="0"/>
            <wp:docPr id="4" name="Picture 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 with medium confidenc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C12F1" w14:textId="503D520D" w:rsidR="009D778A" w:rsidRDefault="009D778A"/>
    <w:p w14:paraId="5B819F41" w14:textId="145CF3CA" w:rsidR="009D778A" w:rsidRDefault="009D778A"/>
    <w:p w14:paraId="61E20184" w14:textId="5A62046A" w:rsidR="00B62DB7" w:rsidRDefault="00D26875">
      <w:r>
        <w:rPr>
          <w:noProof/>
        </w:rPr>
        <w:drawing>
          <wp:inline distT="0" distB="0" distL="0" distR="0" wp14:anchorId="0C4BD7FE" wp14:editId="08AC1463">
            <wp:extent cx="4714875" cy="3084830"/>
            <wp:effectExtent l="0" t="0" r="9525" b="127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08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8DD034" w14:textId="50888E18" w:rsidR="00B62DB7" w:rsidRDefault="00B62DB7">
      <w:r>
        <w:t xml:space="preserve">The graph above showed that there was no correlation between GDP and </w:t>
      </w:r>
      <w:r w:rsidR="00D26875">
        <w:t>S&amp;P 500 companies</w:t>
      </w:r>
    </w:p>
    <w:p w14:paraId="3DF3FB63" w14:textId="2C6FF219" w:rsidR="002D4C5A" w:rsidRDefault="002D4C5A"/>
    <w:p w14:paraId="5DA76493" w14:textId="79CA3DC8" w:rsidR="00543F4A" w:rsidRDefault="00543F4A"/>
    <w:p w14:paraId="5EB10E73" w14:textId="49844817" w:rsidR="00543F4A" w:rsidRDefault="00543F4A"/>
    <w:p w14:paraId="72CE6CEC" w14:textId="6B986F3D" w:rsidR="00543F4A" w:rsidRDefault="00543F4A">
      <w:r>
        <w:lastRenderedPageBreak/>
        <w:t xml:space="preserve">Conclusion: it is concluded that GDP usually has a negative trend whenever there is an economy recession: high unemployment rate. In contrast, share return still performs well although it has </w:t>
      </w:r>
      <w:r w:rsidR="00E02A13">
        <w:t xml:space="preserve">fluctuations. </w:t>
      </w:r>
    </w:p>
    <w:p w14:paraId="06AA29E6" w14:textId="3CC5383F" w:rsidR="002D4C5A" w:rsidRPr="009161F7" w:rsidRDefault="002D4C5A" w:rsidP="002D4C5A">
      <w:pPr>
        <w:pStyle w:val="Title"/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Limitation</w:t>
      </w:r>
      <w:r w:rsidRPr="009161F7">
        <w:rPr>
          <w:color w:val="000000" w:themeColor="text1"/>
          <w:spacing w:val="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9BD1A64" w14:textId="750B8D4B" w:rsidR="002D4C5A" w:rsidRDefault="002D4C5A"/>
    <w:p w14:paraId="5738703A" w14:textId="45C6EEDD" w:rsidR="002D4C5A" w:rsidRDefault="002D4C5A">
      <w:r>
        <w:t>It cannot predict the future share price because of the world v</w:t>
      </w:r>
      <w:r w:rsidRPr="002D4C5A">
        <w:t>olatility</w:t>
      </w:r>
      <w:r>
        <w:t xml:space="preserve"> and ongoing Ukraine war  </w:t>
      </w:r>
    </w:p>
    <w:p w14:paraId="7BC67B62" w14:textId="08785C69" w:rsidR="00DE5098" w:rsidRDefault="00DE5098"/>
    <w:sectPr w:rsidR="00DE50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428A3"/>
    <w:multiLevelType w:val="hybridMultilevel"/>
    <w:tmpl w:val="E288027E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830EBD"/>
    <w:multiLevelType w:val="hybridMultilevel"/>
    <w:tmpl w:val="B674EE5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3BF"/>
    <w:rsid w:val="002D4C5A"/>
    <w:rsid w:val="00343073"/>
    <w:rsid w:val="0035264B"/>
    <w:rsid w:val="00435EA6"/>
    <w:rsid w:val="00543F4A"/>
    <w:rsid w:val="00566F01"/>
    <w:rsid w:val="00712092"/>
    <w:rsid w:val="007713BF"/>
    <w:rsid w:val="008113F8"/>
    <w:rsid w:val="00901CDC"/>
    <w:rsid w:val="009161F7"/>
    <w:rsid w:val="009D778A"/>
    <w:rsid w:val="00B62DB7"/>
    <w:rsid w:val="00B861DF"/>
    <w:rsid w:val="00C34D84"/>
    <w:rsid w:val="00C834BC"/>
    <w:rsid w:val="00CB5CB6"/>
    <w:rsid w:val="00D26875"/>
    <w:rsid w:val="00DB162F"/>
    <w:rsid w:val="00DE5098"/>
    <w:rsid w:val="00E02A13"/>
    <w:rsid w:val="00E7348B"/>
    <w:rsid w:val="00EF7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C4FC0"/>
  <w15:chartTrackingRefBased/>
  <w15:docId w15:val="{572CE96B-6DDD-4094-83C7-4C471E6B4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713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1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713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4D8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34D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FollowedHyperlink">
    <w:name w:val="FollowedHyperlink"/>
    <w:basedOn w:val="DefaultParagraphFont"/>
    <w:uiPriority w:val="99"/>
    <w:semiHidden/>
    <w:unhideWhenUsed/>
    <w:rsid w:val="00C34D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macrotrends.net/2526/sp-500-historical-annual-returns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rbcgam.com/en/ca/learn-plan/investment-basics/whats-the-relationship-between-the-stock-market-and-the-economy/detail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economicsobservatory.com/does-the-stock-market-reflect-the-economy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MAICA TRAN</dc:creator>
  <cp:keywords/>
  <dc:description/>
  <cp:lastModifiedBy>MAICA TRAN</cp:lastModifiedBy>
  <cp:revision>3</cp:revision>
  <dcterms:created xsi:type="dcterms:W3CDTF">2022-03-28T10:24:00Z</dcterms:created>
  <dcterms:modified xsi:type="dcterms:W3CDTF">2022-03-30T09:17:00Z</dcterms:modified>
</cp:coreProperties>
</file>