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sz w:val="34"/>
          <w:szCs w:val="34"/>
        </w:rPr>
        <w:t xml:space="preserve">Customer Churn Risk Assessment</w:t>
      </w:r>
    </w:p>
    <w:p>
      <w:pPr>
        <w:spacing w:after="40"/>
      </w:pPr>
      <w:r>
        <w:rPr>
          <w:b/>
          <w:bCs/>
          <w:color w:val="444444"/>
          <w:sz w:val="24"/>
          <w:szCs w:val="24"/>
        </w:rPr>
        <w:t xml:space="preserve">European Retail Banking Portfolio — Predictive Model &amp; Financial Impact Report</w:t>
      </w:r>
    </w:p>
    <w:p>
      <w:pPr>
        <w:spacing w:after="300"/>
      </w:pPr>
      <w:r>
        <w:rPr>
          <w:color w:val="666666"/>
          <w:sz w:val="20"/>
          <w:szCs w:val="20"/>
        </w:rPr>
        <w:t xml:space="preserve">Prepared by: Manisha Chittora Goyal, Financial Data Analyst  |  Date: September 27, 2026</w:t>
      </w:r>
    </w:p>
    <w:p>
      <w:pPr>
        <w:pStyle w:val="Heading1"/>
        <w:spacing w:after="150" w:before="320"/>
      </w:pPr>
      <w:r>
        <w:t xml:space="preserve">1. Executive Summary</w:t>
      </w:r>
    </w:p>
    <w:p>
      <w:pPr>
        <w:spacing w:after="160"/>
      </w:pPr>
      <w:r>
        <w:t xml:space="preserve">This report assesses customer attrition ('churn') risk across a 10,000-account sample of a European retail bank and quantifies the financial case for a model-driven retention program. Roughly one in five customers (20.4%) in this book has already churned. A Gradient Boosting classifier, benchmarked against four alternative models, was selected as the production candidate on the strength of its discrimination power (ROC-AUC of 0.8693) and its precision (79.1%) in flagging at-risk accounts — meaning roughly four in five customers it flags as 'high risk' genuinely go on to churn, which keeps the cost of unnecessary retention outreach low.</w:t>
      </w:r>
    </w:p>
    <w:p>
      <w:pPr>
        <w:spacing w:after="160"/>
      </w:pPr>
      <w:r>
        <w:t xml:space="preserve">On a held-out 2,000-account test sample, the model identifies 201 of 407 actual churners (a recall of 49.4%). Applying a conservative 30% save-rate assumption to a targeted retention offer, this translates to an estimated $30,000 in annual retained revenue on the test sample alone — a figure that should scale roughly five-fold, to the order of $150,000 per year, if extended to the full 10,000-account book, subject to the caveats in Section 8. The single largest, and most actionable, churn driver is the number of products a customer holds, followed by customer age and residency in Germany.</w:t>
      </w:r>
    </w:p>
    <w:p>
      <w:pPr>
        <w:pStyle w:val="Heading1"/>
        <w:spacing w:after="150" w:before="320"/>
      </w:pPr>
      <w:r>
        <w:t xml:space="preserve">2. Business Context &amp; Objective</w:t>
      </w:r>
    </w:p>
    <w:p>
      <w:pPr>
        <w:spacing w:after="160"/>
      </w:pPr>
      <w:r>
        <w:t xml:space="preserve">Customer attrition is one of the more expensive, and more preventable, sources of revenue leakage in retail banking: acquiring a replacement customer typically costs several times more than retaining an existing one, and churned customers take their deposit balances, fee income, and cross-sell potential with them. The objective of this engagement was to (a) build a defensible, explainable model that ranks customers by churn probability, (b) translate that ranking into a dollar-denominated business case for a retention program, and (c) package the output into a tool the retention and marketing teams can use directly, without needing to touch the underlying code.</w:t>
      </w:r>
    </w:p>
    <w:p>
      <w:pPr>
        <w:pStyle w:val="Heading1"/>
        <w:spacing w:after="150" w:before="320"/>
      </w:pPr>
      <w:r>
        <w:t xml:space="preserve">3. Data Overview</w:t>
      </w:r>
    </w:p>
    <w:p>
      <w:pPr>
        <w:spacing w:after="160"/>
      </w:pPr>
      <w:r>
        <w:t xml:space="preserve">The analysis draws on 10,000 customer records with 14 raw fields, including credit score, geography, gender, age, tenure, account balance, number of products held, credit-card ownership, activity status, and estimated salary, against a binary target (Exited).</w:t>
      </w:r>
    </w:p>
    <w:tbl>
      <w:tblPr>
        <w:tblW w:type="dxa" w:w="10260"/>
        <w:tblBorders>
          <w:top w:val="single" w:color="auto" w:sz="4"/>
          <w:left w:val="single" w:color="auto" w:sz="4"/>
          <w:bottom w:val="single" w:color="auto" w:sz="4"/>
          <w:right w:val="single" w:color="auto" w:sz="4"/>
          <w:insideH w:val="single" w:color="auto" w:sz="4"/>
          <w:insideV w:val="single" w:color="auto" w:sz="4"/>
        </w:tblBorders>
      </w:tblPr>
      <w:tblGrid>
        <w:gridCol w:w="4200"/>
        <w:gridCol w:w="6060"/>
      </w:tblGrid>
      <w:tr>
        <w:trPr>
          <w:tblHeader/>
        </w:trPr>
        <w:tc>
          <w:tcPr>
            <w:tcW w:type="dxa" w:w="4200"/>
            <w:shd w:fill="1F2937" w:val="clear"/>
            <w:tcMar>
              <w:top w:type="dxa" w:w="80"/>
              <w:left w:type="dxa" w:w="100"/>
              <w:bottom w:type="dxa" w:w="80"/>
              <w:right w:type="dxa" w:w="100"/>
            </w:tcMar>
          </w:tcPr>
          <w:p>
            <w:pPr>
              <w:jc w:val="left"/>
            </w:pPr>
            <w:r>
              <w:rPr>
                <w:b/>
                <w:bCs/>
                <w:color w:val="FFFFFF"/>
                <w:sz w:val="20"/>
                <w:szCs w:val="20"/>
              </w:rPr>
              <w:t xml:space="preserve">Data Quality Check</w:t>
            </w:r>
          </w:p>
        </w:tc>
        <w:tc>
          <w:tcPr>
            <w:tcW w:type="dxa" w:w="6060"/>
            <w:shd w:fill="1F2937" w:val="clear"/>
            <w:tcMar>
              <w:top w:type="dxa" w:w="80"/>
              <w:left w:type="dxa" w:w="100"/>
              <w:bottom w:type="dxa" w:w="80"/>
              <w:right w:type="dxa" w:w="100"/>
            </w:tcMar>
          </w:tcPr>
          <w:p>
            <w:pPr>
              <w:jc w:val="left"/>
            </w:pPr>
            <w:r>
              <w:rPr>
                <w:b/>
                <w:bCs/>
                <w:color w:val="FFFFFF"/>
                <w:sz w:val="20"/>
                <w:szCs w:val="20"/>
              </w:rPr>
              <w:t xml:space="preserve">Result</w:t>
            </w:r>
          </w:p>
        </w:tc>
      </w:tr>
      <w:tr>
        <w:tc>
          <w:tcPr>
            <w:tcW w:type="dxa" w:w="4200"/>
            <w:shd w:fill="FFFFFF" w:val="clear"/>
            <w:tcMar>
              <w:top w:type="dxa" w:w="80"/>
              <w:left w:type="dxa" w:w="100"/>
              <w:bottom w:type="dxa" w:w="80"/>
              <w:right w:type="dxa" w:w="100"/>
            </w:tcMar>
          </w:tcPr>
          <w:p>
            <w:pPr>
              <w:jc w:val="left"/>
            </w:pPr>
            <w:r>
              <w:rPr>
                <w:b w:val="false"/>
                <w:bCs w:val="false"/>
                <w:color w:val="111111"/>
                <w:sz w:val="20"/>
                <w:szCs w:val="20"/>
              </w:rPr>
              <w:t xml:space="preserve">Missing values</w:t>
            </w:r>
          </w:p>
        </w:tc>
        <w:tc>
          <w:tcPr>
            <w:tcW w:type="dxa" w:w="6060"/>
            <w:shd w:fill="FFFFFF" w:val="clear"/>
            <w:tcMar>
              <w:top w:type="dxa" w:w="80"/>
              <w:left w:type="dxa" w:w="100"/>
              <w:bottom w:type="dxa" w:w="80"/>
              <w:right w:type="dxa" w:w="100"/>
            </w:tcMar>
          </w:tcPr>
          <w:p>
            <w:pPr>
              <w:jc w:val="left"/>
            </w:pPr>
            <w:r>
              <w:rPr>
                <w:b w:val="false"/>
                <w:bCs w:val="false"/>
                <w:color w:val="111111"/>
                <w:sz w:val="20"/>
                <w:szCs w:val="20"/>
              </w:rPr>
              <w:t xml:space="preserve">None across all 14 fields</w:t>
            </w:r>
          </w:p>
        </w:tc>
      </w:tr>
      <w:tr>
        <w:tc>
          <w:tcPr>
            <w:tcW w:type="dxa" w:w="4200"/>
            <w:shd w:fill="FFFFFF" w:val="clear"/>
            <w:tcMar>
              <w:top w:type="dxa" w:w="80"/>
              <w:left w:type="dxa" w:w="100"/>
              <w:bottom w:type="dxa" w:w="80"/>
              <w:right w:type="dxa" w:w="100"/>
            </w:tcMar>
          </w:tcPr>
          <w:p>
            <w:pPr>
              <w:jc w:val="left"/>
            </w:pPr>
            <w:r>
              <w:rPr>
                <w:b w:val="false"/>
                <w:bCs w:val="false"/>
                <w:color w:val="111111"/>
                <w:sz w:val="20"/>
                <w:szCs w:val="20"/>
              </w:rPr>
              <w:t xml:space="preserve">Duplicate records</w:t>
            </w:r>
          </w:p>
        </w:tc>
        <w:tc>
          <w:tcPr>
            <w:tcW w:type="dxa" w:w="6060"/>
            <w:shd w:fill="FFFFFF" w:val="clear"/>
            <w:tcMar>
              <w:top w:type="dxa" w:w="80"/>
              <w:left w:type="dxa" w:w="100"/>
              <w:bottom w:type="dxa" w:w="80"/>
              <w:right w:type="dxa" w:w="100"/>
            </w:tcMar>
          </w:tcPr>
          <w:p>
            <w:pPr>
              <w:jc w:val="left"/>
            </w:pPr>
            <w:r>
              <w:rPr>
                <w:b w:val="false"/>
                <w:bCs w:val="false"/>
                <w:color w:val="111111"/>
                <w:sz w:val="20"/>
                <w:szCs w:val="20"/>
              </w:rPr>
              <w:t xml:space="preserve">None</w:t>
            </w:r>
          </w:p>
        </w:tc>
      </w:tr>
      <w:tr>
        <w:tc>
          <w:tcPr>
            <w:tcW w:type="dxa" w:w="4200"/>
            <w:shd w:fill="FFFFFF" w:val="clear"/>
            <w:tcMar>
              <w:top w:type="dxa" w:w="80"/>
              <w:left w:type="dxa" w:w="100"/>
              <w:bottom w:type="dxa" w:w="80"/>
              <w:right w:type="dxa" w:w="100"/>
            </w:tcMar>
          </w:tcPr>
          <w:p>
            <w:pPr>
              <w:jc w:val="left"/>
            </w:pPr>
            <w:r>
              <w:rPr>
                <w:b w:val="false"/>
                <w:bCs w:val="false"/>
                <w:color w:val="111111"/>
                <w:sz w:val="20"/>
                <w:szCs w:val="20"/>
              </w:rPr>
              <w:t xml:space="preserve">Non-informative fields identified</w:t>
            </w:r>
          </w:p>
        </w:tc>
        <w:tc>
          <w:tcPr>
            <w:tcW w:type="dxa" w:w="6060"/>
            <w:shd w:fill="FFFFFF" w:val="clear"/>
            <w:tcMar>
              <w:top w:type="dxa" w:w="80"/>
              <w:left w:type="dxa" w:w="100"/>
              <w:bottom w:type="dxa" w:w="80"/>
              <w:right w:type="dxa" w:w="100"/>
            </w:tcMar>
          </w:tcPr>
          <w:p>
            <w:pPr>
              <w:jc w:val="left"/>
            </w:pPr>
            <w:r>
              <w:rPr>
                <w:b w:val="false"/>
                <w:bCs w:val="false"/>
                <w:color w:val="111111"/>
                <w:sz w:val="20"/>
                <w:szCs w:val="20"/>
              </w:rPr>
              <w:t xml:space="preserve">CustomerId, Surname, Year (constant across all rows) — removed</w:t>
            </w:r>
          </w:p>
        </w:tc>
      </w:tr>
      <w:tr>
        <w:tc>
          <w:tcPr>
            <w:tcW w:type="dxa" w:w="4200"/>
            <w:shd w:fill="FFFFFF" w:val="clear"/>
            <w:tcMar>
              <w:top w:type="dxa" w:w="80"/>
              <w:left w:type="dxa" w:w="100"/>
              <w:bottom w:type="dxa" w:w="80"/>
              <w:right w:type="dxa" w:w="100"/>
            </w:tcMar>
          </w:tcPr>
          <w:p>
            <w:pPr>
              <w:jc w:val="left"/>
            </w:pPr>
            <w:r>
              <w:rPr>
                <w:b w:val="false"/>
                <w:bCs w:val="false"/>
                <w:color w:val="111111"/>
                <w:sz w:val="20"/>
                <w:szCs w:val="20"/>
              </w:rPr>
              <w:t xml:space="preserve">Overall churn rate</w:t>
            </w:r>
          </w:p>
        </w:tc>
        <w:tc>
          <w:tcPr>
            <w:tcW w:type="dxa" w:w="6060"/>
            <w:shd w:fill="FFFFFF" w:val="clear"/>
            <w:tcMar>
              <w:top w:type="dxa" w:w="80"/>
              <w:left w:type="dxa" w:w="100"/>
              <w:bottom w:type="dxa" w:w="80"/>
              <w:right w:type="dxa" w:w="100"/>
            </w:tcMar>
          </w:tcPr>
          <w:p>
            <w:pPr>
              <w:jc w:val="left"/>
            </w:pPr>
            <w:r>
              <w:rPr>
                <w:b w:val="false"/>
                <w:bCs w:val="false"/>
                <w:color w:val="111111"/>
                <w:sz w:val="20"/>
                <w:szCs w:val="20"/>
              </w:rPr>
              <w:t xml:space="preserve">20.4% (2,038 of 10,000 customers)</w:t>
            </w:r>
          </w:p>
        </w:tc>
      </w:tr>
    </w:tbl>
    <w:p>
      <w:pPr>
        <w:spacing w:after="160"/>
      </w:pPr>
      <w:r>
        <w:rPr>
          <w:i w:val="false"/>
          <w:iCs w:val="false"/>
        </w:rPr>
        <w:t xml:space="preserve">The clean, low-missingness state of this data is a favorable starting point; in practice, I would still recommend the pipeline's defensive missing-value handling remain in place ahead of any production refresh of this dataset, since future extracts are not guaranteed to be this clean.</w:t>
      </w:r>
    </w:p>
    <w:p>
      <w:pPr>
        <w:pStyle w:val="Heading1"/>
        <w:spacing w:after="150" w:before="320"/>
      </w:pPr>
      <w:r>
        <w:t xml:space="preserve">4. Analytical Approach</w:t>
      </w:r>
    </w:p>
    <w:p>
      <w:pPr>
        <w:pStyle w:val="Heading2"/>
        <w:spacing w:after="110" w:before="220"/>
      </w:pPr>
      <w:r>
        <w:t xml:space="preserve">4.1 Feature Engineering</w:t>
      </w:r>
    </w:p>
    <w:p>
      <w:pPr>
        <w:spacing w:after="160"/>
      </w:pPr>
      <w:r>
        <w:t xml:space="preserve">Beyond the raw fields, four engineered features were added specifically to surface financial-behavioral patterns the raw columns don't expose directly:</w:t>
      </w:r>
    </w:p>
    <w:p>
      <w:pPr>
        <w:pStyle w:val="ListParagraph"/>
        <w:numPr>
          <w:ilvl w:val="0"/>
          <w:numId w:val="1"/>
        </w:numPr>
        <w:spacing w:after="80"/>
      </w:pPr>
      <w:r>
        <w:t xml:space="preserve">Balance-to-Salary Ratio — flags customers whose deposit balance is disproportionate to their income, a proxy for financial engagement with the bank.</w:t>
      </w:r>
    </w:p>
    <w:p>
      <w:pPr>
        <w:pStyle w:val="ListParagraph"/>
        <w:numPr>
          <w:ilvl w:val="0"/>
          <w:numId w:val="1"/>
        </w:numPr>
        <w:spacing w:after="80"/>
      </w:pPr>
      <w:r>
        <w:t xml:space="preserve">Product Density (products held relative to tenure) — surfaces customers who have not deepened their relationship with the bank over time.</w:t>
      </w:r>
    </w:p>
    <w:p>
      <w:pPr>
        <w:pStyle w:val="ListParagraph"/>
        <w:numPr>
          <w:ilvl w:val="0"/>
          <w:numId w:val="1"/>
        </w:numPr>
        <w:spacing w:after="80"/>
      </w:pPr>
      <w:r>
        <w:t xml:space="preserve">Engagement × Products Interaction — distinguishes an active, multi-product customer from an inactive one, since the risk profile of these two groups differs materially.</w:t>
      </w:r>
    </w:p>
    <w:p>
      <w:pPr>
        <w:pStyle w:val="ListParagraph"/>
        <w:numPr>
          <w:ilvl w:val="0"/>
          <w:numId w:val="1"/>
        </w:numPr>
        <w:spacing w:after="80"/>
      </w:pPr>
      <w:r>
        <w:t xml:space="preserve">Age × Tenure Interaction — captures life-stage effects on loyalty that age or tenure alone do not.</w:t>
      </w:r>
    </w:p>
    <w:p>
      <w:pPr>
        <w:pStyle w:val="Heading2"/>
        <w:spacing w:after="110" w:before="220"/>
      </w:pPr>
      <w:r>
        <w:t xml:space="preserve">4.2 Modeling &amp; Validation</w:t>
      </w:r>
    </w:p>
    <w:p>
      <w:pPr>
        <w:spacing w:after="160"/>
      </w:pPr>
      <w:r>
        <w:t xml:space="preserve">Geography and Gender were one-hot encoded, numeric features were standardized, and the data was split 80/20 into training and test sets using stratified sampling so the 20.4% churn rate is preserved in both halves. Model selection used stratified 5-fold cross-validation on the training set to guard against an optimistic read from any single split.</w:t>
      </w:r>
    </w:p>
    <w:p>
      <w:pPr>
        <w:pStyle w:val="Heading1"/>
        <w:spacing w:after="150" w:before="320"/>
      </w:pPr>
      <w:r>
        <w:t xml:space="preserve">5. Model Performance Comparison</w:t>
      </w:r>
    </w:p>
    <w:p>
      <w:pPr>
        <w:spacing w:after="160"/>
      </w:pPr>
      <w:r>
        <w:t xml:space="preserve">Five candidate models were trained and evaluated on the untouched test set:</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500"/>
        <w:gridCol w:w="1500"/>
        <w:gridCol w:w="1500"/>
        <w:gridCol w:w="1160"/>
      </w:tblGrid>
      <w:tr>
        <w:trPr>
          <w:tblHeader/>
        </w:trPr>
        <w:tc>
          <w:tcPr>
            <w:tcW w:type="dxa" w:w="2600"/>
            <w:shd w:fill="1F2937" w:val="clear"/>
            <w:tcMar>
              <w:top w:type="dxa" w:w="80"/>
              <w:left w:type="dxa" w:w="100"/>
              <w:bottom w:type="dxa" w:w="80"/>
              <w:right w:type="dxa" w:w="100"/>
            </w:tcMar>
          </w:tcPr>
          <w:p>
            <w:pPr>
              <w:jc w:val="left"/>
            </w:pPr>
            <w:r>
              <w:rPr>
                <w:b/>
                <w:bCs/>
                <w:color w:val="FFFFFF"/>
                <w:sz w:val="20"/>
                <w:szCs w:val="20"/>
              </w:rPr>
              <w:t xml:space="preserve">Model</w:t>
            </w:r>
          </w:p>
        </w:tc>
        <w:tc>
          <w:tcPr>
            <w:tcW w:type="dxa" w:w="1500"/>
            <w:shd w:fill="1F2937" w:val="clear"/>
            <w:tcMar>
              <w:top w:type="dxa" w:w="80"/>
              <w:left w:type="dxa" w:w="100"/>
              <w:bottom w:type="dxa" w:w="80"/>
              <w:right w:type="dxa" w:w="100"/>
            </w:tcMar>
          </w:tcPr>
          <w:p>
            <w:pPr>
              <w:jc w:val="left"/>
            </w:pPr>
            <w:r>
              <w:rPr>
                <w:b/>
                <w:bCs/>
                <w:color w:val="FFFFFF"/>
                <w:sz w:val="20"/>
                <w:szCs w:val="20"/>
              </w:rPr>
              <w:t xml:space="preserve">Accuracy</w:t>
            </w:r>
          </w:p>
        </w:tc>
        <w:tc>
          <w:tcPr>
            <w:tcW w:type="dxa" w:w="1500"/>
            <w:shd w:fill="1F2937" w:val="clear"/>
            <w:tcMar>
              <w:top w:type="dxa" w:w="80"/>
              <w:left w:type="dxa" w:w="100"/>
              <w:bottom w:type="dxa" w:w="80"/>
              <w:right w:type="dxa" w:w="100"/>
            </w:tcMar>
          </w:tcPr>
          <w:p>
            <w:pPr>
              <w:jc w:val="left"/>
            </w:pPr>
            <w:r>
              <w:rPr>
                <w:b/>
                <w:bCs/>
                <w:color w:val="FFFFFF"/>
                <w:sz w:val="20"/>
                <w:szCs w:val="20"/>
              </w:rPr>
              <w:t xml:space="preserve">Precision</w:t>
            </w:r>
          </w:p>
        </w:tc>
        <w:tc>
          <w:tcPr>
            <w:tcW w:type="dxa" w:w="1500"/>
            <w:shd w:fill="1F2937" w:val="clear"/>
            <w:tcMar>
              <w:top w:type="dxa" w:w="80"/>
              <w:left w:type="dxa" w:w="100"/>
              <w:bottom w:type="dxa" w:w="80"/>
              <w:right w:type="dxa" w:w="100"/>
            </w:tcMar>
          </w:tcPr>
          <w:p>
            <w:pPr>
              <w:jc w:val="left"/>
            </w:pPr>
            <w:r>
              <w:rPr>
                <w:b/>
                <w:bCs/>
                <w:color w:val="FFFFFF"/>
                <w:sz w:val="20"/>
                <w:szCs w:val="20"/>
              </w:rPr>
              <w:t xml:space="preserve">Recall</w:t>
            </w:r>
          </w:p>
        </w:tc>
        <w:tc>
          <w:tcPr>
            <w:tcW w:type="dxa" w:w="1500"/>
            <w:shd w:fill="1F2937" w:val="clear"/>
            <w:tcMar>
              <w:top w:type="dxa" w:w="80"/>
              <w:left w:type="dxa" w:w="100"/>
              <w:bottom w:type="dxa" w:w="80"/>
              <w:right w:type="dxa" w:w="100"/>
            </w:tcMar>
          </w:tcPr>
          <w:p>
            <w:pPr>
              <w:jc w:val="left"/>
            </w:pPr>
            <w:r>
              <w:rPr>
                <w:b/>
                <w:bCs/>
                <w:color w:val="FFFFFF"/>
                <w:sz w:val="20"/>
                <w:szCs w:val="20"/>
              </w:rPr>
              <w:t xml:space="preserve">F1-Score</w:t>
            </w:r>
          </w:p>
        </w:tc>
        <w:tc>
          <w:tcPr>
            <w:tcW w:type="dxa" w:w="1160"/>
            <w:shd w:fill="1F2937" w:val="clear"/>
            <w:tcMar>
              <w:top w:type="dxa" w:w="80"/>
              <w:left w:type="dxa" w:w="100"/>
              <w:bottom w:type="dxa" w:w="80"/>
              <w:right w:type="dxa" w:w="100"/>
            </w:tcMar>
          </w:tcPr>
          <w:p>
            <w:pPr>
              <w:jc w:val="left"/>
            </w:pPr>
            <w:r>
              <w:rPr>
                <w:b/>
                <w:bCs/>
                <w:color w:val="FFFFFF"/>
                <w:sz w:val="20"/>
                <w:szCs w:val="20"/>
              </w:rPr>
              <w:t xml:space="preserve">ROC-AUC</w:t>
            </w:r>
          </w:p>
        </w:tc>
      </w:tr>
      <w:tr>
        <w:tc>
          <w:tcPr>
            <w:tcW w:type="dxa" w:w="2600"/>
            <w:shd w:fill="FFFFFF" w:val="clear"/>
            <w:tcMar>
              <w:top w:type="dxa" w:w="80"/>
              <w:left w:type="dxa" w:w="100"/>
              <w:bottom w:type="dxa" w:w="80"/>
              <w:right w:type="dxa" w:w="100"/>
            </w:tcMar>
          </w:tcPr>
          <w:p>
            <w:pPr>
              <w:jc w:val="left"/>
            </w:pPr>
            <w:r>
              <w:rPr>
                <w:b w:val="false"/>
                <w:bCs w:val="false"/>
                <w:color w:val="111111"/>
                <w:sz w:val="20"/>
                <w:szCs w:val="20"/>
              </w:rPr>
              <w:t xml:space="preserve">Gradient Boosting (selected)</w:t>
            </w:r>
          </w:p>
        </w:tc>
        <w:tc>
          <w:tcPr>
            <w:tcW w:type="dxa" w:w="1500"/>
            <w:shd w:fill="FFFFFF" w:val="clear"/>
            <w:tcMar>
              <w:top w:type="dxa" w:w="80"/>
              <w:left w:type="dxa" w:w="100"/>
              <w:bottom w:type="dxa" w:w="80"/>
              <w:right w:type="dxa" w:w="100"/>
            </w:tcMar>
          </w:tcPr>
          <w:p>
            <w:pPr>
              <w:jc w:val="left"/>
            </w:pPr>
            <w:r>
              <w:rPr>
                <w:b w:val="false"/>
                <w:bCs w:val="false"/>
                <w:color w:val="111111"/>
                <w:sz w:val="20"/>
                <w:szCs w:val="20"/>
              </w:rPr>
              <w:t xml:space="preserve">87.1%</w:t>
            </w:r>
          </w:p>
        </w:tc>
        <w:tc>
          <w:tcPr>
            <w:tcW w:type="dxa" w:w="1500"/>
            <w:shd w:fill="FFFFFF" w:val="clear"/>
            <w:tcMar>
              <w:top w:type="dxa" w:w="80"/>
              <w:left w:type="dxa" w:w="100"/>
              <w:bottom w:type="dxa" w:w="80"/>
              <w:right w:type="dxa" w:w="100"/>
            </w:tcMar>
          </w:tcPr>
          <w:p>
            <w:pPr>
              <w:jc w:val="left"/>
            </w:pPr>
            <w:r>
              <w:rPr>
                <w:b w:val="false"/>
                <w:bCs w:val="false"/>
                <w:color w:val="111111"/>
                <w:sz w:val="20"/>
                <w:szCs w:val="20"/>
              </w:rPr>
              <w:t xml:space="preserve">79.1%</w:t>
            </w:r>
          </w:p>
        </w:tc>
        <w:tc>
          <w:tcPr>
            <w:tcW w:type="dxa" w:w="1500"/>
            <w:shd w:fill="FFFFFF" w:val="clear"/>
            <w:tcMar>
              <w:top w:type="dxa" w:w="80"/>
              <w:left w:type="dxa" w:w="100"/>
              <w:bottom w:type="dxa" w:w="80"/>
              <w:right w:type="dxa" w:w="100"/>
            </w:tcMar>
          </w:tcPr>
          <w:p>
            <w:pPr>
              <w:jc w:val="left"/>
            </w:pPr>
            <w:r>
              <w:rPr>
                <w:b w:val="false"/>
                <w:bCs w:val="false"/>
                <w:color w:val="111111"/>
                <w:sz w:val="20"/>
                <w:szCs w:val="20"/>
              </w:rPr>
              <w:t xml:space="preserve">49.4%</w:t>
            </w:r>
          </w:p>
        </w:tc>
        <w:tc>
          <w:tcPr>
            <w:tcW w:type="dxa" w:w="1500"/>
            <w:shd w:fill="FFFFFF" w:val="clear"/>
            <w:tcMar>
              <w:top w:type="dxa" w:w="80"/>
              <w:left w:type="dxa" w:w="100"/>
              <w:bottom w:type="dxa" w:w="80"/>
              <w:right w:type="dxa" w:w="100"/>
            </w:tcMar>
          </w:tcPr>
          <w:p>
            <w:pPr>
              <w:jc w:val="left"/>
            </w:pPr>
            <w:r>
              <w:rPr>
                <w:b w:val="false"/>
                <w:bCs w:val="false"/>
                <w:color w:val="111111"/>
                <w:sz w:val="20"/>
                <w:szCs w:val="20"/>
              </w:rPr>
              <w:t xml:space="preserve">0.608</w:t>
            </w:r>
          </w:p>
        </w:tc>
        <w:tc>
          <w:tcPr>
            <w:tcW w:type="dxa" w:w="1160"/>
            <w:shd w:fill="FFFFFF" w:val="clear"/>
            <w:tcMar>
              <w:top w:type="dxa" w:w="80"/>
              <w:left w:type="dxa" w:w="100"/>
              <w:bottom w:type="dxa" w:w="80"/>
              <w:right w:type="dxa" w:w="100"/>
            </w:tcMar>
          </w:tcPr>
          <w:p>
            <w:pPr>
              <w:jc w:val="left"/>
            </w:pPr>
            <w:r>
              <w:rPr>
                <w:b w:val="false"/>
                <w:bCs w:val="false"/>
                <w:color w:val="111111"/>
                <w:sz w:val="20"/>
                <w:szCs w:val="20"/>
              </w:rPr>
              <w:t xml:space="preserve">0.8693</w:t>
            </w:r>
          </w:p>
        </w:tc>
      </w:tr>
      <w:tr>
        <w:tc>
          <w:tcPr>
            <w:tcW w:type="dxa" w:w="2600"/>
            <w:shd w:fill="FFFFFF" w:val="clear"/>
            <w:tcMar>
              <w:top w:type="dxa" w:w="80"/>
              <w:left w:type="dxa" w:w="100"/>
              <w:bottom w:type="dxa" w:w="80"/>
              <w:right w:type="dxa" w:w="100"/>
            </w:tcMar>
          </w:tcPr>
          <w:p>
            <w:pPr>
              <w:jc w:val="left"/>
            </w:pPr>
            <w:r>
              <w:rPr>
                <w:b w:val="false"/>
                <w:bCs w:val="false"/>
                <w:color w:val="111111"/>
                <w:sz w:val="20"/>
                <w:szCs w:val="20"/>
              </w:rPr>
              <w:t xml:space="preserve">XGBoost</w:t>
            </w:r>
          </w:p>
        </w:tc>
        <w:tc>
          <w:tcPr>
            <w:tcW w:type="dxa" w:w="1500"/>
            <w:shd w:fill="FFFFFF" w:val="clear"/>
            <w:tcMar>
              <w:top w:type="dxa" w:w="80"/>
              <w:left w:type="dxa" w:w="100"/>
              <w:bottom w:type="dxa" w:w="80"/>
              <w:right w:type="dxa" w:w="100"/>
            </w:tcMar>
          </w:tcPr>
          <w:p>
            <w:pPr>
              <w:jc w:val="left"/>
            </w:pPr>
            <w:r>
              <w:rPr>
                <w:b w:val="false"/>
                <w:bCs w:val="false"/>
                <w:color w:val="111111"/>
                <w:sz w:val="20"/>
                <w:szCs w:val="20"/>
              </w:rPr>
              <w:t xml:space="preserve">80.4%</w:t>
            </w:r>
          </w:p>
        </w:tc>
        <w:tc>
          <w:tcPr>
            <w:tcW w:type="dxa" w:w="1500"/>
            <w:shd w:fill="FFFFFF" w:val="clear"/>
            <w:tcMar>
              <w:top w:type="dxa" w:w="80"/>
              <w:left w:type="dxa" w:w="100"/>
              <w:bottom w:type="dxa" w:w="80"/>
              <w:right w:type="dxa" w:w="100"/>
            </w:tcMar>
          </w:tcPr>
          <w:p>
            <w:pPr>
              <w:jc w:val="left"/>
            </w:pPr>
            <w:r>
              <w:rPr>
                <w:b w:val="false"/>
                <w:bCs w:val="false"/>
                <w:color w:val="111111"/>
                <w:sz w:val="20"/>
                <w:szCs w:val="20"/>
              </w:rPr>
              <w:t xml:space="preserve">51.2%</w:t>
            </w:r>
          </w:p>
        </w:tc>
        <w:tc>
          <w:tcPr>
            <w:tcW w:type="dxa" w:w="1500"/>
            <w:shd w:fill="FFFFFF" w:val="clear"/>
            <w:tcMar>
              <w:top w:type="dxa" w:w="80"/>
              <w:left w:type="dxa" w:w="100"/>
              <w:bottom w:type="dxa" w:w="80"/>
              <w:right w:type="dxa" w:w="100"/>
            </w:tcMar>
          </w:tcPr>
          <w:p>
            <w:pPr>
              <w:jc w:val="left"/>
            </w:pPr>
            <w:r>
              <w:rPr>
                <w:b w:val="false"/>
                <w:bCs w:val="false"/>
                <w:color w:val="111111"/>
                <w:sz w:val="20"/>
                <w:szCs w:val="20"/>
              </w:rPr>
              <w:t xml:space="preserve">73.0%</w:t>
            </w:r>
          </w:p>
        </w:tc>
        <w:tc>
          <w:tcPr>
            <w:tcW w:type="dxa" w:w="1500"/>
            <w:shd w:fill="FFFFFF" w:val="clear"/>
            <w:tcMar>
              <w:top w:type="dxa" w:w="80"/>
              <w:left w:type="dxa" w:w="100"/>
              <w:bottom w:type="dxa" w:w="80"/>
              <w:right w:type="dxa" w:w="100"/>
            </w:tcMar>
          </w:tcPr>
          <w:p>
            <w:pPr>
              <w:jc w:val="left"/>
            </w:pPr>
            <w:r>
              <w:rPr>
                <w:b w:val="false"/>
                <w:bCs w:val="false"/>
                <w:color w:val="111111"/>
                <w:sz w:val="20"/>
                <w:szCs w:val="20"/>
              </w:rPr>
              <w:t xml:space="preserve">0.602</w:t>
            </w:r>
          </w:p>
        </w:tc>
        <w:tc>
          <w:tcPr>
            <w:tcW w:type="dxa" w:w="1160"/>
            <w:shd w:fill="FFFFFF" w:val="clear"/>
            <w:tcMar>
              <w:top w:type="dxa" w:w="80"/>
              <w:left w:type="dxa" w:w="100"/>
              <w:bottom w:type="dxa" w:w="80"/>
              <w:right w:type="dxa" w:w="100"/>
            </w:tcMar>
          </w:tcPr>
          <w:p>
            <w:pPr>
              <w:jc w:val="left"/>
            </w:pPr>
            <w:r>
              <w:rPr>
                <w:b w:val="false"/>
                <w:bCs w:val="false"/>
                <w:color w:val="111111"/>
                <w:sz w:val="20"/>
                <w:szCs w:val="20"/>
              </w:rPr>
              <w:t xml:space="preserve">0.8634</w:t>
            </w:r>
          </w:p>
        </w:tc>
      </w:tr>
      <w:tr>
        <w:tc>
          <w:tcPr>
            <w:tcW w:type="dxa" w:w="2600"/>
            <w:shd w:fill="FFFFFF" w:val="clear"/>
            <w:tcMar>
              <w:top w:type="dxa" w:w="80"/>
              <w:left w:type="dxa" w:w="100"/>
              <w:bottom w:type="dxa" w:w="80"/>
              <w:right w:type="dxa" w:w="100"/>
            </w:tcMar>
          </w:tcPr>
          <w:p>
            <w:pPr>
              <w:jc w:val="left"/>
            </w:pPr>
            <w:r>
              <w:rPr>
                <w:b w:val="false"/>
                <w:bCs w:val="false"/>
                <w:color w:val="111111"/>
                <w:sz w:val="20"/>
                <w:szCs w:val="20"/>
              </w:rPr>
              <w:t xml:space="preserve">Random Forest</w:t>
            </w:r>
          </w:p>
        </w:tc>
        <w:tc>
          <w:tcPr>
            <w:tcW w:type="dxa" w:w="1500"/>
            <w:shd w:fill="FFFFFF" w:val="clear"/>
            <w:tcMar>
              <w:top w:type="dxa" w:w="80"/>
              <w:left w:type="dxa" w:w="100"/>
              <w:bottom w:type="dxa" w:w="80"/>
              <w:right w:type="dxa" w:w="100"/>
            </w:tcMar>
          </w:tcPr>
          <w:p>
            <w:pPr>
              <w:jc w:val="left"/>
            </w:pPr>
            <w:r>
              <w:rPr>
                <w:b w:val="false"/>
                <w:bCs w:val="false"/>
                <w:color w:val="111111"/>
                <w:sz w:val="20"/>
                <w:szCs w:val="20"/>
              </w:rPr>
              <w:t xml:space="preserve">82.2%</w:t>
            </w:r>
          </w:p>
        </w:tc>
        <w:tc>
          <w:tcPr>
            <w:tcW w:type="dxa" w:w="1500"/>
            <w:shd w:fill="FFFFFF" w:val="clear"/>
            <w:tcMar>
              <w:top w:type="dxa" w:w="80"/>
              <w:left w:type="dxa" w:w="100"/>
              <w:bottom w:type="dxa" w:w="80"/>
              <w:right w:type="dxa" w:w="100"/>
            </w:tcMar>
          </w:tcPr>
          <w:p>
            <w:pPr>
              <w:jc w:val="left"/>
            </w:pPr>
            <w:r>
              <w:rPr>
                <w:b w:val="false"/>
                <w:bCs w:val="false"/>
                <w:color w:val="111111"/>
                <w:sz w:val="20"/>
                <w:szCs w:val="20"/>
              </w:rPr>
              <w:t xml:space="preserve">55.0%</w:t>
            </w:r>
          </w:p>
        </w:tc>
        <w:tc>
          <w:tcPr>
            <w:tcW w:type="dxa" w:w="1500"/>
            <w:shd w:fill="FFFFFF" w:val="clear"/>
            <w:tcMar>
              <w:top w:type="dxa" w:w="80"/>
              <w:left w:type="dxa" w:w="100"/>
              <w:bottom w:type="dxa" w:w="80"/>
              <w:right w:type="dxa" w:w="100"/>
            </w:tcMar>
          </w:tcPr>
          <w:p>
            <w:pPr>
              <w:jc w:val="left"/>
            </w:pPr>
            <w:r>
              <w:rPr>
                <w:b w:val="false"/>
                <w:bCs w:val="false"/>
                <w:color w:val="111111"/>
                <w:sz w:val="20"/>
                <w:szCs w:val="20"/>
              </w:rPr>
              <w:t xml:space="preserve">67.6%</w:t>
            </w:r>
          </w:p>
        </w:tc>
        <w:tc>
          <w:tcPr>
            <w:tcW w:type="dxa" w:w="1500"/>
            <w:shd w:fill="FFFFFF" w:val="clear"/>
            <w:tcMar>
              <w:top w:type="dxa" w:w="80"/>
              <w:left w:type="dxa" w:w="100"/>
              <w:bottom w:type="dxa" w:w="80"/>
              <w:right w:type="dxa" w:w="100"/>
            </w:tcMar>
          </w:tcPr>
          <w:p>
            <w:pPr>
              <w:jc w:val="left"/>
            </w:pPr>
            <w:r>
              <w:rPr>
                <w:b w:val="false"/>
                <w:bCs w:val="false"/>
                <w:color w:val="111111"/>
                <w:sz w:val="20"/>
                <w:szCs w:val="20"/>
              </w:rPr>
              <w:t xml:space="preserve">0.606</w:t>
            </w:r>
          </w:p>
        </w:tc>
        <w:tc>
          <w:tcPr>
            <w:tcW w:type="dxa" w:w="1160"/>
            <w:shd w:fill="FFFFFF" w:val="clear"/>
            <w:tcMar>
              <w:top w:type="dxa" w:w="80"/>
              <w:left w:type="dxa" w:w="100"/>
              <w:bottom w:type="dxa" w:w="80"/>
              <w:right w:type="dxa" w:w="100"/>
            </w:tcMar>
          </w:tcPr>
          <w:p>
            <w:pPr>
              <w:jc w:val="left"/>
            </w:pPr>
            <w:r>
              <w:rPr>
                <w:b w:val="false"/>
                <w:bCs w:val="false"/>
                <w:color w:val="111111"/>
                <w:sz w:val="20"/>
                <w:szCs w:val="20"/>
              </w:rPr>
              <w:t xml:space="preserve">0.8626</w:t>
            </w:r>
          </w:p>
        </w:tc>
      </w:tr>
      <w:tr>
        <w:tc>
          <w:tcPr>
            <w:tcW w:type="dxa" w:w="2600"/>
            <w:shd w:fill="FFFFFF" w:val="clear"/>
            <w:tcMar>
              <w:top w:type="dxa" w:w="80"/>
              <w:left w:type="dxa" w:w="100"/>
              <w:bottom w:type="dxa" w:w="80"/>
              <w:right w:type="dxa" w:w="100"/>
            </w:tcMar>
          </w:tcPr>
          <w:p>
            <w:pPr>
              <w:jc w:val="left"/>
            </w:pPr>
            <w:r>
              <w:rPr>
                <w:b w:val="false"/>
                <w:bCs w:val="false"/>
                <w:color w:val="111111"/>
                <w:sz w:val="20"/>
                <w:szCs w:val="20"/>
              </w:rPr>
              <w:t xml:space="preserve">Decision Tree</w:t>
            </w:r>
          </w:p>
        </w:tc>
        <w:tc>
          <w:tcPr>
            <w:tcW w:type="dxa" w:w="1500"/>
            <w:shd w:fill="FFFFFF" w:val="clear"/>
            <w:tcMar>
              <w:top w:type="dxa" w:w="80"/>
              <w:left w:type="dxa" w:w="100"/>
              <w:bottom w:type="dxa" w:w="80"/>
              <w:right w:type="dxa" w:w="100"/>
            </w:tcMar>
          </w:tcPr>
          <w:p>
            <w:pPr>
              <w:jc w:val="left"/>
            </w:pPr>
            <w:r>
              <w:rPr>
                <w:b w:val="false"/>
                <w:bCs w:val="false"/>
                <w:color w:val="111111"/>
                <w:sz w:val="20"/>
                <w:szCs w:val="20"/>
              </w:rPr>
              <w:t xml:space="preserve">75.9%</w:t>
            </w:r>
          </w:p>
        </w:tc>
        <w:tc>
          <w:tcPr>
            <w:tcW w:type="dxa" w:w="1500"/>
            <w:shd w:fill="FFFFFF" w:val="clear"/>
            <w:tcMar>
              <w:top w:type="dxa" w:w="80"/>
              <w:left w:type="dxa" w:w="100"/>
              <w:bottom w:type="dxa" w:w="80"/>
              <w:right w:type="dxa" w:w="100"/>
            </w:tcMar>
          </w:tcPr>
          <w:p>
            <w:pPr>
              <w:jc w:val="left"/>
            </w:pPr>
            <w:r>
              <w:rPr>
                <w:b w:val="false"/>
                <w:bCs w:val="false"/>
                <w:color w:val="111111"/>
                <w:sz w:val="20"/>
                <w:szCs w:val="20"/>
              </w:rPr>
              <w:t xml:space="preserve">44.6%</w:t>
            </w:r>
          </w:p>
        </w:tc>
        <w:tc>
          <w:tcPr>
            <w:tcW w:type="dxa" w:w="1500"/>
            <w:shd w:fill="FFFFFF" w:val="clear"/>
            <w:tcMar>
              <w:top w:type="dxa" w:w="80"/>
              <w:left w:type="dxa" w:w="100"/>
              <w:bottom w:type="dxa" w:w="80"/>
              <w:right w:type="dxa" w:w="100"/>
            </w:tcMar>
          </w:tcPr>
          <w:p>
            <w:pPr>
              <w:jc w:val="left"/>
            </w:pPr>
            <w:r>
              <w:rPr>
                <w:b w:val="false"/>
                <w:bCs w:val="false"/>
                <w:color w:val="111111"/>
                <w:sz w:val="20"/>
                <w:szCs w:val="20"/>
              </w:rPr>
              <w:t xml:space="preserve">77.2%</w:t>
            </w:r>
          </w:p>
        </w:tc>
        <w:tc>
          <w:tcPr>
            <w:tcW w:type="dxa" w:w="1500"/>
            <w:shd w:fill="FFFFFF" w:val="clear"/>
            <w:tcMar>
              <w:top w:type="dxa" w:w="80"/>
              <w:left w:type="dxa" w:w="100"/>
              <w:bottom w:type="dxa" w:w="80"/>
              <w:right w:type="dxa" w:w="100"/>
            </w:tcMar>
          </w:tcPr>
          <w:p>
            <w:pPr>
              <w:jc w:val="left"/>
            </w:pPr>
            <w:r>
              <w:rPr>
                <w:b w:val="false"/>
                <w:bCs w:val="false"/>
                <w:color w:val="111111"/>
                <w:sz w:val="20"/>
                <w:szCs w:val="20"/>
              </w:rPr>
              <w:t xml:space="preserve">0.565</w:t>
            </w:r>
          </w:p>
        </w:tc>
        <w:tc>
          <w:tcPr>
            <w:tcW w:type="dxa" w:w="1160"/>
            <w:shd w:fill="FFFFFF" w:val="clear"/>
            <w:tcMar>
              <w:top w:type="dxa" w:w="80"/>
              <w:left w:type="dxa" w:w="100"/>
              <w:bottom w:type="dxa" w:w="80"/>
              <w:right w:type="dxa" w:w="100"/>
            </w:tcMar>
          </w:tcPr>
          <w:p>
            <w:pPr>
              <w:jc w:val="left"/>
            </w:pPr>
            <w:r>
              <w:rPr>
                <w:b w:val="false"/>
                <w:bCs w:val="false"/>
                <w:color w:val="111111"/>
                <w:sz w:val="20"/>
                <w:szCs w:val="20"/>
              </w:rPr>
              <w:t xml:space="preserve">0.8248</w:t>
            </w:r>
          </w:p>
        </w:tc>
      </w:tr>
      <w:tr>
        <w:tc>
          <w:tcPr>
            <w:tcW w:type="dxa" w:w="2600"/>
            <w:shd w:fill="FFFFFF" w:val="clear"/>
            <w:tcMar>
              <w:top w:type="dxa" w:w="80"/>
              <w:left w:type="dxa" w:w="100"/>
              <w:bottom w:type="dxa" w:w="80"/>
              <w:right w:type="dxa" w:w="100"/>
            </w:tcMar>
          </w:tcPr>
          <w:p>
            <w:pPr>
              <w:jc w:val="left"/>
            </w:pPr>
            <w:r>
              <w:rPr>
                <w:b w:val="false"/>
                <w:bCs w:val="false"/>
                <w:color w:val="111111"/>
                <w:sz w:val="20"/>
                <w:szCs w:val="20"/>
              </w:rPr>
              <w:t xml:space="preserve">Logistic Regression</w:t>
            </w:r>
          </w:p>
        </w:tc>
        <w:tc>
          <w:tcPr>
            <w:tcW w:type="dxa" w:w="1500"/>
            <w:shd w:fill="FFFFFF" w:val="clear"/>
            <w:tcMar>
              <w:top w:type="dxa" w:w="80"/>
              <w:left w:type="dxa" w:w="100"/>
              <w:bottom w:type="dxa" w:w="80"/>
              <w:right w:type="dxa" w:w="100"/>
            </w:tcMar>
          </w:tcPr>
          <w:p>
            <w:pPr>
              <w:jc w:val="left"/>
            </w:pPr>
            <w:r>
              <w:rPr>
                <w:b w:val="false"/>
                <w:bCs w:val="false"/>
                <w:color w:val="111111"/>
                <w:sz w:val="20"/>
                <w:szCs w:val="20"/>
              </w:rPr>
              <w:t xml:space="preserve">70.0%</w:t>
            </w:r>
          </w:p>
        </w:tc>
        <w:tc>
          <w:tcPr>
            <w:tcW w:type="dxa" w:w="1500"/>
            <w:shd w:fill="FFFFFF" w:val="clear"/>
            <w:tcMar>
              <w:top w:type="dxa" w:w="80"/>
              <w:left w:type="dxa" w:w="100"/>
              <w:bottom w:type="dxa" w:w="80"/>
              <w:right w:type="dxa" w:w="100"/>
            </w:tcMar>
          </w:tcPr>
          <w:p>
            <w:pPr>
              <w:jc w:val="left"/>
            </w:pPr>
            <w:r>
              <w:rPr>
                <w:b w:val="false"/>
                <w:bCs w:val="false"/>
                <w:color w:val="111111"/>
                <w:sz w:val="20"/>
                <w:szCs w:val="20"/>
              </w:rPr>
              <w:t xml:space="preserve">37.6%</w:t>
            </w:r>
          </w:p>
        </w:tc>
        <w:tc>
          <w:tcPr>
            <w:tcW w:type="dxa" w:w="1500"/>
            <w:shd w:fill="FFFFFF" w:val="clear"/>
            <w:tcMar>
              <w:top w:type="dxa" w:w="80"/>
              <w:left w:type="dxa" w:w="100"/>
              <w:bottom w:type="dxa" w:w="80"/>
              <w:right w:type="dxa" w:w="100"/>
            </w:tcMar>
          </w:tcPr>
          <w:p>
            <w:pPr>
              <w:jc w:val="left"/>
            </w:pPr>
            <w:r>
              <w:rPr>
                <w:b w:val="false"/>
                <w:bCs w:val="false"/>
                <w:color w:val="111111"/>
                <w:sz w:val="20"/>
                <w:szCs w:val="20"/>
              </w:rPr>
              <w:t xml:space="preserve">72.0%</w:t>
            </w:r>
          </w:p>
        </w:tc>
        <w:tc>
          <w:tcPr>
            <w:tcW w:type="dxa" w:w="1500"/>
            <w:shd w:fill="FFFFFF" w:val="clear"/>
            <w:tcMar>
              <w:top w:type="dxa" w:w="80"/>
              <w:left w:type="dxa" w:w="100"/>
              <w:bottom w:type="dxa" w:w="80"/>
              <w:right w:type="dxa" w:w="100"/>
            </w:tcMar>
          </w:tcPr>
          <w:p>
            <w:pPr>
              <w:jc w:val="left"/>
            </w:pPr>
            <w:r>
              <w:rPr>
                <w:b w:val="false"/>
                <w:bCs w:val="false"/>
                <w:color w:val="111111"/>
                <w:sz w:val="20"/>
                <w:szCs w:val="20"/>
              </w:rPr>
              <w:t xml:space="preserve">0.494</w:t>
            </w:r>
          </w:p>
        </w:tc>
        <w:tc>
          <w:tcPr>
            <w:tcW w:type="dxa" w:w="1160"/>
            <w:shd w:fill="FFFFFF" w:val="clear"/>
            <w:tcMar>
              <w:top w:type="dxa" w:w="80"/>
              <w:left w:type="dxa" w:w="100"/>
              <w:bottom w:type="dxa" w:w="80"/>
              <w:right w:type="dxa" w:w="100"/>
            </w:tcMar>
          </w:tcPr>
          <w:p>
            <w:pPr>
              <w:jc w:val="left"/>
            </w:pPr>
            <w:r>
              <w:rPr>
                <w:b w:val="false"/>
                <w:bCs w:val="false"/>
                <w:color w:val="111111"/>
                <w:sz w:val="20"/>
                <w:szCs w:val="20"/>
              </w:rPr>
              <w:t xml:space="preserve">0.7784</w:t>
            </w:r>
          </w:p>
        </w:tc>
      </w:tr>
    </w:tbl>
    <w:p>
      <w:pPr>
        <w:spacing w:after="160"/>
      </w:pPr>
      <w:r>
        <w:t xml:space="preserve">Gradient Boosting was selected on ROC-AUC, the standard measure of a model's ability to rank churners above non-churners regardless of threshold. It is worth flagging to the business, however, that this is a precision-favoring choice: Gradient Boosting catches under half of actual churners (49.4% recall) but is rarely wrong when it does raise a flag (79.1% precision). XGBoost, by contrast, recalls 73.0% of churners at a lower precision. Section 7 below quantifies what this trade-off means in dollar terms, since the right choice depends on the relative cost of a wasted retention offer versus a missed one — a business decision, not a purely statistical one.</w:t>
      </w:r>
    </w:p>
    <w:p>
      <w:pPr>
        <w:pStyle w:val="Heading1"/>
        <w:spacing w:after="150" w:before="320"/>
      </w:pPr>
      <w:r>
        <w:t xml:space="preserve">6. Key Drivers of Customer Churn</w:t>
      </w:r>
    </w:p>
    <w:p>
      <w:pPr>
        <w:spacing w:after="160"/>
      </w:pPr>
      <w:r>
        <w:t xml:space="preserve">Permutation importance on the selected model ranks the features by how much the model's ROC-AUC degrades when that feature's values are shuffled — a direct read on which factors the model actually relies on:</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900"/>
        <w:gridCol w:w="5700"/>
        <w:gridCol w:w="3160"/>
      </w:tblGrid>
      <w:tr>
        <w:trPr>
          <w:tblHeader/>
        </w:trPr>
        <w:tc>
          <w:tcPr>
            <w:tcW w:type="dxa" w:w="900"/>
            <w:shd w:fill="1F2937" w:val="clear"/>
            <w:tcMar>
              <w:top w:type="dxa" w:w="80"/>
              <w:left w:type="dxa" w:w="100"/>
              <w:bottom w:type="dxa" w:w="80"/>
              <w:right w:type="dxa" w:w="100"/>
            </w:tcMar>
          </w:tcPr>
          <w:p>
            <w:pPr>
              <w:jc w:val="left"/>
            </w:pPr>
            <w:r>
              <w:rPr>
                <w:b/>
                <w:bCs/>
                <w:color w:val="FFFFFF"/>
                <w:sz w:val="20"/>
                <w:szCs w:val="20"/>
              </w:rPr>
              <w:t xml:space="preserve">Rank</w:t>
            </w:r>
          </w:p>
        </w:tc>
        <w:tc>
          <w:tcPr>
            <w:tcW w:type="dxa" w:w="5700"/>
            <w:shd w:fill="1F2937" w:val="clear"/>
            <w:tcMar>
              <w:top w:type="dxa" w:w="80"/>
              <w:left w:type="dxa" w:w="100"/>
              <w:bottom w:type="dxa" w:w="80"/>
              <w:right w:type="dxa" w:w="100"/>
            </w:tcMar>
          </w:tcPr>
          <w:p>
            <w:pPr>
              <w:jc w:val="left"/>
            </w:pPr>
            <w:r>
              <w:rPr>
                <w:b/>
                <w:bCs/>
                <w:color w:val="FFFFFF"/>
                <w:sz w:val="20"/>
                <w:szCs w:val="20"/>
              </w:rPr>
              <w:t xml:space="preserve">Driver</w:t>
            </w:r>
          </w:p>
        </w:tc>
        <w:tc>
          <w:tcPr>
            <w:tcW w:type="dxa" w:w="3160"/>
            <w:shd w:fill="1F2937" w:val="clear"/>
            <w:tcMar>
              <w:top w:type="dxa" w:w="80"/>
              <w:left w:type="dxa" w:w="100"/>
              <w:bottom w:type="dxa" w:w="80"/>
              <w:right w:type="dxa" w:w="100"/>
            </w:tcMar>
          </w:tcPr>
          <w:p>
            <w:pPr>
              <w:jc w:val="left"/>
            </w:pPr>
            <w:r>
              <w:rPr>
                <w:b/>
                <w:bCs/>
                <w:color w:val="FFFFFF"/>
                <w:sz w:val="20"/>
                <w:szCs w:val="20"/>
              </w:rPr>
              <w:t xml:space="preserve">Relative Importance</w:t>
            </w:r>
          </w:p>
        </w:tc>
      </w:tr>
      <w:tr>
        <w:tc>
          <w:tcPr>
            <w:tcW w:type="dxa" w:w="900"/>
            <w:shd w:fill="FFFFFF" w:val="clear"/>
            <w:tcMar>
              <w:top w:type="dxa" w:w="80"/>
              <w:left w:type="dxa" w:w="100"/>
              <w:bottom w:type="dxa" w:w="80"/>
              <w:right w:type="dxa" w:w="100"/>
            </w:tcMar>
          </w:tcPr>
          <w:p>
            <w:pPr>
              <w:jc w:val="left"/>
            </w:pPr>
            <w:r>
              <w:rPr>
                <w:b w:val="false"/>
                <w:bCs w:val="false"/>
                <w:color w:val="111111"/>
                <w:sz w:val="20"/>
                <w:szCs w:val="20"/>
              </w:rPr>
              <w:t xml:space="preserve">1</w:t>
            </w:r>
          </w:p>
        </w:tc>
        <w:tc>
          <w:tcPr>
            <w:tcW w:type="dxa" w:w="5700"/>
            <w:shd w:fill="FFFFFF" w:val="clear"/>
            <w:tcMar>
              <w:top w:type="dxa" w:w="80"/>
              <w:left w:type="dxa" w:w="100"/>
              <w:bottom w:type="dxa" w:w="80"/>
              <w:right w:type="dxa" w:w="100"/>
            </w:tcMar>
          </w:tcPr>
          <w:p>
            <w:pPr>
              <w:jc w:val="left"/>
            </w:pPr>
            <w:r>
              <w:rPr>
                <w:b w:val="false"/>
                <w:bCs w:val="false"/>
                <w:color w:val="111111"/>
                <w:sz w:val="20"/>
                <w:szCs w:val="20"/>
              </w:rPr>
              <w:t xml:space="preserve">Number of Products Held</w:t>
            </w:r>
          </w:p>
        </w:tc>
        <w:tc>
          <w:tcPr>
            <w:tcW w:type="dxa" w:w="3160"/>
            <w:shd w:fill="FFFFFF" w:val="clear"/>
            <w:tcMar>
              <w:top w:type="dxa" w:w="80"/>
              <w:left w:type="dxa" w:w="100"/>
              <w:bottom w:type="dxa" w:w="80"/>
              <w:right w:type="dxa" w:w="100"/>
            </w:tcMar>
          </w:tcPr>
          <w:p>
            <w:pPr>
              <w:jc w:val="left"/>
            </w:pPr>
            <w:r>
              <w:rPr>
                <w:b w:val="false"/>
                <w:bCs w:val="false"/>
                <w:color w:val="111111"/>
                <w:sz w:val="20"/>
                <w:szCs w:val="20"/>
              </w:rPr>
              <w:t xml:space="preserve">0.121</w:t>
            </w:r>
          </w:p>
        </w:tc>
      </w:tr>
      <w:tr>
        <w:tc>
          <w:tcPr>
            <w:tcW w:type="dxa" w:w="900"/>
            <w:shd w:fill="FFFFFF" w:val="clear"/>
            <w:tcMar>
              <w:top w:type="dxa" w:w="80"/>
              <w:left w:type="dxa" w:w="100"/>
              <w:bottom w:type="dxa" w:w="80"/>
              <w:right w:type="dxa" w:w="100"/>
            </w:tcMar>
          </w:tcPr>
          <w:p>
            <w:pPr>
              <w:jc w:val="left"/>
            </w:pPr>
            <w:r>
              <w:rPr>
                <w:b w:val="false"/>
                <w:bCs w:val="false"/>
                <w:color w:val="111111"/>
                <w:sz w:val="20"/>
                <w:szCs w:val="20"/>
              </w:rPr>
              <w:t xml:space="preserve">2</w:t>
            </w:r>
          </w:p>
        </w:tc>
        <w:tc>
          <w:tcPr>
            <w:tcW w:type="dxa" w:w="5700"/>
            <w:shd w:fill="FFFFFF" w:val="clear"/>
            <w:tcMar>
              <w:top w:type="dxa" w:w="80"/>
              <w:left w:type="dxa" w:w="100"/>
              <w:bottom w:type="dxa" w:w="80"/>
              <w:right w:type="dxa" w:w="100"/>
            </w:tcMar>
          </w:tcPr>
          <w:p>
            <w:pPr>
              <w:jc w:val="left"/>
            </w:pPr>
            <w:r>
              <w:rPr>
                <w:b w:val="false"/>
                <w:bCs w:val="false"/>
                <w:color w:val="111111"/>
                <w:sz w:val="20"/>
                <w:szCs w:val="20"/>
              </w:rPr>
              <w:t xml:space="preserve">Customer Age</w:t>
            </w:r>
          </w:p>
        </w:tc>
        <w:tc>
          <w:tcPr>
            <w:tcW w:type="dxa" w:w="3160"/>
            <w:shd w:fill="FFFFFF" w:val="clear"/>
            <w:tcMar>
              <w:top w:type="dxa" w:w="80"/>
              <w:left w:type="dxa" w:w="100"/>
              <w:bottom w:type="dxa" w:w="80"/>
              <w:right w:type="dxa" w:w="100"/>
            </w:tcMar>
          </w:tcPr>
          <w:p>
            <w:pPr>
              <w:jc w:val="left"/>
            </w:pPr>
            <w:r>
              <w:rPr>
                <w:b w:val="false"/>
                <w:bCs w:val="false"/>
                <w:color w:val="111111"/>
                <w:sz w:val="20"/>
                <w:szCs w:val="20"/>
              </w:rPr>
              <w:t xml:space="preserve">0.105</w:t>
            </w:r>
          </w:p>
        </w:tc>
      </w:tr>
      <w:tr>
        <w:tc>
          <w:tcPr>
            <w:tcW w:type="dxa" w:w="900"/>
            <w:shd w:fill="FFFFFF" w:val="clear"/>
            <w:tcMar>
              <w:top w:type="dxa" w:w="80"/>
              <w:left w:type="dxa" w:w="100"/>
              <w:bottom w:type="dxa" w:w="80"/>
              <w:right w:type="dxa" w:w="100"/>
            </w:tcMar>
          </w:tcPr>
          <w:p>
            <w:pPr>
              <w:jc w:val="left"/>
            </w:pPr>
            <w:r>
              <w:rPr>
                <w:b w:val="false"/>
                <w:bCs w:val="false"/>
                <w:color w:val="111111"/>
                <w:sz w:val="20"/>
                <w:szCs w:val="20"/>
              </w:rPr>
              <w:t xml:space="preserve">3</w:t>
            </w:r>
          </w:p>
        </w:tc>
        <w:tc>
          <w:tcPr>
            <w:tcW w:type="dxa" w:w="5700"/>
            <w:shd w:fill="FFFFFF" w:val="clear"/>
            <w:tcMar>
              <w:top w:type="dxa" w:w="80"/>
              <w:left w:type="dxa" w:w="100"/>
              <w:bottom w:type="dxa" w:w="80"/>
              <w:right w:type="dxa" w:w="100"/>
            </w:tcMar>
          </w:tcPr>
          <w:p>
            <w:pPr>
              <w:jc w:val="left"/>
            </w:pPr>
            <w:r>
              <w:rPr>
                <w:b w:val="false"/>
                <w:bCs w:val="false"/>
                <w:color w:val="111111"/>
                <w:sz w:val="20"/>
                <w:szCs w:val="20"/>
              </w:rPr>
              <w:t xml:space="preserve">Geography: Germany</w:t>
            </w:r>
          </w:p>
        </w:tc>
        <w:tc>
          <w:tcPr>
            <w:tcW w:type="dxa" w:w="3160"/>
            <w:shd w:fill="FFFFFF" w:val="clear"/>
            <w:tcMar>
              <w:top w:type="dxa" w:w="80"/>
              <w:left w:type="dxa" w:w="100"/>
              <w:bottom w:type="dxa" w:w="80"/>
              <w:right w:type="dxa" w:w="100"/>
            </w:tcMar>
          </w:tcPr>
          <w:p>
            <w:pPr>
              <w:jc w:val="left"/>
            </w:pPr>
            <w:r>
              <w:rPr>
                <w:b w:val="false"/>
                <w:bCs w:val="false"/>
                <w:color w:val="111111"/>
                <w:sz w:val="20"/>
                <w:szCs w:val="20"/>
              </w:rPr>
              <w:t xml:space="preserve">0.019</w:t>
            </w:r>
          </w:p>
        </w:tc>
      </w:tr>
      <w:tr>
        <w:tc>
          <w:tcPr>
            <w:tcW w:type="dxa" w:w="900"/>
            <w:shd w:fill="FFFFFF" w:val="clear"/>
            <w:tcMar>
              <w:top w:type="dxa" w:w="80"/>
              <w:left w:type="dxa" w:w="100"/>
              <w:bottom w:type="dxa" w:w="80"/>
              <w:right w:type="dxa" w:w="100"/>
            </w:tcMar>
          </w:tcPr>
          <w:p>
            <w:pPr>
              <w:jc w:val="left"/>
            </w:pPr>
            <w:r>
              <w:rPr>
                <w:b w:val="false"/>
                <w:bCs w:val="false"/>
                <w:color w:val="111111"/>
                <w:sz w:val="20"/>
                <w:szCs w:val="20"/>
              </w:rPr>
              <w:t xml:space="preserve">4</w:t>
            </w:r>
          </w:p>
        </w:tc>
        <w:tc>
          <w:tcPr>
            <w:tcW w:type="dxa" w:w="5700"/>
            <w:shd w:fill="FFFFFF" w:val="clear"/>
            <w:tcMar>
              <w:top w:type="dxa" w:w="80"/>
              <w:left w:type="dxa" w:w="100"/>
              <w:bottom w:type="dxa" w:w="80"/>
              <w:right w:type="dxa" w:w="100"/>
            </w:tcMar>
          </w:tcPr>
          <w:p>
            <w:pPr>
              <w:jc w:val="left"/>
            </w:pPr>
            <w:r>
              <w:rPr>
                <w:b w:val="false"/>
                <w:bCs w:val="false"/>
                <w:color w:val="111111"/>
                <w:sz w:val="20"/>
                <w:szCs w:val="20"/>
              </w:rPr>
              <w:t xml:space="preserve">Account Balance</w:t>
            </w:r>
          </w:p>
        </w:tc>
        <w:tc>
          <w:tcPr>
            <w:tcW w:type="dxa" w:w="3160"/>
            <w:shd w:fill="FFFFFF" w:val="clear"/>
            <w:tcMar>
              <w:top w:type="dxa" w:w="80"/>
              <w:left w:type="dxa" w:w="100"/>
              <w:bottom w:type="dxa" w:w="80"/>
              <w:right w:type="dxa" w:w="100"/>
            </w:tcMar>
          </w:tcPr>
          <w:p>
            <w:pPr>
              <w:jc w:val="left"/>
            </w:pPr>
            <w:r>
              <w:rPr>
                <w:b w:val="false"/>
                <w:bCs w:val="false"/>
                <w:color w:val="111111"/>
                <w:sz w:val="20"/>
                <w:szCs w:val="20"/>
              </w:rPr>
              <w:t xml:space="preserve">0.016</w:t>
            </w:r>
          </w:p>
        </w:tc>
      </w:tr>
      <w:tr>
        <w:tc>
          <w:tcPr>
            <w:tcW w:type="dxa" w:w="900"/>
            <w:shd w:fill="FFFFFF" w:val="clear"/>
            <w:tcMar>
              <w:top w:type="dxa" w:w="80"/>
              <w:left w:type="dxa" w:w="100"/>
              <w:bottom w:type="dxa" w:w="80"/>
              <w:right w:type="dxa" w:w="100"/>
            </w:tcMar>
          </w:tcPr>
          <w:p>
            <w:pPr>
              <w:jc w:val="left"/>
            </w:pPr>
            <w:r>
              <w:rPr>
                <w:b w:val="false"/>
                <w:bCs w:val="false"/>
                <w:color w:val="111111"/>
                <w:sz w:val="20"/>
                <w:szCs w:val="20"/>
              </w:rPr>
              <w:t xml:space="preserve">5</w:t>
            </w:r>
          </w:p>
        </w:tc>
        <w:tc>
          <w:tcPr>
            <w:tcW w:type="dxa" w:w="5700"/>
            <w:shd w:fill="FFFFFF" w:val="clear"/>
            <w:tcMar>
              <w:top w:type="dxa" w:w="80"/>
              <w:left w:type="dxa" w:w="100"/>
              <w:bottom w:type="dxa" w:w="80"/>
              <w:right w:type="dxa" w:w="100"/>
            </w:tcMar>
          </w:tcPr>
          <w:p>
            <w:pPr>
              <w:jc w:val="left"/>
            </w:pPr>
            <w:r>
              <w:rPr>
                <w:b w:val="false"/>
                <w:bCs w:val="false"/>
                <w:color w:val="111111"/>
                <w:sz w:val="20"/>
                <w:szCs w:val="20"/>
              </w:rPr>
              <w:t xml:space="preserve">Engagement × Products Interaction</w:t>
            </w:r>
          </w:p>
        </w:tc>
        <w:tc>
          <w:tcPr>
            <w:tcW w:type="dxa" w:w="3160"/>
            <w:shd w:fill="FFFFFF" w:val="clear"/>
            <w:tcMar>
              <w:top w:type="dxa" w:w="80"/>
              <w:left w:type="dxa" w:w="100"/>
              <w:bottom w:type="dxa" w:w="80"/>
              <w:right w:type="dxa" w:w="100"/>
            </w:tcMar>
          </w:tcPr>
          <w:p>
            <w:pPr>
              <w:jc w:val="left"/>
            </w:pPr>
            <w:r>
              <w:rPr>
                <w:b w:val="false"/>
                <w:bCs w:val="false"/>
                <w:color w:val="111111"/>
                <w:sz w:val="20"/>
                <w:szCs w:val="20"/>
              </w:rPr>
              <w:t xml:space="preserve">0.013</w:t>
            </w:r>
          </w:p>
        </w:tc>
      </w:tr>
    </w:tbl>
    <w:p>
      <w:pPr>
        <w:spacing w:after="160"/>
      </w:pPr>
      <w:r>
        <w:t xml:space="preserve">Number of Products and Age together dominate the model's decisions, at roughly five to ten times the influence of any other factor. Practically, this means the retention program's targeting logic can be kept simple and explainable to a non-technical audience — 'multi-product, older customers in Germany' captures most of the signal — which matters for both internal buy-in and for any regulatory review of the model's fairness and explainability, as noted in the original project scope.</w:t>
      </w:r>
    </w:p>
    <w:p>
      <w:pPr>
        <w:pStyle w:val="Heading1"/>
        <w:spacing w:after="150" w:before="320"/>
      </w:pPr>
      <w:r>
        <w:t xml:space="preserve">7. Error Analysis &amp; Cost Implications</w:t>
      </w:r>
    </w:p>
    <w:p>
      <w:pPr>
        <w:spacing w:after="160"/>
      </w:pPr>
      <w:r>
        <w:t xml:space="preserve">On the 2,000-account test set, at the model's default 50% probability threshold:</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6500"/>
      </w:tblGrid>
      <w:tr>
        <w:trPr>
          <w:tblHeader/>
        </w:trPr>
        <w:tc>
          <w:tcPr>
            <w:tcW w:type="dxa" w:w="2400"/>
            <w:shd w:fill="1F2937" w:val="clear"/>
            <w:tcMar>
              <w:top w:type="dxa" w:w="80"/>
              <w:left w:type="dxa" w:w="100"/>
              <w:bottom w:type="dxa" w:w="80"/>
              <w:right w:type="dxa" w:w="100"/>
            </w:tcMar>
          </w:tcPr>
          <w:p>
            <w:pPr>
              <w:jc w:val="left"/>
            </w:pPr>
            <w:r>
              <w:rPr>
                <w:b/>
                <w:bCs/>
                <w:color w:val="FFFFFF"/>
                <w:sz w:val="20"/>
                <w:szCs w:val="20"/>
              </w:rPr>
              <w:t xml:space="preserve">Outcome</w:t>
            </w:r>
          </w:p>
        </w:tc>
        <w:tc>
          <w:tcPr>
            <w:tcW w:type="dxa" w:w="1200"/>
            <w:shd w:fill="1F2937" w:val="clear"/>
            <w:tcMar>
              <w:top w:type="dxa" w:w="80"/>
              <w:left w:type="dxa" w:w="100"/>
              <w:bottom w:type="dxa" w:w="80"/>
              <w:right w:type="dxa" w:w="100"/>
            </w:tcMar>
          </w:tcPr>
          <w:p>
            <w:pPr>
              <w:jc w:val="left"/>
            </w:pPr>
            <w:r>
              <w:rPr>
                <w:b/>
                <w:bCs/>
                <w:color w:val="FFFFFF"/>
                <w:sz w:val="20"/>
                <w:szCs w:val="20"/>
              </w:rPr>
              <w:t xml:space="preserve">Count</w:t>
            </w:r>
          </w:p>
        </w:tc>
        <w:tc>
          <w:tcPr>
            <w:tcW w:type="dxa" w:w="6500"/>
            <w:shd w:fill="1F2937" w:val="clear"/>
            <w:tcMar>
              <w:top w:type="dxa" w:w="80"/>
              <w:left w:type="dxa" w:w="100"/>
              <w:bottom w:type="dxa" w:w="80"/>
              <w:right w:type="dxa" w:w="100"/>
            </w:tcMar>
          </w:tcPr>
          <w:p>
            <w:pPr>
              <w:jc w:val="left"/>
            </w:pPr>
            <w:r>
              <w:rPr>
                <w:b/>
                <w:bCs/>
                <w:color w:val="FFFFFF"/>
                <w:sz w:val="20"/>
                <w:szCs w:val="20"/>
              </w:rPr>
              <w:t xml:space="preserve">Business Meaning</w:t>
            </w:r>
          </w:p>
        </w:tc>
      </w:tr>
      <w:tr>
        <w:tc>
          <w:tcPr>
            <w:tcW w:type="dxa" w:w="2400"/>
            <w:shd w:fill="FFFFFF" w:val="clear"/>
            <w:tcMar>
              <w:top w:type="dxa" w:w="80"/>
              <w:left w:type="dxa" w:w="100"/>
              <w:bottom w:type="dxa" w:w="80"/>
              <w:right w:type="dxa" w:w="100"/>
            </w:tcMar>
          </w:tcPr>
          <w:p>
            <w:pPr>
              <w:jc w:val="left"/>
            </w:pPr>
            <w:r>
              <w:rPr>
                <w:b w:val="false"/>
                <w:bCs w:val="false"/>
                <w:color w:val="111111"/>
                <w:sz w:val="20"/>
                <w:szCs w:val="20"/>
              </w:rPr>
              <w:t xml:space="preserve">True Positives</w:t>
            </w:r>
          </w:p>
        </w:tc>
        <w:tc>
          <w:tcPr>
            <w:tcW w:type="dxa" w:w="1200"/>
            <w:shd w:fill="FFFFFF" w:val="clear"/>
            <w:tcMar>
              <w:top w:type="dxa" w:w="80"/>
              <w:left w:type="dxa" w:w="100"/>
              <w:bottom w:type="dxa" w:w="80"/>
              <w:right w:type="dxa" w:w="100"/>
            </w:tcMar>
          </w:tcPr>
          <w:p>
            <w:pPr>
              <w:jc w:val="left"/>
            </w:pPr>
            <w:r>
              <w:rPr>
                <w:b w:val="false"/>
                <w:bCs w:val="false"/>
                <w:color w:val="111111"/>
                <w:sz w:val="20"/>
                <w:szCs w:val="20"/>
              </w:rPr>
              <w:t xml:space="preserve">201</w:t>
            </w:r>
          </w:p>
        </w:tc>
        <w:tc>
          <w:tcPr>
            <w:tcW w:type="dxa" w:w="6500"/>
            <w:shd w:fill="FFFFFF" w:val="clear"/>
            <w:tcMar>
              <w:top w:type="dxa" w:w="80"/>
              <w:left w:type="dxa" w:w="100"/>
              <w:bottom w:type="dxa" w:w="80"/>
              <w:right w:type="dxa" w:w="100"/>
            </w:tcMar>
          </w:tcPr>
          <w:p>
            <w:pPr>
              <w:jc w:val="left"/>
            </w:pPr>
            <w:r>
              <w:rPr>
                <w:b w:val="false"/>
                <w:bCs w:val="false"/>
                <w:color w:val="111111"/>
                <w:sz w:val="20"/>
                <w:szCs w:val="20"/>
              </w:rPr>
              <w:t xml:space="preserve">Correctly flagged churners — eligible for retention outreach</w:t>
            </w:r>
          </w:p>
        </w:tc>
      </w:tr>
      <w:tr>
        <w:tc>
          <w:tcPr>
            <w:tcW w:type="dxa" w:w="2400"/>
            <w:shd w:fill="FFFFFF" w:val="clear"/>
            <w:tcMar>
              <w:top w:type="dxa" w:w="80"/>
              <w:left w:type="dxa" w:w="100"/>
              <w:bottom w:type="dxa" w:w="80"/>
              <w:right w:type="dxa" w:w="100"/>
            </w:tcMar>
          </w:tcPr>
          <w:p>
            <w:pPr>
              <w:jc w:val="left"/>
            </w:pPr>
            <w:r>
              <w:rPr>
                <w:b w:val="false"/>
                <w:bCs w:val="false"/>
                <w:color w:val="111111"/>
                <w:sz w:val="20"/>
                <w:szCs w:val="20"/>
              </w:rPr>
              <w:t xml:space="preserve">False Positives</w:t>
            </w:r>
          </w:p>
        </w:tc>
        <w:tc>
          <w:tcPr>
            <w:tcW w:type="dxa" w:w="1200"/>
            <w:shd w:fill="FFFFFF" w:val="clear"/>
            <w:tcMar>
              <w:top w:type="dxa" w:w="80"/>
              <w:left w:type="dxa" w:w="100"/>
              <w:bottom w:type="dxa" w:w="80"/>
              <w:right w:type="dxa" w:w="100"/>
            </w:tcMar>
          </w:tcPr>
          <w:p>
            <w:pPr>
              <w:jc w:val="left"/>
            </w:pPr>
            <w:r>
              <w:rPr>
                <w:b w:val="false"/>
                <w:bCs w:val="false"/>
                <w:color w:val="111111"/>
                <w:sz w:val="20"/>
                <w:szCs w:val="20"/>
              </w:rPr>
              <w:t xml:space="preserve">53</w:t>
            </w:r>
          </w:p>
        </w:tc>
        <w:tc>
          <w:tcPr>
            <w:tcW w:type="dxa" w:w="6500"/>
            <w:shd w:fill="FFFFFF" w:val="clear"/>
            <w:tcMar>
              <w:top w:type="dxa" w:w="80"/>
              <w:left w:type="dxa" w:w="100"/>
              <w:bottom w:type="dxa" w:w="80"/>
              <w:right w:type="dxa" w:w="100"/>
            </w:tcMar>
          </w:tcPr>
          <w:p>
            <w:pPr>
              <w:jc w:val="left"/>
            </w:pPr>
            <w:r>
              <w:rPr>
                <w:b w:val="false"/>
                <w:bCs w:val="false"/>
                <w:color w:val="111111"/>
                <w:sz w:val="20"/>
                <w:szCs w:val="20"/>
              </w:rPr>
              <w:t xml:space="preserve">Retained customers incorrectly flagged — cost of an unnecessary offer</w:t>
            </w:r>
          </w:p>
        </w:tc>
      </w:tr>
      <w:tr>
        <w:tc>
          <w:tcPr>
            <w:tcW w:type="dxa" w:w="2400"/>
            <w:shd w:fill="FFFFFF" w:val="clear"/>
            <w:tcMar>
              <w:top w:type="dxa" w:w="80"/>
              <w:left w:type="dxa" w:w="100"/>
              <w:bottom w:type="dxa" w:w="80"/>
              <w:right w:type="dxa" w:w="100"/>
            </w:tcMar>
          </w:tcPr>
          <w:p>
            <w:pPr>
              <w:jc w:val="left"/>
            </w:pPr>
            <w:r>
              <w:rPr>
                <w:b w:val="false"/>
                <w:bCs w:val="false"/>
                <w:color w:val="111111"/>
                <w:sz w:val="20"/>
                <w:szCs w:val="20"/>
              </w:rPr>
              <w:t xml:space="preserve">False Negatives</w:t>
            </w:r>
          </w:p>
        </w:tc>
        <w:tc>
          <w:tcPr>
            <w:tcW w:type="dxa" w:w="1200"/>
            <w:shd w:fill="FFFFFF" w:val="clear"/>
            <w:tcMar>
              <w:top w:type="dxa" w:w="80"/>
              <w:left w:type="dxa" w:w="100"/>
              <w:bottom w:type="dxa" w:w="80"/>
              <w:right w:type="dxa" w:w="100"/>
            </w:tcMar>
          </w:tcPr>
          <w:p>
            <w:pPr>
              <w:jc w:val="left"/>
            </w:pPr>
            <w:r>
              <w:rPr>
                <w:b w:val="false"/>
                <w:bCs w:val="false"/>
                <w:color w:val="111111"/>
                <w:sz w:val="20"/>
                <w:szCs w:val="20"/>
              </w:rPr>
              <w:t xml:space="preserve">206</w:t>
            </w:r>
          </w:p>
        </w:tc>
        <w:tc>
          <w:tcPr>
            <w:tcW w:type="dxa" w:w="6500"/>
            <w:shd w:fill="FFFFFF" w:val="clear"/>
            <w:tcMar>
              <w:top w:type="dxa" w:w="80"/>
              <w:left w:type="dxa" w:w="100"/>
              <w:bottom w:type="dxa" w:w="80"/>
              <w:right w:type="dxa" w:w="100"/>
            </w:tcMar>
          </w:tcPr>
          <w:p>
            <w:pPr>
              <w:jc w:val="left"/>
            </w:pPr>
            <w:r>
              <w:rPr>
                <w:b w:val="false"/>
                <w:bCs w:val="false"/>
                <w:color w:val="111111"/>
                <w:sz w:val="20"/>
                <w:szCs w:val="20"/>
              </w:rPr>
              <w:t xml:space="preserve">Actual churners missed entirely — no intervention opportunity</w:t>
            </w:r>
          </w:p>
        </w:tc>
      </w:tr>
      <w:tr>
        <w:tc>
          <w:tcPr>
            <w:tcW w:type="dxa" w:w="2400"/>
            <w:shd w:fill="FFFFFF" w:val="clear"/>
            <w:tcMar>
              <w:top w:type="dxa" w:w="80"/>
              <w:left w:type="dxa" w:w="100"/>
              <w:bottom w:type="dxa" w:w="80"/>
              <w:right w:type="dxa" w:w="100"/>
            </w:tcMar>
          </w:tcPr>
          <w:p>
            <w:pPr>
              <w:jc w:val="left"/>
            </w:pPr>
            <w:r>
              <w:rPr>
                <w:b w:val="false"/>
                <w:bCs w:val="false"/>
                <w:color w:val="111111"/>
                <w:sz w:val="20"/>
                <w:szCs w:val="20"/>
              </w:rPr>
              <w:t xml:space="preserve">True Negatives</w:t>
            </w:r>
          </w:p>
        </w:tc>
        <w:tc>
          <w:tcPr>
            <w:tcW w:type="dxa" w:w="1200"/>
            <w:shd w:fill="FFFFFF" w:val="clear"/>
            <w:tcMar>
              <w:top w:type="dxa" w:w="80"/>
              <w:left w:type="dxa" w:w="100"/>
              <w:bottom w:type="dxa" w:w="80"/>
              <w:right w:type="dxa" w:w="100"/>
            </w:tcMar>
          </w:tcPr>
          <w:p>
            <w:pPr>
              <w:jc w:val="left"/>
            </w:pPr>
            <w:r>
              <w:rPr>
                <w:b w:val="false"/>
                <w:bCs w:val="false"/>
                <w:color w:val="111111"/>
                <w:sz w:val="20"/>
                <w:szCs w:val="20"/>
              </w:rPr>
              <w:t xml:space="preserve">1,540</w:t>
            </w:r>
          </w:p>
        </w:tc>
        <w:tc>
          <w:tcPr>
            <w:tcW w:type="dxa" w:w="6500"/>
            <w:shd w:fill="FFFFFF" w:val="clear"/>
            <w:tcMar>
              <w:top w:type="dxa" w:w="80"/>
              <w:left w:type="dxa" w:w="100"/>
              <w:bottom w:type="dxa" w:w="80"/>
              <w:right w:type="dxa" w:w="100"/>
            </w:tcMar>
          </w:tcPr>
          <w:p>
            <w:pPr>
              <w:jc w:val="left"/>
            </w:pPr>
            <w:r>
              <w:rPr>
                <w:b w:val="false"/>
                <w:bCs w:val="false"/>
                <w:color w:val="111111"/>
                <w:sz w:val="20"/>
                <w:szCs w:val="20"/>
              </w:rPr>
              <w:t xml:space="preserve">Correctly left alone</w:t>
            </w:r>
          </w:p>
        </w:tc>
      </w:tr>
    </w:tbl>
    <w:p>
      <w:pPr>
        <w:spacing w:after="160"/>
      </w:pPr>
      <w:r>
        <w:t xml:space="preserve">The 206 missed churners are the more consequential number from a revenue-protection standpoint: they represent more actual attrition than the model catches. Because a missed churner (lost revenue) is almost certainly more expensive to the bank than a false positive (the cost of one unnecessary discount or outreach call), I would recommend the business test lowering the classification threshold below 50% — trading some additional false positives for a meaningfully higher catch rate on real churners — and re-run this cost comparison once the bank's actual retention-offer cost and per-customer revenue figures are available in place of the placeholder assumptions used below.</w:t>
      </w:r>
    </w:p>
    <w:p>
      <w:pPr>
        <w:pStyle w:val="Heading1"/>
        <w:spacing w:after="150" w:before="320"/>
      </w:pPr>
      <w:r>
        <w:t xml:space="preserve">8. Financial Impact Assessment</w:t>
      </w:r>
    </w:p>
    <w:p>
      <w:pPr>
        <w:spacing w:after="160"/>
      </w:pPr>
      <w:r>
        <w:t xml:space="preserve">The following estimate uses two placeholder assumptions, pending real figures from Finance:</w:t>
      </w:r>
    </w:p>
    <w:tbl>
      <w:tblPr>
        <w:tblW w:type="dxa" w:w="10160"/>
        <w:tblBorders>
          <w:top w:val="single" w:color="auto" w:sz="4"/>
          <w:left w:val="single" w:color="auto" w:sz="4"/>
          <w:bottom w:val="single" w:color="auto" w:sz="4"/>
          <w:right w:val="single" w:color="auto" w:sz="4"/>
          <w:insideH w:val="single" w:color="auto" w:sz="4"/>
          <w:insideV w:val="single" w:color="auto" w:sz="4"/>
        </w:tblBorders>
      </w:tblPr>
      <w:tblGrid>
        <w:gridCol w:w="5300"/>
        <w:gridCol w:w="2600"/>
        <w:gridCol w:w="2260"/>
      </w:tblGrid>
      <w:tr>
        <w:trPr>
          <w:tblHeader/>
        </w:trPr>
        <w:tc>
          <w:tcPr>
            <w:tcW w:type="dxa" w:w="5300"/>
            <w:shd w:fill="1F2937" w:val="clear"/>
            <w:tcMar>
              <w:top w:type="dxa" w:w="80"/>
              <w:left w:type="dxa" w:w="100"/>
              <w:bottom w:type="dxa" w:w="80"/>
              <w:right w:type="dxa" w:w="100"/>
            </w:tcMar>
          </w:tcPr>
          <w:p>
            <w:pPr>
              <w:jc w:val="left"/>
            </w:pPr>
            <w:r>
              <w:rPr>
                <w:b/>
                <w:bCs/>
                <w:color w:val="FFFFFF"/>
                <w:sz w:val="20"/>
                <w:szCs w:val="20"/>
              </w:rPr>
              <w:t xml:space="preserve">Assumption</w:t>
            </w:r>
          </w:p>
        </w:tc>
        <w:tc>
          <w:tcPr>
            <w:tcW w:type="dxa" w:w="2600"/>
            <w:shd w:fill="1F2937" w:val="clear"/>
            <w:tcMar>
              <w:top w:type="dxa" w:w="80"/>
              <w:left w:type="dxa" w:w="100"/>
              <w:bottom w:type="dxa" w:w="80"/>
              <w:right w:type="dxa" w:w="100"/>
            </w:tcMar>
          </w:tcPr>
          <w:p>
            <w:pPr>
              <w:jc w:val="left"/>
            </w:pPr>
            <w:r>
              <w:rPr>
                <w:b/>
                <w:bCs/>
                <w:color w:val="FFFFFF"/>
                <w:sz w:val="20"/>
                <w:szCs w:val="20"/>
              </w:rPr>
              <w:t xml:space="preserve">Value Used</w:t>
            </w:r>
          </w:p>
        </w:tc>
        <w:tc>
          <w:tcPr>
            <w:tcW w:type="dxa" w:w="2260"/>
            <w:shd w:fill="1F2937" w:val="clear"/>
            <w:tcMar>
              <w:top w:type="dxa" w:w="80"/>
              <w:left w:type="dxa" w:w="100"/>
              <w:bottom w:type="dxa" w:w="80"/>
              <w:right w:type="dxa" w:w="100"/>
            </w:tcMar>
          </w:tcPr>
          <w:p>
            <w:pPr>
              <w:jc w:val="left"/>
            </w:pPr>
            <w:r>
              <w:rPr>
                <w:b/>
                <w:bCs/>
                <w:color w:val="FFFFFF"/>
                <w:sz w:val="20"/>
                <w:szCs w:val="20"/>
              </w:rPr>
              <w:t xml:space="preserve">Status</w:t>
            </w:r>
          </w:p>
        </w:tc>
      </w:tr>
      <w:tr>
        <w:tc>
          <w:tcPr>
            <w:tcW w:type="dxa" w:w="5300"/>
            <w:shd w:fill="FFFFFF" w:val="clear"/>
            <w:tcMar>
              <w:top w:type="dxa" w:w="80"/>
              <w:left w:type="dxa" w:w="100"/>
              <w:bottom w:type="dxa" w:w="80"/>
              <w:right w:type="dxa" w:w="100"/>
            </w:tcMar>
          </w:tcPr>
          <w:p>
            <w:pPr>
              <w:jc w:val="left"/>
            </w:pPr>
            <w:r>
              <w:rPr>
                <w:b w:val="false"/>
                <w:bCs w:val="false"/>
                <w:color w:val="111111"/>
                <w:sz w:val="20"/>
                <w:szCs w:val="20"/>
              </w:rPr>
              <w:t xml:space="preserve">Average cost of one churned customer (lost annual revenue)</w:t>
            </w:r>
          </w:p>
        </w:tc>
        <w:tc>
          <w:tcPr>
            <w:tcW w:type="dxa" w:w="2600"/>
            <w:shd w:fill="FFFFFF" w:val="clear"/>
            <w:tcMar>
              <w:top w:type="dxa" w:w="80"/>
              <w:left w:type="dxa" w:w="100"/>
              <w:bottom w:type="dxa" w:w="80"/>
              <w:right w:type="dxa" w:w="100"/>
            </w:tcMar>
          </w:tcPr>
          <w:p>
            <w:pPr>
              <w:jc w:val="left"/>
            </w:pPr>
            <w:r>
              <w:rPr>
                <w:b w:val="false"/>
                <w:bCs w:val="false"/>
                <w:color w:val="111111"/>
                <w:sz w:val="20"/>
                <w:szCs w:val="20"/>
              </w:rPr>
              <w:t xml:space="preserve">$500</w:t>
            </w:r>
          </w:p>
        </w:tc>
        <w:tc>
          <w:tcPr>
            <w:tcW w:type="dxa" w:w="2260"/>
            <w:shd w:fill="FFFFFF" w:val="clear"/>
            <w:tcMar>
              <w:top w:type="dxa" w:w="80"/>
              <w:left w:type="dxa" w:w="100"/>
              <w:bottom w:type="dxa" w:w="80"/>
              <w:right w:type="dxa" w:w="100"/>
            </w:tcMar>
          </w:tcPr>
          <w:p>
            <w:pPr>
              <w:jc w:val="left"/>
            </w:pPr>
            <w:r>
              <w:rPr>
                <w:b w:val="false"/>
                <w:bCs w:val="false"/>
                <w:color w:val="111111"/>
                <w:sz w:val="20"/>
                <w:szCs w:val="20"/>
              </w:rPr>
              <w:t xml:space="preserve">Illustrative — replace with actual customer lifetime value / annual margin</w:t>
            </w:r>
          </w:p>
        </w:tc>
      </w:tr>
      <w:tr>
        <w:tc>
          <w:tcPr>
            <w:tcW w:type="dxa" w:w="5300"/>
            <w:shd w:fill="FFFFFF" w:val="clear"/>
            <w:tcMar>
              <w:top w:type="dxa" w:w="80"/>
              <w:left w:type="dxa" w:w="100"/>
              <w:bottom w:type="dxa" w:w="80"/>
              <w:right w:type="dxa" w:w="100"/>
            </w:tcMar>
          </w:tcPr>
          <w:p>
            <w:pPr>
              <w:jc w:val="left"/>
            </w:pPr>
            <w:r>
              <w:rPr>
                <w:b w:val="false"/>
                <w:bCs w:val="false"/>
                <w:color w:val="111111"/>
                <w:sz w:val="20"/>
                <w:szCs w:val="20"/>
              </w:rPr>
              <w:t xml:space="preserve">Retention offer success rate (share of flagged churners who can be saved)</w:t>
            </w:r>
          </w:p>
        </w:tc>
        <w:tc>
          <w:tcPr>
            <w:tcW w:type="dxa" w:w="2600"/>
            <w:shd w:fill="FFFFFF" w:val="clear"/>
            <w:tcMar>
              <w:top w:type="dxa" w:w="80"/>
              <w:left w:type="dxa" w:w="100"/>
              <w:bottom w:type="dxa" w:w="80"/>
              <w:right w:type="dxa" w:w="100"/>
            </w:tcMar>
          </w:tcPr>
          <w:p>
            <w:pPr>
              <w:jc w:val="left"/>
            </w:pPr>
            <w:r>
              <w:rPr>
                <w:b w:val="false"/>
                <w:bCs w:val="false"/>
                <w:color w:val="111111"/>
                <w:sz w:val="20"/>
                <w:szCs w:val="20"/>
              </w:rPr>
              <w:t xml:space="preserve">30%</w:t>
            </w:r>
          </w:p>
        </w:tc>
        <w:tc>
          <w:tcPr>
            <w:tcW w:type="dxa" w:w="2260"/>
            <w:shd w:fill="FFFFFF" w:val="clear"/>
            <w:tcMar>
              <w:top w:type="dxa" w:w="80"/>
              <w:left w:type="dxa" w:w="100"/>
              <w:bottom w:type="dxa" w:w="80"/>
              <w:right w:type="dxa" w:w="100"/>
            </w:tcMar>
          </w:tcPr>
          <w:p>
            <w:pPr>
              <w:jc w:val="left"/>
            </w:pPr>
            <w:r>
              <w:rPr>
                <w:b w:val="false"/>
                <w:bCs w:val="false"/>
                <w:color w:val="111111"/>
                <w:sz w:val="20"/>
                <w:szCs w:val="20"/>
              </w:rPr>
              <w:t xml:space="preserve">Illustrative — replace with historical campaign response rate, if available</w:t>
            </w:r>
          </w:p>
        </w:tc>
      </w:tr>
    </w:tbl>
    <w:tbl>
      <w:tblPr>
        <w:tblW w:type="dxa" w:w="10160"/>
        <w:tblBorders>
          <w:top w:val="single" w:color="auto" w:sz="4"/>
          <w:left w:val="single" w:color="auto" w:sz="4"/>
          <w:bottom w:val="single" w:color="auto" w:sz="4"/>
          <w:right w:val="single" w:color="auto" w:sz="4"/>
          <w:insideH w:val="single" w:color="auto" w:sz="4"/>
          <w:insideV w:val="single" w:color="auto" w:sz="4"/>
        </w:tblBorders>
      </w:tblPr>
      <w:tblGrid>
        <w:gridCol w:w="3400"/>
        <w:gridCol w:w="3300"/>
        <w:gridCol w:w="3460"/>
      </w:tblGrid>
      <w:tr>
        <w:trPr>
          <w:tblHeader/>
        </w:trPr>
        <w:tc>
          <w:tcPr>
            <w:tcW w:type="dxa" w:w="3400"/>
            <w:shd w:fill="1F2937" w:val="clear"/>
            <w:tcMar>
              <w:top w:type="dxa" w:w="80"/>
              <w:left w:type="dxa" w:w="100"/>
              <w:bottom w:type="dxa" w:w="80"/>
              <w:right w:type="dxa" w:w="100"/>
            </w:tcMar>
          </w:tcPr>
          <w:p>
            <w:pPr>
              <w:jc w:val="left"/>
            </w:pPr>
            <w:r>
              <w:rPr>
                <w:b/>
                <w:bCs/>
                <w:color w:val="FFFFFF"/>
                <w:sz w:val="20"/>
                <w:szCs w:val="20"/>
              </w:rPr>
              <w:t xml:space="preserve">Metric</w:t>
            </w:r>
          </w:p>
        </w:tc>
        <w:tc>
          <w:tcPr>
            <w:tcW w:type="dxa" w:w="3300"/>
            <w:shd w:fill="1F2937" w:val="clear"/>
            <w:tcMar>
              <w:top w:type="dxa" w:w="80"/>
              <w:left w:type="dxa" w:w="100"/>
              <w:bottom w:type="dxa" w:w="80"/>
              <w:right w:type="dxa" w:w="100"/>
            </w:tcMar>
          </w:tcPr>
          <w:p>
            <w:pPr>
              <w:jc w:val="left"/>
            </w:pPr>
            <w:r>
              <w:rPr>
                <w:b/>
                <w:bCs/>
                <w:color w:val="FFFFFF"/>
                <w:sz w:val="20"/>
                <w:szCs w:val="20"/>
              </w:rPr>
              <w:t xml:space="preserve">Test-Set Value (2,000 accounts)</w:t>
            </w:r>
          </w:p>
        </w:tc>
        <w:tc>
          <w:tcPr>
            <w:tcW w:type="dxa" w:w="3460"/>
            <w:shd w:fill="1F2937" w:val="clear"/>
            <w:tcMar>
              <w:top w:type="dxa" w:w="80"/>
              <w:left w:type="dxa" w:w="100"/>
              <w:bottom w:type="dxa" w:w="80"/>
              <w:right w:type="dxa" w:w="100"/>
            </w:tcMar>
          </w:tcPr>
          <w:p>
            <w:pPr>
              <w:jc w:val="left"/>
            </w:pPr>
            <w:r>
              <w:rPr>
                <w:b/>
                <w:bCs/>
                <w:color w:val="FFFFFF"/>
                <w:sz w:val="20"/>
                <w:szCs w:val="20"/>
              </w:rPr>
              <w:t xml:space="preserve">Extrapolated to Full Book (~10,000 accounts)*</w:t>
            </w:r>
          </w:p>
        </w:tc>
      </w:tr>
      <w:tr>
        <w:tc>
          <w:tcPr>
            <w:tcW w:type="dxa" w:w="3400"/>
            <w:shd w:fill="FFFFFF" w:val="clear"/>
            <w:tcMar>
              <w:top w:type="dxa" w:w="80"/>
              <w:left w:type="dxa" w:w="100"/>
              <w:bottom w:type="dxa" w:w="80"/>
              <w:right w:type="dxa" w:w="100"/>
            </w:tcMar>
          </w:tcPr>
          <w:p>
            <w:pPr>
              <w:jc w:val="left"/>
            </w:pPr>
            <w:r>
              <w:rPr>
                <w:b w:val="false"/>
                <w:bCs w:val="false"/>
                <w:color w:val="111111"/>
                <w:sz w:val="20"/>
                <w:szCs w:val="20"/>
              </w:rPr>
              <w:t xml:space="preserve">Actual churners</w:t>
            </w:r>
          </w:p>
        </w:tc>
        <w:tc>
          <w:tcPr>
            <w:tcW w:type="dxa" w:w="3300"/>
            <w:shd w:fill="FFFFFF" w:val="clear"/>
            <w:tcMar>
              <w:top w:type="dxa" w:w="80"/>
              <w:left w:type="dxa" w:w="100"/>
              <w:bottom w:type="dxa" w:w="80"/>
              <w:right w:type="dxa" w:w="100"/>
            </w:tcMar>
          </w:tcPr>
          <w:p>
            <w:pPr>
              <w:jc w:val="left"/>
            </w:pPr>
            <w:r>
              <w:rPr>
                <w:b w:val="false"/>
                <w:bCs w:val="false"/>
                <w:color w:val="111111"/>
                <w:sz w:val="20"/>
                <w:szCs w:val="20"/>
              </w:rPr>
              <w:t xml:space="preserve">407</w:t>
            </w:r>
          </w:p>
        </w:tc>
        <w:tc>
          <w:tcPr>
            <w:tcW w:type="dxa" w:w="3460"/>
            <w:shd w:fill="FFFFFF" w:val="clear"/>
            <w:tcMar>
              <w:top w:type="dxa" w:w="80"/>
              <w:left w:type="dxa" w:w="100"/>
              <w:bottom w:type="dxa" w:w="80"/>
              <w:right w:type="dxa" w:w="100"/>
            </w:tcMar>
          </w:tcPr>
          <w:p>
            <w:pPr>
              <w:jc w:val="left"/>
            </w:pPr>
            <w:r>
              <w:rPr>
                <w:b w:val="false"/>
                <w:bCs w:val="false"/>
                <w:color w:val="111111"/>
                <w:sz w:val="20"/>
                <w:szCs w:val="20"/>
              </w:rPr>
              <w:t xml:space="preserve">~2,035</w:t>
            </w:r>
          </w:p>
        </w:tc>
      </w:tr>
      <w:tr>
        <w:tc>
          <w:tcPr>
            <w:tcW w:type="dxa" w:w="3400"/>
            <w:shd w:fill="FFFFFF" w:val="clear"/>
            <w:tcMar>
              <w:top w:type="dxa" w:w="80"/>
              <w:left w:type="dxa" w:w="100"/>
              <w:bottom w:type="dxa" w:w="80"/>
              <w:right w:type="dxa" w:w="100"/>
            </w:tcMar>
          </w:tcPr>
          <w:p>
            <w:pPr>
              <w:jc w:val="left"/>
            </w:pPr>
            <w:r>
              <w:rPr>
                <w:b w:val="false"/>
                <w:bCs w:val="false"/>
                <w:color w:val="111111"/>
                <w:sz w:val="20"/>
                <w:szCs w:val="20"/>
              </w:rPr>
              <w:t xml:space="preserve">Churners correctly flagged by model</w:t>
            </w:r>
          </w:p>
        </w:tc>
        <w:tc>
          <w:tcPr>
            <w:tcW w:type="dxa" w:w="3300"/>
            <w:shd w:fill="FFFFFF" w:val="clear"/>
            <w:tcMar>
              <w:top w:type="dxa" w:w="80"/>
              <w:left w:type="dxa" w:w="100"/>
              <w:bottom w:type="dxa" w:w="80"/>
              <w:right w:type="dxa" w:w="100"/>
            </w:tcMar>
          </w:tcPr>
          <w:p>
            <w:pPr>
              <w:jc w:val="left"/>
            </w:pPr>
            <w:r>
              <w:rPr>
                <w:b w:val="false"/>
                <w:bCs w:val="false"/>
                <w:color w:val="111111"/>
                <w:sz w:val="20"/>
                <w:szCs w:val="20"/>
              </w:rPr>
              <w:t xml:space="preserve">201</w:t>
            </w:r>
          </w:p>
        </w:tc>
        <w:tc>
          <w:tcPr>
            <w:tcW w:type="dxa" w:w="3460"/>
            <w:shd w:fill="FFFFFF" w:val="clear"/>
            <w:tcMar>
              <w:top w:type="dxa" w:w="80"/>
              <w:left w:type="dxa" w:w="100"/>
              <w:bottom w:type="dxa" w:w="80"/>
              <w:right w:type="dxa" w:w="100"/>
            </w:tcMar>
          </w:tcPr>
          <w:p>
            <w:pPr>
              <w:jc w:val="left"/>
            </w:pPr>
            <w:r>
              <w:rPr>
                <w:b w:val="false"/>
                <w:bCs w:val="false"/>
                <w:color w:val="111111"/>
                <w:sz w:val="20"/>
                <w:szCs w:val="20"/>
              </w:rPr>
              <w:t xml:space="preserve">~1,005</w:t>
            </w:r>
          </w:p>
        </w:tc>
      </w:tr>
      <w:tr>
        <w:tc>
          <w:tcPr>
            <w:tcW w:type="dxa" w:w="3400"/>
            <w:shd w:fill="FFFFFF" w:val="clear"/>
            <w:tcMar>
              <w:top w:type="dxa" w:w="80"/>
              <w:left w:type="dxa" w:w="100"/>
              <w:bottom w:type="dxa" w:w="80"/>
              <w:right w:type="dxa" w:w="100"/>
            </w:tcMar>
          </w:tcPr>
          <w:p>
            <w:pPr>
              <w:jc w:val="left"/>
            </w:pPr>
            <w:r>
              <w:rPr>
                <w:b w:val="false"/>
                <w:bCs w:val="false"/>
                <w:color w:val="111111"/>
                <w:sz w:val="20"/>
                <w:szCs w:val="20"/>
              </w:rPr>
              <w:t xml:space="preserve">Churners saved at 30% offer success rate</w:t>
            </w:r>
          </w:p>
        </w:tc>
        <w:tc>
          <w:tcPr>
            <w:tcW w:type="dxa" w:w="3300"/>
            <w:shd w:fill="FFFFFF" w:val="clear"/>
            <w:tcMar>
              <w:top w:type="dxa" w:w="80"/>
              <w:left w:type="dxa" w:w="100"/>
              <w:bottom w:type="dxa" w:w="80"/>
              <w:right w:type="dxa" w:w="100"/>
            </w:tcMar>
          </w:tcPr>
          <w:p>
            <w:pPr>
              <w:jc w:val="left"/>
            </w:pPr>
            <w:r>
              <w:rPr>
                <w:b w:val="false"/>
                <w:bCs w:val="false"/>
                <w:color w:val="111111"/>
                <w:sz w:val="20"/>
                <w:szCs w:val="20"/>
              </w:rPr>
              <w:t xml:space="preserve">60</w:t>
            </w:r>
          </w:p>
        </w:tc>
        <w:tc>
          <w:tcPr>
            <w:tcW w:type="dxa" w:w="3460"/>
            <w:shd w:fill="FFFFFF" w:val="clear"/>
            <w:tcMar>
              <w:top w:type="dxa" w:w="80"/>
              <w:left w:type="dxa" w:w="100"/>
              <w:bottom w:type="dxa" w:w="80"/>
              <w:right w:type="dxa" w:w="100"/>
            </w:tcMar>
          </w:tcPr>
          <w:p>
            <w:pPr>
              <w:jc w:val="left"/>
            </w:pPr>
            <w:r>
              <w:rPr>
                <w:b w:val="false"/>
                <w:bCs w:val="false"/>
                <w:color w:val="111111"/>
                <w:sz w:val="20"/>
                <w:szCs w:val="20"/>
              </w:rPr>
              <w:t xml:space="preserve">~300</w:t>
            </w:r>
          </w:p>
        </w:tc>
      </w:tr>
      <w:tr>
        <w:tc>
          <w:tcPr>
            <w:tcW w:type="dxa" w:w="3400"/>
            <w:shd w:fill="FFFFFF" w:val="clear"/>
            <w:tcMar>
              <w:top w:type="dxa" w:w="80"/>
              <w:left w:type="dxa" w:w="100"/>
              <w:bottom w:type="dxa" w:w="80"/>
              <w:right w:type="dxa" w:w="100"/>
            </w:tcMar>
          </w:tcPr>
          <w:p>
            <w:pPr>
              <w:jc w:val="left"/>
            </w:pPr>
            <w:r>
              <w:rPr>
                <w:b w:val="false"/>
                <w:bCs w:val="false"/>
                <w:color w:val="111111"/>
                <w:sz w:val="20"/>
                <w:szCs w:val="20"/>
              </w:rPr>
              <w:t xml:space="preserve">Estimated annual savings</w:t>
            </w:r>
          </w:p>
        </w:tc>
        <w:tc>
          <w:tcPr>
            <w:tcW w:type="dxa" w:w="3300"/>
            <w:shd w:fill="FFFFFF" w:val="clear"/>
            <w:tcMar>
              <w:top w:type="dxa" w:w="80"/>
              <w:left w:type="dxa" w:w="100"/>
              <w:bottom w:type="dxa" w:w="80"/>
              <w:right w:type="dxa" w:w="100"/>
            </w:tcMar>
          </w:tcPr>
          <w:p>
            <w:pPr>
              <w:jc w:val="left"/>
            </w:pPr>
            <w:r>
              <w:rPr>
                <w:b w:val="false"/>
                <w:bCs w:val="false"/>
                <w:color w:val="111111"/>
                <w:sz w:val="20"/>
                <w:szCs w:val="20"/>
              </w:rPr>
              <w:t xml:space="preserve">$30,000</w:t>
            </w:r>
          </w:p>
        </w:tc>
        <w:tc>
          <w:tcPr>
            <w:tcW w:type="dxa" w:w="3460"/>
            <w:shd w:fill="FFFFFF" w:val="clear"/>
            <w:tcMar>
              <w:top w:type="dxa" w:w="80"/>
              <w:left w:type="dxa" w:w="100"/>
              <w:bottom w:type="dxa" w:w="80"/>
              <w:right w:type="dxa" w:w="100"/>
            </w:tcMar>
          </w:tcPr>
          <w:p>
            <w:pPr>
              <w:jc w:val="left"/>
            </w:pPr>
            <w:r>
              <w:rPr>
                <w:b w:val="false"/>
                <w:bCs w:val="false"/>
                <w:color w:val="111111"/>
                <w:sz w:val="20"/>
                <w:szCs w:val="20"/>
              </w:rPr>
              <w:t xml:space="preserve">~$150,000</w:t>
            </w:r>
          </w:p>
        </w:tc>
      </w:tr>
    </w:tbl>
    <w:p>
      <w:pPr>
        <w:spacing w:after="200"/>
      </w:pPr>
      <w:r>
        <w:rPr>
          <w:i/>
          <w:iCs/>
          <w:color w:val="555555"/>
        </w:rPr>
        <w:t xml:space="preserve">*Extrapolation assumes the test sample's churn rate and model performance hold across the full customer base; it is a directional estimate, not a forecast, and should be revalidated against the full book before being used in a budget submission.</w:t>
      </w:r>
    </w:p>
    <w:p>
      <w:pPr>
        <w:spacing w:after="160"/>
      </w:pPr>
      <w:r>
        <w:t xml:space="preserve">Even on the conservative test-sample figure, the $30,000 estimate very likely understates the model's value: it only credits the 201 churners the model actually catches, and says nothing about the value of avoiding wasted retention spend on the 1,540 customers correctly left alone. A more complete ROI case would also net out the cost of running the retention campaign itself (staff time, discount value, systems) against the $150,000 gross estimate above.</w:t>
      </w:r>
    </w:p>
    <w:p>
      <w:pPr>
        <w:pStyle w:val="Heading1"/>
        <w:spacing w:after="150" w:before="320"/>
      </w:pPr>
      <w:r>
        <w:t xml:space="preserve">9. Business Recommendations</w:t>
      </w:r>
    </w:p>
    <w:p>
      <w:pPr>
        <w:pStyle w:val="ListParagraph"/>
        <w:numPr>
          <w:ilvl w:val="0"/>
          <w:numId w:val="1"/>
        </w:numPr>
        <w:spacing w:after="80"/>
      </w:pPr>
      <w:r>
        <w:t xml:space="preserve">Prioritize retention outreach by product count first, age second — these two factors explain the large majority of the model's risk ranking and are simple enough to operationalize in a call-center script or CRM rule.</w:t>
      </w:r>
    </w:p>
    <w:p>
      <w:pPr>
        <w:pStyle w:val="ListParagraph"/>
        <w:numPr>
          <w:ilvl w:val="0"/>
          <w:numId w:val="1"/>
        </w:numPr>
        <w:spacing w:after="80"/>
      </w:pPr>
      <w:r>
        <w:t xml:space="preserve">Investigate the German-market churn premium specifically — determine whether this reflects local competitive pressure, pricing, or service quality, since geography is a structural factor the bank can act on directly.</w:t>
      </w:r>
    </w:p>
    <w:p>
      <w:pPr>
        <w:pStyle w:val="ListParagraph"/>
        <w:numPr>
          <w:ilvl w:val="0"/>
          <w:numId w:val="1"/>
        </w:numPr>
        <w:spacing w:after="80"/>
      </w:pPr>
      <w:r>
        <w:t xml:space="preserve">Pilot a lower probability threshold for flagging risk, and measure the resulting change in retention-offer volume versus churners saved, before committing to a single threshold bank-wide.</w:t>
      </w:r>
    </w:p>
    <w:p>
      <w:pPr>
        <w:pStyle w:val="ListParagraph"/>
        <w:numPr>
          <w:ilvl w:val="0"/>
          <w:numId w:val="1"/>
        </w:numPr>
        <w:spacing w:after="80"/>
      </w:pPr>
      <w:r>
        <w:t xml:space="preserve">Replace the $500 / 30% placeholder assumptions in Section 8 with actual finance and marketing figures before this business case is used for budgeting.</w:t>
      </w:r>
    </w:p>
    <w:p>
      <w:pPr>
        <w:pStyle w:val="ListParagraph"/>
        <w:numPr>
          <w:ilvl w:val="0"/>
          <w:numId w:val="1"/>
        </w:numPr>
        <w:spacing w:after="80"/>
      </w:pPr>
      <w:r>
        <w:t xml:space="preserve">Re-score the model quarterly as new account data arrives, since customer behavior — and therefore churn risk — will drift over time.</w:t>
      </w:r>
    </w:p>
    <w:p>
      <w:pPr>
        <w:pStyle w:val="Heading1"/>
        <w:spacing w:after="150" w:before="320"/>
      </w:pPr>
      <w:r>
        <w:t xml:space="preserve">10. Operational Deployment</w:t>
      </w:r>
    </w:p>
    <w:p>
      <w:pPr>
        <w:spacing w:after="160"/>
      </w:pPr>
      <w:r>
        <w:t xml:space="preserve">To make this usable outside a notebook, the trained model and its preprocessing pipeline were packaged into an interactive Streamlit dashboard (app.py), deployed via Streamlit Community Cloud from the project's GitHub repository. The dashboard exposes three views for non-technical users: a single-customer risk calculator, a model performance comparison view, and a what-if simulator for testing how a change in a customer's profile (e.g., adding a product, or a change in balance) shifts their predicted churn risk in real time.</w:t>
      </w:r>
    </w:p>
    <w:p>
      <w:pPr>
        <w:pStyle w:val="Heading1"/>
        <w:spacing w:after="150" w:before="320"/>
      </w:pPr>
      <w:r>
        <w:t xml:space="preserve">11. Limitations &amp; Assumptions</w:t>
      </w:r>
    </w:p>
    <w:p>
      <w:pPr>
        <w:pStyle w:val="ListParagraph"/>
        <w:numPr>
          <w:ilvl w:val="0"/>
          <w:numId w:val="1"/>
        </w:numPr>
        <w:spacing w:after="80"/>
      </w:pPr>
      <w:r>
        <w:t xml:space="preserve">The $500 per-customer cost and 30% retention-offer success rate are illustrative placeholders, not figures sourced from this bank's actual financials — see Section 8.</w:t>
      </w:r>
    </w:p>
    <w:p>
      <w:pPr>
        <w:pStyle w:val="ListParagraph"/>
        <w:numPr>
          <w:ilvl w:val="0"/>
          <w:numId w:val="1"/>
        </w:numPr>
        <w:spacing w:after="80"/>
      </w:pPr>
      <w:r>
        <w:t xml:space="preserve">The model was trained and validated on a single 10,000-account snapshot; performance on the live, full-scale portfolio should be confirmed before rollout.</w:t>
      </w:r>
    </w:p>
    <w:p>
      <w:pPr>
        <w:pStyle w:val="ListParagraph"/>
        <w:numPr>
          <w:ilvl w:val="0"/>
          <w:numId w:val="1"/>
        </w:numPr>
        <w:spacing w:after="80"/>
      </w:pPr>
      <w:r>
        <w:t xml:space="preserve">At the default threshold, the model misses just over half of actual churners (recall of 49.4%); this is a deliberate precision/recall trade-off, not a defect, but it should be sized against the business's tolerance for missed churners versus wasted outreach (Section 7).</w:t>
      </w:r>
    </w:p>
    <w:p>
      <w:pPr>
        <w:pStyle w:val="ListParagraph"/>
        <w:numPr>
          <w:ilvl w:val="0"/>
          <w:numId w:val="1"/>
        </w:numPr>
        <w:spacing w:after="80"/>
      </w:pPr>
      <w:r>
        <w:t xml:space="preserve">Extrapolations from the 2,000-account test sample to the full ~10,000-account book (Section 8) assume the sample is representative; this should be revisited once full-book scoring is available.</w:t>
      </w:r>
    </w:p>
    <w:p>
      <w:pPr>
        <w:pStyle w:val="Heading1"/>
        <w:spacing w:after="150" w:before="320"/>
      </w:pPr>
      <w:r>
        <w:t xml:space="preserve">12. Conclusion</w:t>
      </w:r>
    </w:p>
    <w:p>
      <w:pPr>
        <w:spacing w:after="160"/>
      </w:pPr>
      <w:r>
        <w:t xml:space="preserve">The data supports a clear, actionable churn story: product count and age are the dominant risk factors, the Gradient Boosting model provides a strong and explainable ranking of at-risk customers, and even under conservative assumptions the resulting retention program has a credible six-figure annual revenue-protection case. The immediate next step is operational, not analytical: validate the cost and offer-success assumptions with Finance and Marketing, decide on a working risk threshold, and route the model's output into whichever retention workflow the relationship teams already use.</w:t>
      </w:r>
    </w:p>
    <w:p>
      <w:pPr>
        <w:pBdr>
          <w:bottom w:val="single" w:color="CCCCCC" w:sz="6" w:space="4"/>
        </w:pBdr>
        <w:spacing w:after="200"/>
      </w:pPr>
    </w:p>
    <w:p>
      <w:pPr>
        <w:spacing w:after="160"/>
      </w:pPr>
      <w:r>
        <w:rPr>
          <w:i/>
          <w:iCs/>
          <w:color w:val="888888"/>
          <w:sz w:val="18"/>
          <w:szCs w:val="18"/>
        </w:rPr>
        <w:t xml:space="preserve">End of report.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2026-09-27T12:26:58.522Z</dcterms:created>
  <dcterms:modified xsi:type="dcterms:W3CDTF">2026-09-27T12:26:58.522Z</dcterms:modified>
</cp:coreProperties>
</file>

<file path=docProps/custom.xml><?xml version="1.0" encoding="utf-8"?>
<Properties xmlns="http://schemas.openxmlformats.org/officeDocument/2006/custom-properties" xmlns:vt="http://schemas.openxmlformats.org/officeDocument/2006/docPropsVTypes"/>
</file>