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EEFBA4" w14:textId="515B9BA4" w:rsidR="000742F5" w:rsidRPr="000742F5" w:rsidRDefault="000742F5" w:rsidP="000742F5">
      <w:pPr>
        <w:jc w:val="both"/>
        <w:rPr>
          <w:b/>
          <w:bCs/>
        </w:rPr>
      </w:pPr>
      <w:r w:rsidRPr="000742F5">
        <w:rPr>
          <w:b/>
          <w:bCs/>
        </w:rPr>
        <w:t xml:space="preserve">Reflection: Managing the AI Product Lifecycle, Artifacts, and Decision </w:t>
      </w:r>
      <w:r>
        <w:rPr>
          <w:b/>
          <w:bCs/>
        </w:rPr>
        <w:t>A</w:t>
      </w:r>
      <w:r w:rsidRPr="000742F5">
        <w:rPr>
          <w:b/>
          <w:bCs/>
        </w:rPr>
        <w:t>ccountability</w:t>
      </w:r>
    </w:p>
    <w:p w14:paraId="7C2FA661" w14:textId="77777777" w:rsidR="000742F5" w:rsidRPr="000742F5" w:rsidRDefault="000742F5" w:rsidP="000742F5">
      <w:pPr>
        <w:jc w:val="both"/>
      </w:pPr>
      <w:r w:rsidRPr="000742F5">
        <w:rPr>
          <w:b/>
          <w:bCs/>
        </w:rPr>
        <w:t>Session Topic:</w:t>
      </w:r>
      <w:r w:rsidRPr="000742F5">
        <w:t xml:space="preserve"> Product Lifecycle Loops, Decision Gates, AI-Native vs. AI-Enabled Artifacts, and Professional Services</w:t>
      </w:r>
    </w:p>
    <w:p w14:paraId="4B0ECE4D" w14:textId="1891D02D" w:rsidR="000742F5" w:rsidRPr="000742F5" w:rsidRDefault="000742F5" w:rsidP="000742F5">
      <w:pPr>
        <w:jc w:val="both"/>
        <w:rPr>
          <w:b/>
          <w:bCs/>
        </w:rPr>
      </w:pPr>
      <w:r w:rsidRPr="000742F5">
        <w:rPr>
          <w:b/>
          <w:bCs/>
        </w:rPr>
        <w:t>Core Takeaways &amp; Concepts</w:t>
      </w:r>
    </w:p>
    <w:p w14:paraId="120D2B94" w14:textId="77777777" w:rsidR="000742F5" w:rsidRPr="000742F5" w:rsidRDefault="000742F5" w:rsidP="000742F5">
      <w:pPr>
        <w:jc w:val="both"/>
      </w:pPr>
      <w:r w:rsidRPr="000742F5">
        <w:t>This session expanded significantly on operationalizing product decisions, shifting from abstract ownership to the specific artifacts, lifecycle governance, and execution models required when managing AI systems. Key insights included:</w:t>
      </w:r>
    </w:p>
    <w:p w14:paraId="1E4D8ACF" w14:textId="08E76A53" w:rsidR="000742F5" w:rsidRPr="000742F5" w:rsidRDefault="000742F5" w:rsidP="000742F5">
      <w:pPr>
        <w:numPr>
          <w:ilvl w:val="0"/>
          <w:numId w:val="1"/>
        </w:numPr>
        <w:jc w:val="both"/>
      </w:pPr>
      <w:r w:rsidRPr="000742F5">
        <w:rPr>
          <w:b/>
          <w:bCs/>
        </w:rPr>
        <w:t>The Product Lifecycle as a Managed Learning Loop:</w:t>
      </w:r>
      <w:r w:rsidRPr="000742F5">
        <w:t xml:space="preserve"> A product lifecycle is neither a waterfall phase nor a simple sprint; it operates as an iterative feedback loop (Discover </w:t>
      </w:r>
      <w:r>
        <w:t>&gt;</w:t>
      </w:r>
      <w:r w:rsidRPr="000742F5">
        <w:t xml:space="preserve"> Define </w:t>
      </w:r>
      <w:r>
        <w:t xml:space="preserve">&gt; </w:t>
      </w:r>
      <w:r w:rsidRPr="000742F5">
        <w:t xml:space="preserve">Strategize </w:t>
      </w:r>
      <w:r>
        <w:t xml:space="preserve">&gt; </w:t>
      </w:r>
      <w:r w:rsidRPr="000742F5">
        <w:t xml:space="preserve">Plan </w:t>
      </w:r>
      <w:r>
        <w:t>&gt;</w:t>
      </w:r>
      <w:r w:rsidRPr="000742F5">
        <w:t xml:space="preserve"> Build </w:t>
      </w:r>
      <w:r>
        <w:t xml:space="preserve">&gt; </w:t>
      </w:r>
      <w:r w:rsidRPr="000742F5">
        <w:t xml:space="preserve">Launch </w:t>
      </w:r>
      <w:r>
        <w:t>&gt;</w:t>
      </w:r>
      <w:r w:rsidRPr="000742F5">
        <w:t xml:space="preserve"> Grow </w:t>
      </w:r>
      <w:r>
        <w:t xml:space="preserve">&gt; </w:t>
      </w:r>
      <w:r w:rsidRPr="000742F5">
        <w:t xml:space="preserve">Retire/Renew). Because products inherently address </w:t>
      </w:r>
      <w:r>
        <w:t>N</w:t>
      </w:r>
      <w:r w:rsidRPr="000742F5">
        <w:t xml:space="preserve"> unknown customers rather than a single bespoke client, initial requirements inevitably change. In AI contexts, retiring or sunsetting a product must be treated as an explicit, dignified strategic option rather than an unacknowledged failure.</w:t>
      </w:r>
    </w:p>
    <w:p w14:paraId="1FD2E9F6" w14:textId="5842AC51" w:rsidR="000742F5" w:rsidRPr="000742F5" w:rsidRDefault="000742F5" w:rsidP="000742F5">
      <w:pPr>
        <w:numPr>
          <w:ilvl w:val="0"/>
          <w:numId w:val="1"/>
        </w:numPr>
        <w:jc w:val="both"/>
      </w:pPr>
      <w:r w:rsidRPr="000742F5">
        <w:rPr>
          <w:b/>
          <w:bCs/>
        </w:rPr>
        <w:t>Strategic Deferral of Decisions:</w:t>
      </w:r>
      <w:r w:rsidRPr="000742F5">
        <w:t xml:space="preserve"> Addressing early-stage stakeholder friction, the analogy of home construction. Foundational and structural decisions (the architecture) must be locked in early with complete stakeholder alignment. Cosmetic choices (such as room paint </w:t>
      </w:r>
      <w:r w:rsidRPr="000742F5">
        <w:t>colours</w:t>
      </w:r>
      <w:r w:rsidRPr="000742F5">
        <w:t xml:space="preserve"> or specific UI screen themes) should be deliberately deferred as late as possible to avoid locking up resources or creating premature constraints.</w:t>
      </w:r>
    </w:p>
    <w:p w14:paraId="79665622" w14:textId="77777777" w:rsidR="000742F5" w:rsidRPr="000742F5" w:rsidRDefault="000742F5" w:rsidP="000742F5">
      <w:pPr>
        <w:numPr>
          <w:ilvl w:val="0"/>
          <w:numId w:val="1"/>
        </w:numPr>
        <w:jc w:val="both"/>
      </w:pPr>
      <w:r w:rsidRPr="000742F5">
        <w:rPr>
          <w:b/>
          <w:bCs/>
        </w:rPr>
        <w:t>Decision Traceability Across Artifacts:</w:t>
      </w:r>
      <w:r w:rsidRPr="000742F5">
        <w:t xml:space="preserve"> Product managers act as organizational trustees managing third-party capital and time. Consequently, product choices require disciplined documentation. A single strategic choice must trace cleanly through the entire artifact chain—from discovery notes and the Product Requirements Document (PRD) to architectural design, user stories, acceptance criteria, and launch FAQ/briefs. If a priority shifts at the top, traceability matrices ensure engineering and support don't continue building abandoned expectations.</w:t>
      </w:r>
    </w:p>
    <w:p w14:paraId="66035966" w14:textId="77777777" w:rsidR="000742F5" w:rsidRPr="000742F5" w:rsidRDefault="000742F5" w:rsidP="0024174B">
      <w:pPr>
        <w:numPr>
          <w:ilvl w:val="0"/>
          <w:numId w:val="1"/>
        </w:numPr>
        <w:spacing w:after="0"/>
        <w:jc w:val="both"/>
      </w:pPr>
      <w:r w:rsidRPr="000742F5">
        <w:rPr>
          <w:b/>
          <w:bCs/>
        </w:rPr>
        <w:t>AI-Enabled vs. Ground-Up AI-Native Products:</w:t>
      </w:r>
    </w:p>
    <w:p w14:paraId="2989926C" w14:textId="77777777" w:rsidR="000742F5" w:rsidRPr="000742F5" w:rsidRDefault="000742F5" w:rsidP="0024174B">
      <w:pPr>
        <w:numPr>
          <w:ilvl w:val="0"/>
          <w:numId w:val="2"/>
        </w:numPr>
        <w:spacing w:after="0"/>
        <w:jc w:val="both"/>
      </w:pPr>
      <w:r w:rsidRPr="000742F5">
        <w:t>AI-Enabled: Bolting predictive or generative features onto an existing, working workflow.</w:t>
      </w:r>
    </w:p>
    <w:p w14:paraId="1DC2F016" w14:textId="77777777" w:rsidR="000742F5" w:rsidRPr="000742F5" w:rsidRDefault="000742F5" w:rsidP="0024174B">
      <w:pPr>
        <w:numPr>
          <w:ilvl w:val="0"/>
          <w:numId w:val="3"/>
        </w:numPr>
        <w:spacing w:after="0"/>
        <w:jc w:val="both"/>
      </w:pPr>
      <w:r w:rsidRPr="000742F5">
        <w:t>AI-Native: Designing around an entirely new capability where the core value thesis relies on a continuous data/knowledge feedback flywheel.</w:t>
      </w:r>
    </w:p>
    <w:p w14:paraId="5A812DF8" w14:textId="5D83354D" w:rsidR="000742F5" w:rsidRPr="000742F5" w:rsidRDefault="000742F5" w:rsidP="0024174B">
      <w:pPr>
        <w:numPr>
          <w:ilvl w:val="0"/>
          <w:numId w:val="4"/>
        </w:numPr>
        <w:spacing w:after="0"/>
        <w:jc w:val="both"/>
      </w:pPr>
      <w:r w:rsidRPr="000742F5">
        <w:t xml:space="preserve">PRD Evolution: AI-native PRDs must extend standard templates to incorporate data contracts, probabilistic </w:t>
      </w:r>
      <w:r w:rsidR="0024174B" w:rsidRPr="0024174B">
        <w:t>behaviour</w:t>
      </w:r>
      <w:r w:rsidRPr="000742F5">
        <w:t xml:space="preserve"> thresholds (e.g., P95/P99 latency), distribution drift, failure recovery, and regulatory compliance constraints (e.g., emerging RBI guidelines, EU AI Act, FDA standards).</w:t>
      </w:r>
    </w:p>
    <w:p w14:paraId="28CD62DB" w14:textId="77777777" w:rsidR="000742F5" w:rsidRPr="000742F5" w:rsidRDefault="000742F5" w:rsidP="000742F5">
      <w:pPr>
        <w:numPr>
          <w:ilvl w:val="0"/>
          <w:numId w:val="5"/>
        </w:numPr>
        <w:jc w:val="both"/>
      </w:pPr>
      <w:r w:rsidRPr="000742F5">
        <w:rPr>
          <w:b/>
          <w:bCs/>
        </w:rPr>
        <w:lastRenderedPageBreak/>
        <w:t>The Role of Professional Services &amp; External Advisory:</w:t>
      </w:r>
      <w:r w:rsidRPr="000742F5">
        <w:t xml:space="preserve"> Standard products often require implementation partners (analogous to enterprise ERP rollouts) to bridge the gap between product promise and customer realization. For AI products, professional services must validate output distributions, handle edge-case failure modes, and institute human-in-the-loop overrides. Crucially, while consultants advise and implementation teams execute, final accountability for the product promise and legal liability remains strictly with the product owner.</w:t>
      </w:r>
    </w:p>
    <w:p w14:paraId="6A562447" w14:textId="77777777" w:rsidR="000742F5" w:rsidRPr="000742F5" w:rsidRDefault="000742F5" w:rsidP="000742F5">
      <w:pPr>
        <w:numPr>
          <w:ilvl w:val="0"/>
          <w:numId w:val="5"/>
        </w:numPr>
        <w:jc w:val="both"/>
      </w:pPr>
      <w:r w:rsidRPr="000742F5">
        <w:rPr>
          <w:b/>
          <w:bCs/>
        </w:rPr>
        <w:t>Technical Fluency over Implementation Purism:</w:t>
      </w:r>
      <w:r w:rsidRPr="000742F5">
        <w:t xml:space="preserve"> An AI product manager does not need to write production model code, but must possess baseline technical and domain fluency. Knowing the functional trade-offs between precision and recall, or understanding why a model is probabilistic rather than deterministic, is essential to avoid being a detached coordinator.</w:t>
      </w:r>
    </w:p>
    <w:p w14:paraId="05BAA4E4" w14:textId="77777777" w:rsidR="000742F5" w:rsidRPr="000742F5" w:rsidRDefault="000742F5" w:rsidP="000742F5">
      <w:pPr>
        <w:jc w:val="both"/>
        <w:rPr>
          <w:b/>
          <w:bCs/>
        </w:rPr>
      </w:pPr>
      <w:r w:rsidRPr="000742F5">
        <w:rPr>
          <w:b/>
          <w:bCs/>
        </w:rPr>
        <w:t>2. Workplace Applicability &amp; Contextual Translation</w:t>
      </w:r>
    </w:p>
    <w:p w14:paraId="64548449" w14:textId="77777777" w:rsidR="000742F5" w:rsidRPr="000742F5" w:rsidRDefault="000742F5" w:rsidP="000742F5">
      <w:pPr>
        <w:jc w:val="both"/>
      </w:pPr>
      <w:r w:rsidRPr="000742F5">
        <w:t>Reflecting on these principles through my current role managing enterprise talent acquisition, recruitment workflows, and HR systems:</w:t>
      </w:r>
    </w:p>
    <w:p w14:paraId="1963CCF9" w14:textId="77777777" w:rsidR="000742F5" w:rsidRPr="000742F5" w:rsidRDefault="000742F5" w:rsidP="000742F5">
      <w:pPr>
        <w:numPr>
          <w:ilvl w:val="0"/>
          <w:numId w:val="6"/>
        </w:numPr>
        <w:jc w:val="both"/>
      </w:pPr>
      <w:r w:rsidRPr="000742F5">
        <w:rPr>
          <w:b/>
          <w:bCs/>
        </w:rPr>
        <w:t>Strategic Deferral in Workflow Automation:</w:t>
      </w:r>
      <w:r w:rsidRPr="000742F5">
        <w:t xml:space="preserve"> When designing candidate evaluation or outreach workflows, teams often get bogged down debating candidate portal styling or notification copy before proving whether the underlying resume parsing and screening filters actually work. Applying the concept of strategic deferral means locking down structural criteria (compliance, scoring thresholds, integration with our ATS) while deferring minor UI customizations until pilot results prove candidate engagement.</w:t>
      </w:r>
    </w:p>
    <w:p w14:paraId="24BB27E1" w14:textId="77777777" w:rsidR="000742F5" w:rsidRPr="000742F5" w:rsidRDefault="000742F5" w:rsidP="000742F5">
      <w:pPr>
        <w:numPr>
          <w:ilvl w:val="0"/>
          <w:numId w:val="6"/>
        </w:numPr>
        <w:jc w:val="both"/>
      </w:pPr>
      <w:r w:rsidRPr="000742F5">
        <w:rPr>
          <w:b/>
          <w:bCs/>
        </w:rPr>
        <w:t>The "BPO/Recruitment Fit" Disconnect:</w:t>
      </w:r>
      <w:r w:rsidRPr="000742F5">
        <w:t xml:space="preserve"> The faculty’s cautionary example regarding evaluating candidate profiles hit remarkably close to home. A team proposed using academic publications and university rankings to automate screening for business process outsourcing (BPO) roles—a complete failure of product-market fit because the talent pool for entry-level BPO operations does not index on patents or elite tier-one publications. In our recruitment tech stack, we must continually audit whether our filtering models reflect the practical reality of the target talent pool rather than an academic ideal.</w:t>
      </w:r>
    </w:p>
    <w:p w14:paraId="3AF597CA" w14:textId="77777777" w:rsidR="000742F5" w:rsidRPr="000742F5" w:rsidRDefault="000742F5" w:rsidP="000742F5">
      <w:pPr>
        <w:numPr>
          <w:ilvl w:val="0"/>
          <w:numId w:val="6"/>
        </w:numPr>
        <w:jc w:val="both"/>
      </w:pPr>
      <w:r w:rsidRPr="000742F5">
        <w:rPr>
          <w:b/>
          <w:bCs/>
        </w:rPr>
        <w:t>Traceability in Candidate Selection Decisions:</w:t>
      </w:r>
      <w:r w:rsidRPr="000742F5">
        <w:t xml:space="preserve"> In hiring workflows, regulatory exposure around bias and transparency is rising. Maintaining an end-to-end audit trail—connecting our job performance criteria directly to screening algorithms, recruiter interview rubrics, and final placement metrics—mirrors the traceability matrix emphasized in class. If an evaluation criterion is dropped during the intake meeting, it must be reflected immediately across our automated tooling to avoid flawed shortlisting.</w:t>
      </w:r>
    </w:p>
    <w:sectPr w:rsidR="000742F5" w:rsidRPr="000742F5" w:rsidSect="000742F5">
      <w:pgSz w:w="11906" w:h="16838"/>
      <w:pgMar w:top="1440" w:right="127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D72F24"/>
    <w:multiLevelType w:val="multilevel"/>
    <w:tmpl w:val="74B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81581"/>
    <w:multiLevelType w:val="multilevel"/>
    <w:tmpl w:val="5354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E26FE7"/>
    <w:multiLevelType w:val="multilevel"/>
    <w:tmpl w:val="8CEE2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735EFD"/>
    <w:multiLevelType w:val="multilevel"/>
    <w:tmpl w:val="DB8A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A576A1"/>
    <w:multiLevelType w:val="multilevel"/>
    <w:tmpl w:val="9098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DC5D9F"/>
    <w:multiLevelType w:val="multilevel"/>
    <w:tmpl w:val="CE46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217967">
    <w:abstractNumId w:val="3"/>
  </w:num>
  <w:num w:numId="2" w16cid:durableId="10704359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25147664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29613811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608508795">
    <w:abstractNumId w:val="5"/>
  </w:num>
  <w:num w:numId="6" w16cid:durableId="703478058">
    <w:abstractNumId w:val="4"/>
  </w:num>
  <w:num w:numId="7" w16cid:durableId="50665575">
    <w:abstractNumId w:val="0"/>
  </w:num>
  <w:num w:numId="8" w16cid:durableId="192422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960"/>
    <w:rsid w:val="000742F5"/>
    <w:rsid w:val="0024174B"/>
    <w:rsid w:val="00310A46"/>
    <w:rsid w:val="005F03C3"/>
    <w:rsid w:val="00860960"/>
    <w:rsid w:val="00FF16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3525D"/>
  <w15:chartTrackingRefBased/>
  <w15:docId w15:val="{43421789-844F-4B4E-BE56-CE7B705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9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9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9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9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960"/>
    <w:rPr>
      <w:rFonts w:eastAsiaTheme="majorEastAsia" w:cstheme="majorBidi"/>
      <w:color w:val="272727" w:themeColor="text1" w:themeTint="D8"/>
    </w:rPr>
  </w:style>
  <w:style w:type="paragraph" w:styleId="Title">
    <w:name w:val="Title"/>
    <w:basedOn w:val="Normal"/>
    <w:next w:val="Normal"/>
    <w:link w:val="TitleChar"/>
    <w:uiPriority w:val="10"/>
    <w:qFormat/>
    <w:rsid w:val="00860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960"/>
    <w:pPr>
      <w:spacing w:before="160"/>
      <w:jc w:val="center"/>
    </w:pPr>
    <w:rPr>
      <w:i/>
      <w:iCs/>
      <w:color w:val="404040" w:themeColor="text1" w:themeTint="BF"/>
    </w:rPr>
  </w:style>
  <w:style w:type="character" w:customStyle="1" w:styleId="QuoteChar">
    <w:name w:val="Quote Char"/>
    <w:basedOn w:val="DefaultParagraphFont"/>
    <w:link w:val="Quote"/>
    <w:uiPriority w:val="29"/>
    <w:rsid w:val="00860960"/>
    <w:rPr>
      <w:i/>
      <w:iCs/>
      <w:color w:val="404040" w:themeColor="text1" w:themeTint="BF"/>
    </w:rPr>
  </w:style>
  <w:style w:type="paragraph" w:styleId="ListParagraph">
    <w:name w:val="List Paragraph"/>
    <w:basedOn w:val="Normal"/>
    <w:uiPriority w:val="34"/>
    <w:qFormat/>
    <w:rsid w:val="00860960"/>
    <w:pPr>
      <w:ind w:left="720"/>
      <w:contextualSpacing/>
    </w:pPr>
  </w:style>
  <w:style w:type="character" w:styleId="IntenseEmphasis">
    <w:name w:val="Intense Emphasis"/>
    <w:basedOn w:val="DefaultParagraphFont"/>
    <w:uiPriority w:val="21"/>
    <w:qFormat/>
    <w:rsid w:val="00860960"/>
    <w:rPr>
      <w:i/>
      <w:iCs/>
      <w:color w:val="0F4761" w:themeColor="accent1" w:themeShade="BF"/>
    </w:rPr>
  </w:style>
  <w:style w:type="paragraph" w:styleId="IntenseQuote">
    <w:name w:val="Intense Quote"/>
    <w:basedOn w:val="Normal"/>
    <w:next w:val="Normal"/>
    <w:link w:val="IntenseQuoteChar"/>
    <w:uiPriority w:val="30"/>
    <w:qFormat/>
    <w:rsid w:val="00860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960"/>
    <w:rPr>
      <w:i/>
      <w:iCs/>
      <w:color w:val="0F4761" w:themeColor="accent1" w:themeShade="BF"/>
    </w:rPr>
  </w:style>
  <w:style w:type="character" w:styleId="IntenseReference">
    <w:name w:val="Intense Reference"/>
    <w:basedOn w:val="DefaultParagraphFont"/>
    <w:uiPriority w:val="32"/>
    <w:qFormat/>
    <w:rsid w:val="008609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559646">
      <w:bodyDiv w:val="1"/>
      <w:marLeft w:val="0"/>
      <w:marRight w:val="0"/>
      <w:marTop w:val="0"/>
      <w:marBottom w:val="0"/>
      <w:divBdr>
        <w:top w:val="none" w:sz="0" w:space="0" w:color="auto"/>
        <w:left w:val="none" w:sz="0" w:space="0" w:color="auto"/>
        <w:bottom w:val="none" w:sz="0" w:space="0" w:color="auto"/>
        <w:right w:val="none" w:sz="0" w:space="0" w:color="auto"/>
      </w:divBdr>
    </w:div>
    <w:div w:id="302583935">
      <w:bodyDiv w:val="1"/>
      <w:marLeft w:val="0"/>
      <w:marRight w:val="0"/>
      <w:marTop w:val="0"/>
      <w:marBottom w:val="0"/>
      <w:divBdr>
        <w:top w:val="none" w:sz="0" w:space="0" w:color="auto"/>
        <w:left w:val="none" w:sz="0" w:space="0" w:color="auto"/>
        <w:bottom w:val="none" w:sz="0" w:space="0" w:color="auto"/>
        <w:right w:val="none" w:sz="0" w:space="0" w:color="auto"/>
      </w:divBdr>
    </w:div>
    <w:div w:id="1628049193">
      <w:bodyDiv w:val="1"/>
      <w:marLeft w:val="0"/>
      <w:marRight w:val="0"/>
      <w:marTop w:val="0"/>
      <w:marBottom w:val="0"/>
      <w:divBdr>
        <w:top w:val="none" w:sz="0" w:space="0" w:color="auto"/>
        <w:left w:val="none" w:sz="0" w:space="0" w:color="auto"/>
        <w:bottom w:val="none" w:sz="0" w:space="0" w:color="auto"/>
        <w:right w:val="none" w:sz="0" w:space="0" w:color="auto"/>
      </w:divBdr>
    </w:div>
    <w:div w:id="201564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Stratosys</dc:creator>
  <cp:keywords/>
  <dc:description/>
  <cp:lastModifiedBy>Karthik Stratosys</cp:lastModifiedBy>
  <cp:revision>2</cp:revision>
  <dcterms:created xsi:type="dcterms:W3CDTF">2026-09-29T15:08:00Z</dcterms:created>
  <dcterms:modified xsi:type="dcterms:W3CDTF">2026-09-29T15:25:00Z</dcterms:modified>
</cp:coreProperties>
</file>