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9" w:lineRule="auto"/>
      </w:pPr>
      <w:r>
        <w:rPr>
          <w:b/>
          <w:sz w:val="20"/>
        </w:rPr>
        <w:t>Name</w:t>
      </w:r>
      <w:r>
        <w:rPr>
          <w:sz w:val="20"/>
        </w:rPr>
        <w:t xml:space="preserve"> - Achal Tiwari</w:t>
      </w:r>
    </w:p>
    <w:p>
      <w:pPr>
        <w:spacing w:after="60" w:line="259" w:lineRule="auto"/>
      </w:pPr>
      <w:r>
        <w:rPr>
          <w:b/>
          <w:sz w:val="20"/>
        </w:rPr>
        <w:t>Registered No</w:t>
      </w:r>
      <w:r>
        <w:rPr>
          <w:sz w:val="20"/>
        </w:rPr>
        <w:t xml:space="preserve"> - 2025MB26002</w:t>
      </w:r>
    </w:p>
    <w:p>
      <w:pPr>
        <w:pStyle w:val="Heading1"/>
        <w:spacing w:before="140" w:after="40"/>
      </w:pPr>
      <w:r>
        <w:rPr>
          <w:b/>
          <w:color w:val="1B2A5E"/>
          <w:sz w:val="24"/>
        </w:rPr>
        <w:t>Management of AI products</w:t>
      </w:r>
    </w:p>
    <w:p>
      <w:pPr>
        <w:spacing w:after="60" w:line="259" w:lineRule="auto"/>
      </w:pPr>
      <w:r>
        <w:rPr>
          <w:b/>
          <w:sz w:val="20"/>
        </w:rPr>
        <w:t>2nd Session Topic:</w:t>
      </w:r>
      <w:r>
        <w:rPr>
          <w:sz w:val="20"/>
        </w:rPr>
        <w:t xml:space="preserve"> The Product Lifecycle as a Learning Loop, Artifacts and Traceability, and AI-Native vs AI-Enabled Products.</w:t>
      </w:r>
    </w:p>
    <w:p>
      <w:pPr>
        <w:pStyle w:val="Heading1"/>
        <w:spacing w:before="140" w:after="40"/>
      </w:pPr>
      <w:r>
        <w:rPr>
          <w:b/>
          <w:color w:val="1B2A5E"/>
          <w:sz w:val="24"/>
        </w:rPr>
        <w:t>Management of AI Products - Class Reflection</w:t>
      </w:r>
    </w:p>
    <w:p>
      <w:pPr>
        <w:spacing w:after="60" w:line="259" w:lineRule="auto"/>
      </w:pPr>
      <w:r>
        <w:rPr>
          <w:b/>
          <w:sz w:val="20"/>
        </w:rPr>
        <w:t>1. Class Overview</w:t>
      </w:r>
      <w:r>
        <w:rPr>
          <w:sz w:val="20"/>
        </w:rPr>
        <w:t xml:space="preserve"> This session moved from the PM's role to the life of a product. We talked about how a product differs from a project, the lifecycle as a loop that keeps learning, release stages, the artifacts a PM works with and how decisions should be traced across them. The second half looked at how AI changes the PRD and what separates AI-native products from AI-enabled ones.</w:t>
      </w:r>
    </w:p>
    <w:p>
      <w:pPr>
        <w:pStyle w:val="Heading1"/>
        <w:spacing w:before="140" w:after="40"/>
      </w:pPr>
      <w:r>
        <w:rPr>
          <w:b/>
          <w:color w:val="1B2A5E"/>
          <w:sz w:val="24"/>
        </w:rPr>
        <w:t>2. Key Concepts and Discussions</w:t>
      </w:r>
    </w:p>
    <w:p>
      <w:pPr>
        <w:pStyle w:val="ListBullet"/>
        <w:spacing w:after="60"/>
      </w:pPr>
      <w:r>
        <w:rPr>
          <w:b/>
          <w:sz w:val="20"/>
        </w:rPr>
        <w:t>Product and Project:</w:t>
      </w:r>
      <w:r>
        <w:rPr>
          <w:sz w:val="20"/>
        </w:rPr>
        <w:t xml:space="preserve"> A product serves many customers we cannot name yet. A project can begin with one known customer, and if that one customer's problem is never generalised, it stays a project.</w:t>
      </w:r>
    </w:p>
    <w:p>
      <w:pPr>
        <w:pStyle w:val="ListBullet"/>
        <w:spacing w:after="60"/>
      </w:pPr>
      <w:r>
        <w:rPr>
          <w:b/>
          <w:sz w:val="20"/>
        </w:rPr>
        <w:t>Lifecycle as a Loop:</w:t>
      </w:r>
      <w:r>
        <w:rPr>
          <w:sz w:val="20"/>
        </w:rPr>
        <w:t xml:space="preserve"> Discover, define, strategise, plan, build, launch, grow, then renew or retire. Launch is one checkpoint in a longer loop.</w:t>
      </w:r>
    </w:p>
    <w:p>
      <w:pPr>
        <w:pStyle w:val="ListBullet"/>
        <w:spacing w:after="60"/>
      </w:pPr>
      <w:r>
        <w:rPr>
          <w:b/>
          <w:sz w:val="20"/>
        </w:rPr>
        <w:t>Strategic Deferral:</w:t>
      </w:r>
      <w:r>
        <w:rPr>
          <w:sz w:val="20"/>
        </w:rPr>
        <w:t xml:space="preserve"> Cheap or reversible decisions can wait until we know more, but structural ones need to be settled early with stakeholders. In the house example, the structure is decided early and the paint colour can wait.</w:t>
      </w:r>
    </w:p>
    <w:p>
      <w:pPr>
        <w:pStyle w:val="ListBullet"/>
        <w:spacing w:after="60"/>
      </w:pPr>
      <w:r>
        <w:rPr>
          <w:b/>
          <w:sz w:val="20"/>
        </w:rPr>
        <w:t>Traceability:</w:t>
      </w:r>
      <w:r>
        <w:rPr>
          <w:sz w:val="20"/>
        </w:rPr>
        <w:t xml:space="preserve"> Every decision needs to be visible in the discovery notes, PRD, architecture, user stories, tests and launch FAQ. Otherwise it dies between the meeting and the release.</w:t>
      </w:r>
    </w:p>
    <w:p>
      <w:pPr>
        <w:pStyle w:val="ListBullet"/>
        <w:spacing w:after="60"/>
      </w:pPr>
      <w:r>
        <w:rPr>
          <w:b/>
          <w:sz w:val="20"/>
        </w:rPr>
        <w:t>AI-Enabled vs AI-Native:</w:t>
      </w:r>
      <w:r>
        <w:rPr>
          <w:sz w:val="20"/>
        </w:rPr>
        <w:t xml:space="preserve"> AI-enabled adds AI to an existing workflow. AI-native would not exist without the AI capability. An AI-native PRD also needs data contracts, behaviour thresholds such as latency, drift handling and failure recovery.</w:t>
      </w:r>
    </w:p>
    <w:p>
      <w:pPr>
        <w:pStyle w:val="Heading1"/>
        <w:spacing w:before="140" w:after="40"/>
      </w:pPr>
      <w:r>
        <w:rPr>
          <w:b/>
          <w:color w:val="1B2A5E"/>
          <w:sz w:val="24"/>
        </w:rPr>
        <w:t>3. Important Insights</w:t>
      </w:r>
    </w:p>
    <w:p>
      <w:pPr>
        <w:pStyle w:val="ListBullet"/>
        <w:spacing w:after="60"/>
      </w:pPr>
      <w:r>
        <w:rPr>
          <w:b/>
          <w:sz w:val="20"/>
        </w:rPr>
        <w:t>Beta Is Only Halfway:</w:t>
      </w:r>
      <w:r>
        <w:rPr>
          <w:sz w:val="20"/>
        </w:rPr>
        <w:t xml:space="preserve"> The professor's card-processing launch planned beta in May and launch in June. The team had scoped authorisation and forgotten settlement, and the product shipped the next February. His lesson was about pacing the team so it has energy left after beta.</w:t>
      </w:r>
    </w:p>
    <w:p>
      <w:pPr>
        <w:pStyle w:val="ListBullet"/>
        <w:spacing w:after="60"/>
      </w:pPr>
      <w:r>
        <w:rPr>
          <w:b/>
          <w:sz w:val="20"/>
        </w:rPr>
        <w:t>PM as Trustee:</w:t>
      </w:r>
      <w:r>
        <w:rPr>
          <w:sz w:val="20"/>
        </w:rPr>
        <w:t xml:space="preserve"> The PM spends other people's money, time and trust. I used to see decision logs as admin, and now I see them as the way to justify that spend later.</w:t>
      </w:r>
    </w:p>
    <w:p>
      <w:pPr>
        <w:pStyle w:val="ListBullet"/>
        <w:spacing w:after="60"/>
      </w:pPr>
      <w:r>
        <w:rPr>
          <w:b/>
          <w:sz w:val="20"/>
        </w:rPr>
        <w:t>Where I Differ:</w:t>
      </w:r>
      <w:r>
        <w:rPr>
          <w:sz w:val="20"/>
        </w:rPr>
        <w:t xml:space="preserve"> A full traceability matrix suits large products with long cycles. Our team works in one-week sprints, so a full matrix would be out of date within days. For a small team, a dated decision log that links to the affected docs is more practical.</w:t>
      </w:r>
    </w:p>
    <w:p>
      <w:pPr>
        <w:pStyle w:val="Heading1"/>
        <w:spacing w:before="140" w:after="40"/>
      </w:pPr>
      <w:r>
        <w:rPr>
          <w:b/>
          <w:color w:val="1B2A5E"/>
          <w:sz w:val="24"/>
        </w:rPr>
        <w:t>4. Practical Learnings</w:t>
      </w:r>
    </w:p>
    <w:p>
      <w:pPr>
        <w:pStyle w:val="ListBullet"/>
        <w:spacing w:after="60"/>
      </w:pPr>
      <w:r>
        <w:rPr>
          <w:b/>
          <w:sz w:val="20"/>
        </w:rPr>
        <w:t>Infi's Settlement Problem:</w:t>
      </w:r>
      <w:r>
        <w:rPr>
          <w:sz w:val="20"/>
        </w:rPr>
        <w:t xml:space="preserve"> Infi's launch date has moved more than once this year, and each time there was a "settlement" piece we had not scoped. The chat worked early. Store review builds, in-app payments through Google Play and Apple billing in place of the Razorpay path we had planned, parental consent for students under 18 and legal pages all came after.</w:t>
      </w:r>
    </w:p>
    <w:p>
      <w:pPr>
        <w:pStyle w:val="ListBullet"/>
        <w:spacing w:after="60"/>
      </w:pPr>
      <w:r>
        <w:rPr>
          <w:b/>
          <w:sz w:val="20"/>
        </w:rPr>
        <w:t>Decision Log:</w:t>
      </w:r>
      <w:r>
        <w:rPr>
          <w:sz w:val="20"/>
        </w:rPr>
        <w:t xml:space="preserve"> We now keep a decisions folder in our shared repo. I want every entry to carry the evidence, an owner and a review date.</w:t>
      </w:r>
    </w:p>
    <w:p>
      <w:pPr>
        <w:pStyle w:val="ListBullet"/>
        <w:spacing w:after="60"/>
      </w:pPr>
      <w:r>
        <w:rPr>
          <w:b/>
          <w:sz w:val="20"/>
        </w:rPr>
        <w:t>Homework:</w:t>
      </w:r>
      <w:r>
        <w:rPr>
          <w:sz w:val="20"/>
        </w:rPr>
        <w:t xml:space="preserve"> Gather job postings for PM and AI PM roles and note how they differ.</w:t>
      </w:r>
    </w:p>
    <w:p>
      <w:pPr>
        <w:spacing w:after="60" w:line="259" w:lineRule="auto"/>
      </w:pPr>
      <w:r>
        <w:rPr>
          <w:b/>
          <w:sz w:val="20"/>
        </w:rPr>
        <w:t>5. Conclusion -</w:t>
      </w:r>
      <w:r>
        <w:rPr>
          <w:sz w:val="20"/>
        </w:rPr>
        <w:t xml:space="preserve"> This session made me look at our own launch history more honestly. We treated a working demo as most of the way there, and the work after the demo is where our dates moved. The question I am still thinking about is how to tell a team that beta is only halfway without draining the energy that got them to beta.</w:t>
      </w:r>
    </w:p>
    <w:p>
      <w:pPr>
        <w:spacing w:after="60" w:line="259" w:lineRule="auto"/>
      </w:pPr>
      <w:r>
        <w:rPr>
          <w:i/>
          <w:sz w:val="20"/>
        </w:rPr>
        <w:t>AI use: draft written with Claude (Opus 5.5); facts and work examples checked by me. Model, prompt and sources are in AI-Use-Disclosure.md.</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r>
    <w:r>
      <w:rPr>
        <w:color w:val="444444"/>
        <w:sz w:val="18"/>
      </w:rPr>
      <w:instrText xml:space="preserve">PAGE</w:instrText>
    </w:r>
    <w:r>
      <w:rPr>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