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line="259" w:lineRule="auto"/>
      </w:pPr>
      <w:r>
        <w:rPr>
          <w:b/>
          <w:sz w:val="20"/>
        </w:rPr>
        <w:t>Name</w:t>
      </w:r>
      <w:r>
        <w:rPr>
          <w:sz w:val="20"/>
        </w:rPr>
        <w:t xml:space="preserve"> - Achal Tiwari</w:t>
      </w:r>
    </w:p>
    <w:p>
      <w:pPr>
        <w:spacing w:after="60" w:line="259" w:lineRule="auto"/>
      </w:pPr>
      <w:r>
        <w:rPr>
          <w:b/>
          <w:sz w:val="20"/>
        </w:rPr>
        <w:t>Registered No</w:t>
      </w:r>
      <w:r>
        <w:rPr>
          <w:sz w:val="20"/>
        </w:rPr>
        <w:t xml:space="preserve"> - 2025MB26002</w:t>
      </w:r>
    </w:p>
    <w:p>
      <w:pPr>
        <w:pStyle w:val="Heading1"/>
        <w:spacing w:before="140" w:after="40"/>
      </w:pPr>
      <w:r>
        <w:rPr>
          <w:b/>
          <w:color w:val="1B2A5E"/>
          <w:sz w:val="24"/>
        </w:rPr>
        <w:t>Management of AI products</w:t>
      </w:r>
    </w:p>
    <w:p>
      <w:pPr>
        <w:spacing w:after="60" w:line="259" w:lineRule="auto"/>
      </w:pPr>
      <w:r>
        <w:rPr>
          <w:b/>
          <w:sz w:val="20"/>
        </w:rPr>
        <w:t>3rd Session Topic:</w:t>
      </w:r>
      <w:r>
        <w:rPr>
          <w:sz w:val="20"/>
        </w:rPr>
        <w:t xml:space="preserve"> Frameworks as Decision Aids, Naming the User, Scrum as a Bargain, and the 20 Percent Value Rule.</w:t>
      </w:r>
    </w:p>
    <w:p>
      <w:pPr>
        <w:pStyle w:val="Heading1"/>
        <w:spacing w:before="140" w:after="40"/>
      </w:pPr>
      <w:r>
        <w:rPr>
          <w:b/>
          <w:color w:val="1B2A5E"/>
          <w:sz w:val="24"/>
        </w:rPr>
        <w:t>Management of AI Products - Class Reflection</w:t>
      </w:r>
    </w:p>
    <w:p>
      <w:pPr>
        <w:spacing w:after="60" w:line="259" w:lineRule="auto"/>
      </w:pPr>
      <w:r>
        <w:rPr>
          <w:b/>
          <w:sz w:val="20"/>
        </w:rPr>
        <w:t>1. Class Overview</w:t>
      </w:r>
      <w:r>
        <w:rPr>
          <w:sz w:val="20"/>
        </w:rPr>
        <w:t xml:space="preserve"> The session opened with a recap round where classmates shared their takeaways from the earlier classes. The new material covered why "user" must always be qualified, how frameworks should support a decision, the difference between improvement and transformation, the product as a missile aimed at a moving target, Scrum as an agreement with engineering, and how much of the value it creates a product company can expect to keep.</w:t>
      </w:r>
    </w:p>
    <w:p>
      <w:pPr>
        <w:pStyle w:val="Heading1"/>
        <w:spacing w:before="140" w:after="40"/>
      </w:pPr>
      <w:r>
        <w:rPr>
          <w:b/>
          <w:color w:val="1B2A5E"/>
          <w:sz w:val="24"/>
        </w:rPr>
        <w:t>2. Key Concepts and Discussions</w:t>
      </w:r>
    </w:p>
    <w:p>
      <w:pPr>
        <w:pStyle w:val="ListBullet"/>
        <w:spacing w:after="60"/>
      </w:pPr>
      <w:r>
        <w:rPr>
          <w:b/>
          <w:sz w:val="20"/>
        </w:rPr>
        <w:t>Progress Over Features:</w:t>
      </w:r>
      <w:r>
        <w:rPr>
          <w:sz w:val="20"/>
        </w:rPr>
        <w:t xml:space="preserve"> More features do not count as progress unless a named person gets closer to an outcome.</w:t>
      </w:r>
    </w:p>
    <w:p>
      <w:pPr>
        <w:pStyle w:val="ListBullet"/>
        <w:spacing w:after="60"/>
      </w:pPr>
      <w:r>
        <w:rPr>
          <w:b/>
          <w:sz w:val="20"/>
        </w:rPr>
        <w:t>Qualify the User:</w:t>
      </w:r>
      <w:r>
        <w:rPr>
          <w:sz w:val="20"/>
        </w:rPr>
        <w:t xml:space="preserve"> No bare "user" or "customer". Name the stakeholder and qualify them by type, time and conditions of use. In the rider and driver example, blending the two gives a compromise neither of them would pay for.</w:t>
      </w:r>
    </w:p>
    <w:p>
      <w:pPr>
        <w:pStyle w:val="ListBullet"/>
        <w:spacing w:after="60"/>
      </w:pPr>
      <w:r>
        <w:rPr>
          <w:b/>
          <w:sz w:val="20"/>
        </w:rPr>
        <w:t>Frameworks as Dials:</w:t>
      </w:r>
      <w:r>
        <w:rPr>
          <w:sz w:val="20"/>
        </w:rPr>
        <w:t xml:space="preserve"> JTBD, Kano, RICE, MoSCoW, QFD, PR-FAQ, OODA and others help with a decision. A second framework that changes neither the decision nor the evidence only adds ceremony.</w:t>
      </w:r>
    </w:p>
    <w:p>
      <w:pPr>
        <w:pStyle w:val="ListBullet"/>
        <w:spacing w:after="60"/>
      </w:pPr>
      <w:r>
        <w:rPr>
          <w:b/>
          <w:sz w:val="20"/>
        </w:rPr>
        <w:t>Improvement vs Transformation:</w:t>
      </w:r>
      <w:r>
        <w:rPr>
          <w:sz w:val="20"/>
        </w:rPr>
        <w:t xml:space="preserve"> A faster caterpillar is improvement and a butterfly is transformation. Most corporate "transformations" are small gains with a big label.</w:t>
      </w:r>
    </w:p>
    <w:p>
      <w:pPr>
        <w:pStyle w:val="ListBullet"/>
        <w:spacing w:after="60"/>
      </w:pPr>
      <w:r>
        <w:rPr>
          <w:b/>
          <w:sz w:val="20"/>
        </w:rPr>
        <w:t>Scrum as a Bargain:</w:t>
      </w:r>
      <w:r>
        <w:rPr>
          <w:sz w:val="20"/>
        </w:rPr>
        <w:t xml:space="preserve"> Nothing changes inside a sprint, and anything can change after it. Volatile environments need shorter sprints.</w:t>
      </w:r>
    </w:p>
    <w:p>
      <w:pPr>
        <w:pStyle w:val="ListBullet"/>
        <w:spacing w:after="60"/>
      </w:pPr>
      <w:r>
        <w:rPr>
          <w:b/>
          <w:sz w:val="20"/>
        </w:rPr>
        <w:t>The 20 Percent Rule:</w:t>
      </w:r>
      <w:r>
        <w:rPr>
          <w:sz w:val="20"/>
        </w:rPr>
        <w:t xml:space="preserve"> A product company usually keeps somewhere between 15 and 25 percent of what its product is worth to the customer, and the customer keeps the rest.</w:t>
      </w:r>
    </w:p>
    <w:p>
      <w:pPr>
        <w:pStyle w:val="Heading1"/>
        <w:spacing w:before="140" w:after="40"/>
      </w:pPr>
      <w:r>
        <w:rPr>
          <w:b/>
          <w:color w:val="1B2A5E"/>
          <w:sz w:val="24"/>
        </w:rPr>
        <w:t>3. Important Insights</w:t>
      </w:r>
    </w:p>
    <w:p>
      <w:pPr>
        <w:pStyle w:val="ListBullet"/>
        <w:spacing w:after="60"/>
      </w:pPr>
      <w:r>
        <w:rPr>
          <w:b/>
          <w:sz w:val="20"/>
        </w:rPr>
        <w:t>Measurement Shapes Behaviour:</w:t>
      </w:r>
      <w:r>
        <w:rPr>
          <w:sz w:val="20"/>
        </w:rPr>
        <w:t xml:space="preserve"> If delivering a 20 percent gain this year means being asked for another 20 next year, teams release a little and hold the rest back.</w:t>
      </w:r>
    </w:p>
    <w:p>
      <w:pPr>
        <w:pStyle w:val="ListBullet"/>
        <w:spacing w:after="60"/>
      </w:pPr>
      <w:r>
        <w:rPr>
          <w:b/>
          <w:sz w:val="20"/>
        </w:rPr>
        <w:t>AI Shrinks the Old Advantage:</w:t>
      </w:r>
      <w:r>
        <w:rPr>
          <w:sz w:val="20"/>
        </w:rPr>
        <w:t xml:space="preserve"> When a customer can put together a basic version with an LLM and some quick coding, knowing how to build is no longer enough of a moat.</w:t>
      </w:r>
    </w:p>
    <w:p>
      <w:pPr>
        <w:pStyle w:val="ListBullet"/>
        <w:spacing w:after="60"/>
      </w:pPr>
      <w:r>
        <w:rPr>
          <w:b/>
          <w:sz w:val="20"/>
        </w:rPr>
        <w:t>Where I Differ on Pricing:</w:t>
      </w:r>
      <w:r>
        <w:rPr>
          <w:sz w:val="20"/>
        </w:rPr>
        <w:t xml:space="preserve"> The 20 percent rule assumes the value created can be estimated. For a student, the value of one solved doubt shows up in marks months later and has many causes, and the comparison in their head is free YouTube videos and free chatbots. For us the rule can only give a rough ceiling.</w:t>
      </w:r>
    </w:p>
    <w:p>
      <w:pPr>
        <w:pStyle w:val="Heading1"/>
        <w:spacing w:before="140" w:after="40"/>
      </w:pPr>
      <w:r>
        <w:rPr>
          <w:b/>
          <w:color w:val="1B2A5E"/>
          <w:sz w:val="24"/>
        </w:rPr>
        <w:t>4. Practical Learnings</w:t>
      </w:r>
    </w:p>
    <w:p>
      <w:pPr>
        <w:pStyle w:val="ListBullet"/>
        <w:spacing w:after="60"/>
      </w:pPr>
      <w:r>
        <w:rPr>
          <w:b/>
          <w:sz w:val="20"/>
        </w:rPr>
        <w:t>Who Is the User on Infi:</w:t>
      </w:r>
      <w:r>
        <w:rPr>
          <w:sz w:val="20"/>
        </w:rPr>
        <w:t xml:space="preserve"> In our documents "user" can mean an 11-year-old in Class 6, a 17-year-old preparing for NEET, or a parent who gives consent, shares the phone and sometimes pays. On InfiNotes the parent often approves the payment for paid packs. I will replace every bare "user" in our specs with student (by class band) or parent.</w:t>
      </w:r>
    </w:p>
    <w:p>
      <w:pPr>
        <w:pStyle w:val="ListBullet"/>
        <w:spacing w:after="60"/>
      </w:pPr>
      <w:r>
        <w:rPr>
          <w:b/>
          <w:sz w:val="20"/>
        </w:rPr>
        <w:t>Sparks Pricing:</w:t>
      </w:r>
      <w:r>
        <w:rPr>
          <w:sz w:val="20"/>
        </w:rPr>
        <w:t xml:space="preserve"> I am working on pricing for Sparks, the in-app currency in Infi. We keep the packs close to what a student already spends on small things like a mobile recharge, and I want to write the value each pack gives next to its cost.</w:t>
      </w:r>
    </w:p>
    <w:p>
      <w:pPr>
        <w:pStyle w:val="ListBullet"/>
        <w:spacing w:after="60"/>
      </w:pPr>
      <w:r>
        <w:rPr>
          <w:b/>
          <w:sz w:val="20"/>
        </w:rPr>
        <w:t>Sprint Discipline:</w:t>
      </w:r>
      <w:r>
        <w:rPr>
          <w:sz w:val="20"/>
        </w:rPr>
        <w:t xml:space="preserve"> In our team a whole track once slipped from one sprint into the next. Committing to less at the start is my side of the bargain.</w:t>
      </w:r>
    </w:p>
    <w:p>
      <w:pPr>
        <w:spacing w:after="60" w:line="259" w:lineRule="auto"/>
      </w:pPr>
      <w:r>
        <w:rPr>
          <w:b/>
          <w:sz w:val="20"/>
        </w:rPr>
        <w:t>5. Conclusion -</w:t>
      </w:r>
      <w:r>
        <w:rPr>
          <w:sz w:val="20"/>
        </w:rPr>
        <w:t xml:space="preserve"> The rule about naming the user sounded small in class. When I tried it on our documents, I found we had been agreeing on sentences while picturing different children. My open question is how to estimate the value created for a student when better learning shows up long after the purchase and is shared with teachers, tuition and the student's own effort.</w:t>
      </w:r>
    </w:p>
    <w:p>
      <w:pPr>
        <w:spacing w:after="60" w:line="259" w:lineRule="auto"/>
      </w:pPr>
      <w:r>
        <w:rPr>
          <w:i/>
          <w:sz w:val="20"/>
        </w:rPr>
        <w:t>AI use: draft written with Claude (Opus 5.5); facts and work examples checked by me. Model, prompt and sources are in AI-Use-Disclosure.md.</w:t>
      </w: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44444"/>
        <w:sz w:val="18"/>
      </w:rPr>
      <w:fldChar w:fldCharType="begin"/>
    </w:r>
    <w:r>
      <w:rPr>
        <w:color w:val="444444"/>
        <w:sz w:val="18"/>
      </w:rPr>
      <w:instrText xml:space="preserve">PAGE</w:instrText>
    </w:r>
    <w:r>
      <w:rPr>
        <w:color w:val="444444"/>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