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5th Session Topic:</w:t>
      </w:r>
      <w:r>
        <w:rPr>
          <w:sz w:val="20"/>
        </w:rPr>
        <w:t xml:space="preserve"> Finding AI Opportunities Worth Funding, Build vs Buy, and Designing for Uncertainty.</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first half of the session was about finding AI opportunities that are worth their cost, and the second half was about how to design when the AI's output can be wrong. We covered value versus the "AI" label, evidence, frequency and materiality, build versus buy, the four-layer AI stack, unit economics, prompts and human-in-the-loop fatigue. The midterm format was also explained.</w:t>
      </w:r>
    </w:p>
    <w:p>
      <w:pPr>
        <w:pStyle w:val="Heading1"/>
        <w:spacing w:before="140" w:after="40"/>
      </w:pPr>
      <w:r>
        <w:rPr>
          <w:b/>
          <w:color w:val="1B2A5E"/>
          <w:sz w:val="24"/>
        </w:rPr>
        <w:t>2. Key Concepts and Discussions</w:t>
      </w:r>
    </w:p>
    <w:p>
      <w:pPr>
        <w:pStyle w:val="ListBullet"/>
        <w:spacing w:after="60"/>
      </w:pPr>
      <w:r>
        <w:rPr>
          <w:b/>
          <w:sz w:val="20"/>
        </w:rPr>
        <w:t>Customers Pay for Value:</w:t>
      </w:r>
      <w:r>
        <w:rPr>
          <w:sz w:val="20"/>
        </w:rPr>
        <w:t xml:space="preserve"> Branding an ordinary feature as AI hurts the brand once customers see through it, like fans advertised as double-bearing when nearly all fans already were.</w:t>
      </w:r>
    </w:p>
    <w:p>
      <w:pPr>
        <w:pStyle w:val="ListBullet"/>
        <w:spacing w:after="60"/>
      </w:pPr>
      <w:r>
        <w:rPr>
          <w:b/>
          <w:sz w:val="20"/>
        </w:rPr>
        <w:t>Finish the Job and Leave:</w:t>
      </w:r>
      <w:r>
        <w:rPr>
          <w:sz w:val="20"/>
        </w:rPr>
        <w:t xml:space="preserve"> Workflow tools should let the user finish and go, so time in the app is the wrong success signal for them.</w:t>
      </w:r>
    </w:p>
    <w:p>
      <w:pPr>
        <w:pStyle w:val="ListBullet"/>
        <w:spacing w:after="60"/>
      </w:pPr>
      <w:r>
        <w:rPr>
          <w:b/>
          <w:sz w:val="20"/>
        </w:rPr>
        <w:t>Where Is the Evidence:</w:t>
      </w:r>
      <w:r>
        <w:rPr>
          <w:sz w:val="20"/>
        </w:rPr>
        <w:t xml:space="preserve"> Believing in value is not enough. A PM has to show what changed, ideally against a before-and-after baseline. "Novelty is not product-market fit."</w:t>
      </w:r>
    </w:p>
    <w:p>
      <w:pPr>
        <w:pStyle w:val="ListBullet"/>
        <w:spacing w:after="60"/>
      </w:pPr>
      <w:r>
        <w:rPr>
          <w:b/>
          <w:sz w:val="20"/>
        </w:rPr>
        <w:t>Frequency and Materiality:</w:t>
      </w:r>
      <w:r>
        <w:rPr>
          <w:sz w:val="20"/>
        </w:rPr>
        <w:t xml:space="preserve"> A hierarchy that changes once in two or three years does not need its own admin screen.</w:t>
      </w:r>
    </w:p>
    <w:p>
      <w:pPr>
        <w:pStyle w:val="ListBullet"/>
        <w:spacing w:after="60"/>
      </w:pPr>
      <w:r>
        <w:rPr>
          <w:b/>
          <w:sz w:val="20"/>
        </w:rPr>
        <w:t>Build vs Buy vs API:</w:t>
      </w:r>
      <w:r>
        <w:rPr>
          <w:sz w:val="20"/>
        </w:rPr>
        <w:t xml:space="preserve"> APIs are fast but put price, uptime and model behaviour in a vendor's hands. Keep the capability that is your moat in-house.</w:t>
      </w:r>
    </w:p>
    <w:p>
      <w:pPr>
        <w:pStyle w:val="ListBullet"/>
        <w:spacing w:after="60"/>
      </w:pPr>
      <w:r>
        <w:rPr>
          <w:b/>
          <w:sz w:val="20"/>
        </w:rPr>
        <w:t>Four-Layer Stack:</w:t>
      </w:r>
      <w:r>
        <w:rPr>
          <w:sz w:val="20"/>
        </w:rPr>
        <w:t xml:space="preserve"> Data, model, API and UX. A problem can start in any layer, but users feel it at the interface.</w:t>
      </w:r>
    </w:p>
    <w:p>
      <w:pPr>
        <w:pStyle w:val="ListBullet"/>
        <w:spacing w:after="60"/>
      </w:pPr>
      <w:r>
        <w:rPr>
          <w:b/>
          <w:sz w:val="20"/>
        </w:rPr>
        <w:t>Designing for Uncertainty:</w:t>
      </w:r>
      <w:r>
        <w:rPr>
          <w:sz w:val="20"/>
        </w:rPr>
        <w:t xml:space="preserve"> Low confidence needs a designed response, such as a clarifying question or an honest "I don't know". A legal disclaimer under a confident answer does not count as design.</w:t>
      </w:r>
    </w:p>
    <w:p>
      <w:pPr>
        <w:pStyle w:val="Heading1"/>
        <w:spacing w:before="140" w:after="40"/>
      </w:pPr>
      <w:r>
        <w:rPr>
          <w:b/>
          <w:color w:val="1B2A5E"/>
          <w:sz w:val="24"/>
        </w:rPr>
        <w:t>3. Important Insights</w:t>
      </w:r>
    </w:p>
    <w:p>
      <w:pPr>
        <w:pStyle w:val="ListBullet"/>
        <w:spacing w:after="60"/>
      </w:pPr>
      <w:r>
        <w:rPr>
          <w:b/>
          <w:sz w:val="20"/>
        </w:rPr>
        <w:t>The PM Owns the Economics:</w:t>
      </w:r>
      <w:r>
        <w:rPr>
          <w:sz w:val="20"/>
        </w:rPr>
        <w:t xml:space="preserve"> Token cost, latency and unit economics belong to the PM even when someone else works out the numbers.</w:t>
      </w:r>
    </w:p>
    <w:p>
      <w:pPr>
        <w:pStyle w:val="ListBullet"/>
        <w:spacing w:after="60"/>
      </w:pPr>
      <w:r>
        <w:rPr>
          <w:b/>
          <w:sz w:val="20"/>
        </w:rPr>
        <w:t>Human-in-the-Loop Fatigue:</w:t>
      </w:r>
      <w:r>
        <w:rPr>
          <w:sz w:val="20"/>
        </w:rPr>
        <w:t xml:space="preserve"> An approval step does not make a system safe if reviewers start clicking approve on confident output. People should review the cases where the model is unsure or where a mistake would be expensive.</w:t>
      </w:r>
    </w:p>
    <w:p>
      <w:pPr>
        <w:pStyle w:val="ListBullet"/>
        <w:spacing w:after="60"/>
      </w:pPr>
      <w:r>
        <w:rPr>
          <w:b/>
          <w:sz w:val="20"/>
        </w:rPr>
        <w:t>Prompts as Product:</w:t>
      </w:r>
      <w:r>
        <w:rPr>
          <w:sz w:val="20"/>
        </w:rPr>
        <w:t xml:space="preserve"> A prompt inside a product needs versioning, a test set and an owner, the same as code.</w:t>
      </w:r>
    </w:p>
    <w:p>
      <w:pPr>
        <w:pStyle w:val="ListBullet"/>
        <w:spacing w:after="60"/>
      </w:pPr>
      <w:r>
        <w:rPr>
          <w:b/>
          <w:sz w:val="20"/>
        </w:rPr>
        <w:t>Where I Differ:</w:t>
      </w:r>
      <w:r>
        <w:rPr>
          <w:sz w:val="20"/>
        </w:rPr>
        <w:t xml:space="preserve"> "Finish the job and leave" fits the study side of Infi, where a student with a doubt should get the answer and go. Part of Infi is meant for downtime after tuition, and there coming back daily is part of the value. What I take from the class is to check whether a return visit actually helps the student.</w:t>
      </w:r>
    </w:p>
    <w:p>
      <w:pPr>
        <w:pStyle w:val="Heading1"/>
        <w:spacing w:before="140" w:after="40"/>
      </w:pPr>
      <w:r>
        <w:rPr>
          <w:b/>
          <w:color w:val="1B2A5E"/>
          <w:sz w:val="24"/>
        </w:rPr>
        <w:t>4. Practical Learnings</w:t>
      </w:r>
    </w:p>
    <w:p>
      <w:pPr>
        <w:pStyle w:val="ListBullet"/>
        <w:spacing w:after="60"/>
      </w:pPr>
      <w:r>
        <w:rPr>
          <w:b/>
          <w:sz w:val="20"/>
        </w:rPr>
        <w:t>Infi's Cost Model:</w:t>
      </w:r>
      <w:r>
        <w:rPr>
          <w:sz w:val="20"/>
        </w:rPr>
        <w:t xml:space="preserve"> Our first cost model was built on older, cheaper pricing and on a model Google later retired. When I re-ran it on current pricing, the cost per active student came out far higher than our documents said. Voice replies cost much more to produce than voice input, so we repriced voice in Sparks. The model tier mattered more to our margins than any price change we were debating.</w:t>
      </w:r>
    </w:p>
    <w:p>
      <w:pPr>
        <w:pStyle w:val="ListBullet"/>
        <w:spacing w:after="60"/>
      </w:pPr>
      <w:r>
        <w:rPr>
          <w:b/>
          <w:sz w:val="20"/>
        </w:rPr>
        <w:t>Beta Signals:</w:t>
      </w:r>
      <w:r>
        <w:rPr>
          <w:sz w:val="20"/>
        </w:rPr>
        <w:t xml:space="preserve"> Our early beta calls were very positive, but a week of curiosity proves little. I want our analytics to separate students who come back to try something new from those who come back to use the same thing again.</w:t>
      </w:r>
    </w:p>
    <w:p>
      <w:pPr>
        <w:pStyle w:val="ListBullet"/>
        <w:spacing w:after="60"/>
      </w:pPr>
      <w:r>
        <w:rPr>
          <w:b/>
          <w:sz w:val="20"/>
        </w:rPr>
        <w:t>Midterm Format:</w:t>
      </w:r>
      <w:r>
        <w:rPr>
          <w:sz w:val="20"/>
        </w:rPr>
        <w:t xml:space="preserve"> Two small cases, each with three parts, about a page for each part, and typed answers preferred.</w:t>
      </w:r>
    </w:p>
    <w:p>
      <w:pPr>
        <w:spacing w:after="60" w:line="259" w:lineRule="auto"/>
      </w:pPr>
      <w:r>
        <w:rPr>
          <w:b/>
          <w:sz w:val="20"/>
        </w:rPr>
        <w:t>5. Conclusion -</w:t>
      </w:r>
      <w:r>
        <w:rPr>
          <w:sz w:val="20"/>
        </w:rPr>
        <w:t xml:space="preserve"> This session made me take ownership of numbers I had left to engineering for too long. My open question is about control. When the model provider decides both the price and how long a model lives, how much of our margin do we really control, and how should a PM show that risk in a business case?</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