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9" w:lineRule="auto"/>
      </w:pPr>
      <w:r>
        <w:rPr>
          <w:b/>
          <w:sz w:val="20"/>
        </w:rPr>
        <w:t>Name</w:t>
      </w:r>
      <w:r>
        <w:rPr>
          <w:sz w:val="20"/>
        </w:rPr>
        <w:t xml:space="preserve"> - Achal Tiwari</w:t>
      </w:r>
    </w:p>
    <w:p>
      <w:pPr>
        <w:spacing w:after="60" w:line="259" w:lineRule="auto"/>
      </w:pPr>
      <w:r>
        <w:rPr>
          <w:b/>
          <w:sz w:val="20"/>
        </w:rPr>
        <w:t>Registered No</w:t>
      </w:r>
      <w:r>
        <w:rPr>
          <w:sz w:val="20"/>
        </w:rPr>
        <w:t xml:space="preserve"> - 2025MB26002</w:t>
      </w:r>
    </w:p>
    <w:p>
      <w:pPr>
        <w:pStyle w:val="Heading1"/>
        <w:spacing w:before="140" w:after="40"/>
      </w:pPr>
      <w:r>
        <w:rPr>
          <w:b/>
          <w:color w:val="1B2A5E"/>
          <w:sz w:val="24"/>
        </w:rPr>
        <w:t>Management of AI products</w:t>
      </w:r>
    </w:p>
    <w:p>
      <w:pPr>
        <w:spacing w:after="60" w:line="259" w:lineRule="auto"/>
      </w:pPr>
      <w:r>
        <w:rPr>
          <w:b/>
          <w:sz w:val="20"/>
        </w:rPr>
        <w:t>7th Session Topic:</w:t>
      </w:r>
      <w:r>
        <w:rPr>
          <w:sz w:val="20"/>
        </w:rPr>
        <w:t xml:space="preserve"> A Live DISCOM Case on Reframing, Pricing, Uncertainty UX and Post-Launch Risk.</w:t>
      </w:r>
    </w:p>
    <w:p>
      <w:pPr>
        <w:pStyle w:val="Heading1"/>
        <w:spacing w:before="140" w:after="40"/>
      </w:pPr>
      <w:r>
        <w:rPr>
          <w:b/>
          <w:color w:val="1B2A5E"/>
          <w:sz w:val="24"/>
        </w:rPr>
        <w:t>Management of AI Products - Class Reflection</w:t>
      </w:r>
    </w:p>
    <w:p>
      <w:pPr>
        <w:spacing w:after="60" w:line="259" w:lineRule="auto"/>
      </w:pPr>
      <w:r>
        <w:rPr>
          <w:b/>
          <w:sz w:val="20"/>
        </w:rPr>
        <w:t>1. Class Overview</w:t>
      </w:r>
      <w:r>
        <w:rPr>
          <w:sz w:val="20"/>
        </w:rPr>
        <w:t xml:space="preserve"> The last class before the midterm was built around one live case. We played a product company selling a customer-service product to electricity distribution companies (DISCOMs), and the professor pushed every answer further. The case pulled together reframing, B2B pricing, who the real buyer is, how to show uncertainty, and the risks that keep coming after an AI product launches.</w:t>
      </w:r>
    </w:p>
    <w:p>
      <w:pPr>
        <w:pStyle w:val="Heading1"/>
        <w:spacing w:before="140" w:after="40"/>
      </w:pPr>
      <w:r>
        <w:rPr>
          <w:b/>
          <w:color w:val="1B2A5E"/>
          <w:sz w:val="24"/>
        </w:rPr>
        <w:t>2. Key Concepts and Discussions</w:t>
      </w:r>
    </w:p>
    <w:p>
      <w:pPr>
        <w:pStyle w:val="ListBullet"/>
        <w:spacing w:after="60"/>
      </w:pPr>
      <w:r>
        <w:rPr>
          <w:b/>
          <w:sz w:val="20"/>
        </w:rPr>
        <w:t>Lead From the Front:</w:t>
      </w:r>
      <w:r>
        <w:rPr>
          <w:sz w:val="20"/>
        </w:rPr>
        <w:t xml:space="preserve"> A PM should know operations closely, spend time in support after launch and be able to demo the product without help.</w:t>
      </w:r>
    </w:p>
    <w:p>
      <w:pPr>
        <w:pStyle w:val="ListBullet"/>
        <w:spacing w:after="60"/>
      </w:pPr>
      <w:r>
        <w:rPr>
          <w:b/>
          <w:sz w:val="20"/>
        </w:rPr>
        <w:t>Answer as the Vendor:</w:t>
      </w:r>
      <w:r>
        <w:rPr>
          <w:sz w:val="20"/>
        </w:rPr>
        <w:t xml:space="preserve"> Many answers were written from the DISCOM's side, when we were the company building the product.</w:t>
      </w:r>
    </w:p>
    <w:p>
      <w:pPr>
        <w:pStyle w:val="ListBullet"/>
        <w:spacing w:after="60"/>
      </w:pPr>
      <w:r>
        <w:rPr>
          <w:b/>
          <w:sz w:val="20"/>
        </w:rPr>
        <w:t>Why Should the Customer Call at All:</w:t>
      </w:r>
      <w:r>
        <w:rPr>
          <w:sz w:val="20"/>
        </w:rPr>
        <w:t xml:space="preserve"> The utility already sees the outage in the consumption drop and the meter data, so it can message customers with a restoration estimate before anyone calls.</w:t>
      </w:r>
    </w:p>
    <w:p>
      <w:pPr>
        <w:pStyle w:val="ListBullet"/>
        <w:spacing w:after="60"/>
      </w:pPr>
      <w:r>
        <w:rPr>
          <w:b/>
          <w:sz w:val="20"/>
        </w:rPr>
        <w:t>Pricing by Value:</w:t>
      </w:r>
      <w:r>
        <w:rPr>
          <w:sz w:val="20"/>
        </w:rPr>
        <w:t xml:space="preserve"> DISCOMs want low cost and have regulated tariffs, so premium positioning does not work. The 15 to 25 percent value-share rule came back. Outcome-based pricing moves volume risk to the vendor, and per-seat pricing shrinks as the customer improves.</w:t>
      </w:r>
    </w:p>
    <w:p>
      <w:pPr>
        <w:pStyle w:val="ListBullet"/>
        <w:spacing w:after="60"/>
      </w:pPr>
      <w:r>
        <w:rPr>
          <w:b/>
          <w:sz w:val="20"/>
        </w:rPr>
        <w:t>Who Actually Buys:</w:t>
      </w:r>
      <w:r>
        <w:rPr>
          <w:sz w:val="20"/>
        </w:rPr>
        <w:t xml:space="preserve"> At a DISCOM the decision-maker may be an official who answers to public sentiment, which changes what they value.</w:t>
      </w:r>
    </w:p>
    <w:p>
      <w:pPr>
        <w:pStyle w:val="ListBullet"/>
        <w:spacing w:after="60"/>
      </w:pPr>
      <w:r>
        <w:rPr>
          <w:b/>
          <w:sz w:val="20"/>
        </w:rPr>
        <w:t>TFIR:</w:t>
      </w:r>
      <w:r>
        <w:rPr>
          <w:sz w:val="20"/>
        </w:rPr>
        <w:t xml:space="preserve"> Split AI output into truth or facts, inferences and recommendations. Facts can come from lookups, and recommendations should show the evidence under them.</w:t>
      </w:r>
    </w:p>
    <w:p>
      <w:pPr>
        <w:pStyle w:val="ListBullet"/>
        <w:spacing w:after="60"/>
      </w:pPr>
      <w:r>
        <w:rPr>
          <w:b/>
          <w:sz w:val="20"/>
        </w:rPr>
        <w:t>After GA:</w:t>
      </w:r>
      <w:r>
        <w:rPr>
          <w:sz w:val="20"/>
        </w:rPr>
        <w:t xml:space="preserve"> For AI products the tension after general availability only tapers, because vendors change or retire models without any release on our side.</w:t>
      </w:r>
    </w:p>
    <w:p>
      <w:pPr>
        <w:pStyle w:val="Heading1"/>
        <w:spacing w:before="140" w:after="40"/>
      </w:pPr>
      <w:r>
        <w:rPr>
          <w:b/>
          <w:color w:val="1B2A5E"/>
          <w:sz w:val="24"/>
        </w:rPr>
        <w:t>3. Important Insights</w:t>
      </w:r>
    </w:p>
    <w:p>
      <w:pPr>
        <w:pStyle w:val="ListBullet"/>
        <w:spacing w:after="60"/>
      </w:pPr>
      <w:r>
        <w:rPr>
          <w:b/>
          <w:sz w:val="20"/>
        </w:rPr>
        <w:t>Reframing Comes First:</w:t>
      </w:r>
      <w:r>
        <w:rPr>
          <w:sz w:val="20"/>
        </w:rPr>
        <w:t xml:space="preserve"> Most first answers were a better complaint bot or faster ticket routing, and I would probably have answered the same way. The reframe came from asking what the system already knows.</w:t>
      </w:r>
    </w:p>
    <w:p>
      <w:pPr>
        <w:pStyle w:val="ListBullet"/>
        <w:spacing w:after="60"/>
      </w:pPr>
      <w:r>
        <w:rPr>
          <w:b/>
          <w:sz w:val="20"/>
        </w:rPr>
        <w:t>Support Is Also Margin:</w:t>
      </w:r>
      <w:r>
        <w:rPr>
          <w:sz w:val="20"/>
        </w:rPr>
        <w:t xml:space="preserve"> A classmate pointed out that DISCOMs buy power on forward contracts, so power that cannot be delivered during an outage is already paid for.</w:t>
      </w:r>
    </w:p>
    <w:p>
      <w:pPr>
        <w:pStyle w:val="ListBullet"/>
        <w:spacing w:after="60"/>
      </w:pPr>
      <w:r>
        <w:rPr>
          <w:b/>
          <w:sz w:val="20"/>
        </w:rPr>
        <w:t>Where I Differ:</w:t>
      </w:r>
      <w:r>
        <w:rPr>
          <w:sz w:val="20"/>
        </w:rPr>
        <w:t xml:space="preserve"> Proactive messages suit the outage case. For a children's app they need limits on timing, frequency and tone, since a message at 11 pm can feel helpful to a student and intrusive to a parent.</w:t>
      </w:r>
    </w:p>
    <w:p>
      <w:pPr>
        <w:pStyle w:val="Heading1"/>
        <w:spacing w:before="140" w:after="40"/>
      </w:pPr>
      <w:r>
        <w:rPr>
          <w:b/>
          <w:color w:val="1B2A5E"/>
          <w:sz w:val="24"/>
        </w:rPr>
        <w:t>4. Practical Learnings</w:t>
      </w:r>
    </w:p>
    <w:p>
      <w:pPr>
        <w:pStyle w:val="ListBullet"/>
        <w:spacing w:after="60"/>
      </w:pPr>
      <w:r>
        <w:rPr>
          <w:b/>
          <w:sz w:val="20"/>
        </w:rPr>
        <w:t>Proactive Infi:</w:t>
      </w:r>
      <w:r>
        <w:rPr>
          <w:sz w:val="20"/>
        </w:rPr>
        <w:t xml:space="preserve"> A lot of Infi still waits for the student to ask, even though it knows their class, their board and what they were stuck on yesterday. It could open with "that chemistry chapter from yesterday, want two quick questions on it?"</w:t>
      </w:r>
    </w:p>
    <w:p>
      <w:pPr>
        <w:pStyle w:val="ListBullet"/>
        <w:spacing w:after="60"/>
      </w:pPr>
      <w:r>
        <w:rPr>
          <w:b/>
          <w:sz w:val="20"/>
        </w:rPr>
        <w:t>TFIR for Homework Help:</w:t>
      </w:r>
      <w:r>
        <w:rPr>
          <w:sz w:val="20"/>
        </w:rPr>
        <w:t xml:space="preserve"> Formulas and definitions should come from grounded sources, and a recommendation like "revise this chapter tonight" should show what it is based on.</w:t>
      </w:r>
    </w:p>
    <w:p>
      <w:pPr>
        <w:pStyle w:val="ListBullet"/>
        <w:spacing w:after="60"/>
      </w:pPr>
      <w:r>
        <w:rPr>
          <w:b/>
          <w:sz w:val="20"/>
        </w:rPr>
        <w:t>Dependency Map:</w:t>
      </w:r>
      <w:r>
        <w:rPr>
          <w:sz w:val="20"/>
        </w:rPr>
        <w:t xml:space="preserve"> Infi's login depends on an OTP provider, so if it goes down no new student can sign up. I will list every external dependency (model provider, OTP, store billing, notifications) and what breaks if each one fails.</w:t>
      </w:r>
    </w:p>
    <w:p>
      <w:pPr>
        <w:spacing w:after="60" w:line="259" w:lineRule="auto"/>
      </w:pPr>
      <w:r>
        <w:rPr>
          <w:b/>
          <w:sz w:val="20"/>
        </w:rPr>
        <w:t>5. Conclusion -</w:t>
      </w:r>
      <w:r>
        <w:rPr>
          <w:sz w:val="20"/>
        </w:rPr>
        <w:t xml:space="preserve"> The case showed me that the first problem we are handed is often not the real one. For Infi it also raised a question I have not settled. Is our buyer the student who uses it every day or the parent who pays and gives consent, and how should that change what goes behind the paywall?</w:t>
      </w:r>
    </w:p>
    <w:p>
      <w:pPr>
        <w:spacing w:after="60" w:line="259" w:lineRule="auto"/>
      </w:pPr>
      <w:r>
        <w:rPr>
          <w:i/>
          <w:sz w:val="20"/>
        </w:rPr>
        <w:t>AI use: draft written with Claude (Opus 5.5); facts and work examples checked by me. Model, prompt and sources are in AI-Use-Disclosure.md.</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r>
    <w:r>
      <w:rPr>
        <w:color w:val="444444"/>
        <w:sz w:val="18"/>
      </w:rPr>
      <w:instrText xml:space="preserve">PAGE</w:instrText>
    </w:r>
    <w:r>
      <w:rPr>
        <w:color w:val="444444"/>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