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84FBA" w14:textId="1C750FC1" w:rsidR="009A19C6" w:rsidRDefault="009A19C6" w:rsidP="009B2B51">
      <w:pPr>
        <w:rPr>
          <w:i/>
          <w:iCs/>
          <w:sz w:val="21"/>
          <w:szCs w:val="21"/>
        </w:rPr>
      </w:pPr>
      <w:r w:rsidRPr="001E3B8A">
        <w:rPr>
          <w:i/>
          <w:iCs/>
          <w:sz w:val="21"/>
          <w:szCs w:val="21"/>
        </w:rPr>
        <w:t>I currently work as a pre-sales automation architect in Persistent Systems. I have been in this role across my previous companies as well and since 2020. As part of my role, I work on proposals/RFPs/solutions (not products) that would accelerate the implementation for any of the future customers. My tech stack includes low-code no-code platforms such as OutSystems, Appian, Pega etc. and RPA platforms such as UiPath, Automation Anywhere etc. The typical industries my proposals cut through are Healthcare, Life Sciences, Insurance, Banking, Financial Services.</w:t>
      </w:r>
    </w:p>
    <w:p w14:paraId="74FC61AE" w14:textId="7533A688" w:rsidR="00FC3276" w:rsidRPr="001E3B8A" w:rsidRDefault="00FC3276" w:rsidP="009B2B51">
      <w:pPr>
        <w:rPr>
          <w:b/>
          <w:bCs/>
          <w:sz w:val="21"/>
          <w:szCs w:val="21"/>
        </w:rPr>
      </w:pPr>
      <w:r>
        <w:rPr>
          <w:i/>
          <w:iCs/>
          <w:sz w:val="21"/>
          <w:szCs w:val="21"/>
        </w:rPr>
        <w:t>From the organization structure, I belong to a horizontal (service line)</w:t>
      </w:r>
      <w:r w:rsidR="0082302E">
        <w:rPr>
          <w:i/>
          <w:iCs/>
          <w:sz w:val="21"/>
          <w:szCs w:val="21"/>
        </w:rPr>
        <w:t xml:space="preserve"> Agentic Business Automation. We work with various vertical teams (industry/domain) on different proposals.</w:t>
      </w:r>
    </w:p>
    <w:p w14:paraId="0AB3529D" w14:textId="77777777" w:rsidR="009A19C6" w:rsidRPr="001E3B8A" w:rsidRDefault="009A19C6" w:rsidP="009B2B51">
      <w:pPr>
        <w:rPr>
          <w:b/>
          <w:bCs/>
          <w:sz w:val="21"/>
          <w:szCs w:val="21"/>
        </w:rPr>
      </w:pPr>
    </w:p>
    <w:p w14:paraId="76D5865B" w14:textId="7468F1A2" w:rsidR="005D0A99" w:rsidRPr="001E3B8A" w:rsidRDefault="009B2B51" w:rsidP="009B2B51">
      <w:pPr>
        <w:rPr>
          <w:sz w:val="21"/>
          <w:szCs w:val="21"/>
        </w:rPr>
      </w:pPr>
      <w:r w:rsidRPr="001E3B8A">
        <w:rPr>
          <w:b/>
          <w:bCs/>
          <w:sz w:val="21"/>
          <w:szCs w:val="21"/>
        </w:rPr>
        <w:t>"</w:t>
      </w:r>
      <w:r w:rsidR="008A6C7C" w:rsidRPr="007A3A7B">
        <w:rPr>
          <w:b/>
          <w:bCs/>
          <w:sz w:val="21"/>
          <w:szCs w:val="21"/>
        </w:rPr>
        <w:t>S</w:t>
      </w:r>
      <w:r w:rsidR="008A6C7C" w:rsidRPr="008A6C7C">
        <w:rPr>
          <w:b/>
          <w:bCs/>
          <w:sz w:val="21"/>
          <w:szCs w:val="21"/>
        </w:rPr>
        <w:t>caling the Product Promise, Not Just the Technology</w:t>
      </w:r>
      <w:r w:rsidRPr="001E3B8A">
        <w:rPr>
          <w:b/>
          <w:bCs/>
          <w:sz w:val="21"/>
          <w:szCs w:val="21"/>
        </w:rPr>
        <w:t>"</w:t>
      </w:r>
    </w:p>
    <w:p w14:paraId="1AA4F19E" w14:textId="411EB707" w:rsidR="0094511C" w:rsidRPr="001E3B8A" w:rsidRDefault="007A3A7B" w:rsidP="005B61A1">
      <w:pPr>
        <w:rPr>
          <w:sz w:val="21"/>
          <w:szCs w:val="21"/>
        </w:rPr>
      </w:pPr>
      <w:r w:rsidRPr="007A3A7B">
        <w:rPr>
          <w:sz w:val="21"/>
          <w:szCs w:val="21"/>
        </w:rPr>
        <w:t>In my work, scalability discussions often start with architecture, cloud capacity, transaction volumes, integrations and performance. However, I strongly relate to the point that ultimately we need to scale the promise made to the customer, not simply the underlying technology. For example, in an AI-enabled customer support solution, supporting ten times the transaction volume is not meaningful if the quality of responses deteriorates or customers wait much longer. This is relevant in our proposals as well, where the scale section should explain whether the proposed solution can continue delivering the expected business outcome as users, processes and complexity increase, rather than merely claiming that it is technically scalable.</w:t>
      </w:r>
    </w:p>
    <w:p w14:paraId="2E996E82" w14:textId="77777777" w:rsidR="004A3520" w:rsidRPr="001E3B8A" w:rsidRDefault="004A3520" w:rsidP="009B2B51">
      <w:pPr>
        <w:rPr>
          <w:sz w:val="21"/>
          <w:szCs w:val="21"/>
        </w:rPr>
      </w:pPr>
    </w:p>
    <w:p w14:paraId="474D99E9" w14:textId="5D48F77A" w:rsidR="004A3520" w:rsidRPr="001E3B8A" w:rsidRDefault="004A3520" w:rsidP="004A3520">
      <w:pPr>
        <w:rPr>
          <w:b/>
          <w:bCs/>
          <w:sz w:val="21"/>
          <w:szCs w:val="21"/>
        </w:rPr>
      </w:pPr>
      <w:r w:rsidRPr="001E3B8A">
        <w:rPr>
          <w:b/>
          <w:bCs/>
          <w:sz w:val="21"/>
          <w:szCs w:val="21"/>
        </w:rPr>
        <w:t>"</w:t>
      </w:r>
      <w:r w:rsidR="003F6A1D" w:rsidRPr="003F6A1D">
        <w:rPr>
          <w:b/>
          <w:bCs/>
          <w:sz w:val="21"/>
          <w:szCs w:val="21"/>
        </w:rPr>
        <w:t>Quality vs Latency vs Cost Trade-off</w:t>
      </w:r>
      <w:r w:rsidRPr="001E3B8A">
        <w:rPr>
          <w:b/>
          <w:bCs/>
          <w:sz w:val="21"/>
          <w:szCs w:val="21"/>
        </w:rPr>
        <w:t>"</w:t>
      </w:r>
    </w:p>
    <w:p w14:paraId="2F593106" w14:textId="0009EB87" w:rsidR="004A3520" w:rsidRPr="001E3B8A" w:rsidRDefault="003F6A1D" w:rsidP="00D15D8A">
      <w:pPr>
        <w:rPr>
          <w:sz w:val="21"/>
          <w:szCs w:val="21"/>
        </w:rPr>
      </w:pPr>
      <w:r w:rsidRPr="003F6A1D">
        <w:rPr>
          <w:sz w:val="21"/>
          <w:szCs w:val="21"/>
        </w:rPr>
        <w:t>This is very relevant to the Generative AI and Agentic AI solutions we propose to customers. We could always use the most capable frontier model for every interaction, but that can increase both response time and cost significantly. On the other hand, using smaller models everywhere may reduce cost but compromise the quality expected by the customer. I therefore see this as an important product decision rather than purely an architecture decision. We need to establish an acceptable operating range for quality, response time and cost based on the use case and customer segment, and then let engineering optimise within those boundaries.</w:t>
      </w:r>
    </w:p>
    <w:p w14:paraId="64284FFC" w14:textId="77777777" w:rsidR="00D2542E" w:rsidRPr="001E3B8A" w:rsidRDefault="00D2542E" w:rsidP="004A3520">
      <w:pPr>
        <w:rPr>
          <w:sz w:val="21"/>
          <w:szCs w:val="21"/>
        </w:rPr>
      </w:pPr>
    </w:p>
    <w:p w14:paraId="0812B501" w14:textId="5B819745" w:rsidR="00D2542E" w:rsidRPr="001E3B8A" w:rsidRDefault="00D2542E" w:rsidP="00D2542E">
      <w:pPr>
        <w:rPr>
          <w:b/>
          <w:bCs/>
          <w:sz w:val="21"/>
          <w:szCs w:val="21"/>
        </w:rPr>
      </w:pPr>
      <w:r w:rsidRPr="001E3B8A">
        <w:rPr>
          <w:b/>
          <w:bCs/>
          <w:sz w:val="21"/>
          <w:szCs w:val="21"/>
        </w:rPr>
        <w:t>"</w:t>
      </w:r>
      <w:r w:rsidR="004E128C" w:rsidRPr="004E128C">
        <w:rPr>
          <w:b/>
          <w:bCs/>
          <w:sz w:val="21"/>
          <w:szCs w:val="21"/>
        </w:rPr>
        <w:t>Higher Customer Dependence Is Not Necessarily a Positive Product Outcome</w:t>
      </w:r>
      <w:r w:rsidRPr="001E3B8A">
        <w:rPr>
          <w:b/>
          <w:bCs/>
          <w:sz w:val="21"/>
          <w:szCs w:val="21"/>
        </w:rPr>
        <w:t>"</w:t>
      </w:r>
    </w:p>
    <w:p w14:paraId="46B1A070" w14:textId="17EBC264" w:rsidR="00DE5BE6" w:rsidRDefault="005153E5" w:rsidP="00C36879">
      <w:pPr>
        <w:rPr>
          <w:sz w:val="21"/>
          <w:szCs w:val="21"/>
        </w:rPr>
      </w:pPr>
      <w:r w:rsidRPr="005153E5">
        <w:rPr>
          <w:sz w:val="21"/>
          <w:szCs w:val="21"/>
        </w:rPr>
        <w:t>I partially disagree with treating growing dependence and higher switching cost as inherently positive for the Product Manager. Commercially, higher dependence can improve retention, but in enterprise environments customers increasingly become uncomfortable when a product creates excessive lock-in. We regularly see customers asking about data portability, open interfaces, model independence and exit strategies during platform evaluations. I would therefore prefer customers to remain because the product continuously creates superior value rather than because switching away has become prohibitively difficult. For me, strong retention and deliberate lock-in are not necessarily the same measure of product success.</w:t>
      </w:r>
    </w:p>
    <w:p w14:paraId="782D9126" w14:textId="77777777" w:rsidR="00D141D6" w:rsidRDefault="00D141D6" w:rsidP="00C36879">
      <w:pPr>
        <w:rPr>
          <w:sz w:val="21"/>
          <w:szCs w:val="21"/>
        </w:rPr>
      </w:pPr>
    </w:p>
    <w:p w14:paraId="64BEB0FE" w14:textId="5F66BDCB" w:rsidR="00D141D6" w:rsidRDefault="00D141D6" w:rsidP="00C36879">
      <w:pPr>
        <w:rPr>
          <w:b/>
          <w:bCs/>
          <w:sz w:val="21"/>
          <w:szCs w:val="21"/>
        </w:rPr>
      </w:pPr>
      <w:r w:rsidRPr="00D141D6">
        <w:rPr>
          <w:b/>
          <w:bCs/>
          <w:sz w:val="21"/>
          <w:szCs w:val="21"/>
        </w:rPr>
        <w:t>“</w:t>
      </w:r>
      <w:r w:rsidR="00E71B33" w:rsidRPr="00E71B33">
        <w:rPr>
          <w:b/>
          <w:bCs/>
          <w:sz w:val="21"/>
          <w:szCs w:val="21"/>
        </w:rPr>
        <w:t>AI Products Cannot Depend on Heroics to Scale</w:t>
      </w:r>
      <w:r w:rsidRPr="00D141D6">
        <w:rPr>
          <w:b/>
          <w:bCs/>
          <w:sz w:val="21"/>
          <w:szCs w:val="21"/>
        </w:rPr>
        <w:t>”</w:t>
      </w:r>
    </w:p>
    <w:p w14:paraId="70A4A93F" w14:textId="2D46D9F6" w:rsidR="00D141D6" w:rsidRPr="00D141D6" w:rsidRDefault="00E71B33" w:rsidP="00EF0FA1">
      <w:pPr>
        <w:rPr>
          <w:sz w:val="21"/>
          <w:szCs w:val="21"/>
        </w:rPr>
      </w:pPr>
      <w:r w:rsidRPr="00E71B33">
        <w:rPr>
          <w:sz w:val="21"/>
          <w:szCs w:val="21"/>
        </w:rPr>
        <w:lastRenderedPageBreak/>
        <w:t>This aligns strongly with my experience in pre-sales and proposal work. During important pursuits, teams sometimes work with extraordinary intensity to complete a proposal, demonstration or customer presentation, and that may be acceptable for a short period. However, a production product cannot depend on the same behaviour continuously. If an AI solution requires specialists to constantly monitor prompts, manually intervene, resolve exceptions or manage model behaviour, then it has not truly scaled even if customer demand has increased. Sustainable scaling therefore needs repeatable processes, monitoring, automation and appropriate operating ownership rather than continued dependence on a few highly committed individuals.</w:t>
      </w:r>
    </w:p>
    <w:sectPr w:rsidR="00D141D6" w:rsidRPr="00D141D6" w:rsidSect="00F97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7634A"/>
    <w:multiLevelType w:val="multilevel"/>
    <w:tmpl w:val="8FAC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93F58"/>
    <w:multiLevelType w:val="multilevel"/>
    <w:tmpl w:val="9F029F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F26E8C"/>
    <w:multiLevelType w:val="hybridMultilevel"/>
    <w:tmpl w:val="972C1E7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A2012D1"/>
    <w:multiLevelType w:val="multilevel"/>
    <w:tmpl w:val="326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547A0"/>
    <w:multiLevelType w:val="multilevel"/>
    <w:tmpl w:val="0DC8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D1E5D"/>
    <w:multiLevelType w:val="multilevel"/>
    <w:tmpl w:val="FBD8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61537"/>
    <w:multiLevelType w:val="multilevel"/>
    <w:tmpl w:val="02F6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2270D"/>
    <w:multiLevelType w:val="hybridMultilevel"/>
    <w:tmpl w:val="8AF8BA4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F0540C9"/>
    <w:multiLevelType w:val="hybridMultilevel"/>
    <w:tmpl w:val="AFFCCA0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F00320"/>
    <w:multiLevelType w:val="multilevel"/>
    <w:tmpl w:val="2566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86542"/>
    <w:multiLevelType w:val="multilevel"/>
    <w:tmpl w:val="A298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E407F"/>
    <w:multiLevelType w:val="multilevel"/>
    <w:tmpl w:val="F254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B512C"/>
    <w:multiLevelType w:val="multilevel"/>
    <w:tmpl w:val="7A7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5005B"/>
    <w:multiLevelType w:val="multilevel"/>
    <w:tmpl w:val="8D34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143A9"/>
    <w:multiLevelType w:val="multilevel"/>
    <w:tmpl w:val="C396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83E88"/>
    <w:multiLevelType w:val="multilevel"/>
    <w:tmpl w:val="3892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44E28"/>
    <w:multiLevelType w:val="multilevel"/>
    <w:tmpl w:val="1736EC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CCE02ED"/>
    <w:multiLevelType w:val="multilevel"/>
    <w:tmpl w:val="E46C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76B28"/>
    <w:multiLevelType w:val="multilevel"/>
    <w:tmpl w:val="622A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079CC"/>
    <w:multiLevelType w:val="hybridMultilevel"/>
    <w:tmpl w:val="AD66CD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9C95999"/>
    <w:multiLevelType w:val="hybridMultilevel"/>
    <w:tmpl w:val="3C90B68A"/>
    <w:lvl w:ilvl="0" w:tplc="5BD091A6">
      <w:start w:val="1"/>
      <w:numFmt w:val="decimal"/>
      <w:lvlText w:val="%1."/>
      <w:lvlJc w:val="left"/>
      <w:pPr>
        <w:ind w:left="460" w:hanging="260"/>
      </w:pPr>
    </w:lvl>
    <w:lvl w:ilvl="1" w:tplc="05447952">
      <w:numFmt w:val="decimal"/>
      <w:lvlText w:val=""/>
      <w:lvlJc w:val="left"/>
      <w:pPr>
        <w:ind w:left="0" w:firstLine="0"/>
      </w:pPr>
    </w:lvl>
    <w:lvl w:ilvl="2" w:tplc="C17C4D44">
      <w:numFmt w:val="decimal"/>
      <w:lvlText w:val=""/>
      <w:lvlJc w:val="left"/>
      <w:pPr>
        <w:ind w:left="0" w:firstLine="0"/>
      </w:pPr>
    </w:lvl>
    <w:lvl w:ilvl="3" w:tplc="87B0F9E4">
      <w:numFmt w:val="decimal"/>
      <w:lvlText w:val=""/>
      <w:lvlJc w:val="left"/>
      <w:pPr>
        <w:ind w:left="0" w:firstLine="0"/>
      </w:pPr>
    </w:lvl>
    <w:lvl w:ilvl="4" w:tplc="252C7F2E">
      <w:numFmt w:val="decimal"/>
      <w:lvlText w:val=""/>
      <w:lvlJc w:val="left"/>
      <w:pPr>
        <w:ind w:left="0" w:firstLine="0"/>
      </w:pPr>
    </w:lvl>
    <w:lvl w:ilvl="5" w:tplc="794E11D2">
      <w:numFmt w:val="decimal"/>
      <w:lvlText w:val=""/>
      <w:lvlJc w:val="left"/>
      <w:pPr>
        <w:ind w:left="0" w:firstLine="0"/>
      </w:pPr>
    </w:lvl>
    <w:lvl w:ilvl="6" w:tplc="2CB8E216">
      <w:numFmt w:val="decimal"/>
      <w:lvlText w:val=""/>
      <w:lvlJc w:val="left"/>
      <w:pPr>
        <w:ind w:left="0" w:firstLine="0"/>
      </w:pPr>
    </w:lvl>
    <w:lvl w:ilvl="7" w:tplc="F9C233F8">
      <w:numFmt w:val="decimal"/>
      <w:lvlText w:val=""/>
      <w:lvlJc w:val="left"/>
      <w:pPr>
        <w:ind w:left="0" w:firstLine="0"/>
      </w:pPr>
    </w:lvl>
    <w:lvl w:ilvl="8" w:tplc="168E93D4">
      <w:numFmt w:val="decimal"/>
      <w:lvlText w:val=""/>
      <w:lvlJc w:val="left"/>
      <w:pPr>
        <w:ind w:left="0" w:firstLine="0"/>
      </w:pPr>
    </w:lvl>
  </w:abstractNum>
  <w:abstractNum w:abstractNumId="21" w15:restartNumberingAfterBreak="0">
    <w:nsid w:val="7F9E270E"/>
    <w:multiLevelType w:val="hybridMultilevel"/>
    <w:tmpl w:val="ED1CD56C"/>
    <w:lvl w:ilvl="0" w:tplc="300A7F1A">
      <w:start w:val="1"/>
      <w:numFmt w:val="bullet"/>
      <w:lvlText w:val="•"/>
      <w:lvlJc w:val="left"/>
      <w:pPr>
        <w:ind w:left="460" w:hanging="260"/>
      </w:pPr>
    </w:lvl>
    <w:lvl w:ilvl="1" w:tplc="A8DC6AA2">
      <w:numFmt w:val="decimal"/>
      <w:lvlText w:val=""/>
      <w:lvlJc w:val="left"/>
      <w:pPr>
        <w:ind w:left="0" w:firstLine="0"/>
      </w:pPr>
    </w:lvl>
    <w:lvl w:ilvl="2" w:tplc="655E6364">
      <w:numFmt w:val="decimal"/>
      <w:lvlText w:val=""/>
      <w:lvlJc w:val="left"/>
      <w:pPr>
        <w:ind w:left="0" w:firstLine="0"/>
      </w:pPr>
    </w:lvl>
    <w:lvl w:ilvl="3" w:tplc="88BE84E6">
      <w:numFmt w:val="decimal"/>
      <w:lvlText w:val=""/>
      <w:lvlJc w:val="left"/>
      <w:pPr>
        <w:ind w:left="0" w:firstLine="0"/>
      </w:pPr>
    </w:lvl>
    <w:lvl w:ilvl="4" w:tplc="DB3AFB14">
      <w:numFmt w:val="decimal"/>
      <w:lvlText w:val=""/>
      <w:lvlJc w:val="left"/>
      <w:pPr>
        <w:ind w:left="0" w:firstLine="0"/>
      </w:pPr>
    </w:lvl>
    <w:lvl w:ilvl="5" w:tplc="C54C71B8">
      <w:numFmt w:val="decimal"/>
      <w:lvlText w:val=""/>
      <w:lvlJc w:val="left"/>
      <w:pPr>
        <w:ind w:left="0" w:firstLine="0"/>
      </w:pPr>
    </w:lvl>
    <w:lvl w:ilvl="6" w:tplc="035AF1AE">
      <w:numFmt w:val="decimal"/>
      <w:lvlText w:val=""/>
      <w:lvlJc w:val="left"/>
      <w:pPr>
        <w:ind w:left="0" w:firstLine="0"/>
      </w:pPr>
    </w:lvl>
    <w:lvl w:ilvl="7" w:tplc="3E546AEC">
      <w:numFmt w:val="decimal"/>
      <w:lvlText w:val=""/>
      <w:lvlJc w:val="left"/>
      <w:pPr>
        <w:ind w:left="0" w:firstLine="0"/>
      </w:pPr>
    </w:lvl>
    <w:lvl w:ilvl="8" w:tplc="6C7E814A">
      <w:numFmt w:val="decimal"/>
      <w:lvlText w:val=""/>
      <w:lvlJc w:val="left"/>
      <w:pPr>
        <w:ind w:left="0" w:firstLine="0"/>
      </w:pPr>
    </w:lvl>
  </w:abstractNum>
  <w:num w:numId="1" w16cid:durableId="397246085">
    <w:abstractNumId w:val="20"/>
    <w:lvlOverride w:ilvl="0">
      <w:startOverride w:val="1"/>
    </w:lvlOverride>
    <w:lvlOverride w:ilvl="1"/>
    <w:lvlOverride w:ilvl="2"/>
    <w:lvlOverride w:ilvl="3"/>
    <w:lvlOverride w:ilvl="4"/>
    <w:lvlOverride w:ilvl="5"/>
    <w:lvlOverride w:ilvl="6"/>
    <w:lvlOverride w:ilvl="7"/>
    <w:lvlOverride w:ilvl="8"/>
  </w:num>
  <w:num w:numId="2" w16cid:durableId="1852137646">
    <w:abstractNumId w:val="21"/>
  </w:num>
  <w:num w:numId="3" w16cid:durableId="1983189279">
    <w:abstractNumId w:val="14"/>
  </w:num>
  <w:num w:numId="4" w16cid:durableId="976910781">
    <w:abstractNumId w:val="4"/>
  </w:num>
  <w:num w:numId="5" w16cid:durableId="2141141851">
    <w:abstractNumId w:val="9"/>
  </w:num>
  <w:num w:numId="6" w16cid:durableId="1943107108">
    <w:abstractNumId w:val="17"/>
  </w:num>
  <w:num w:numId="7" w16cid:durableId="1099831470">
    <w:abstractNumId w:val="12"/>
  </w:num>
  <w:num w:numId="8" w16cid:durableId="1282802171">
    <w:abstractNumId w:val="13"/>
  </w:num>
  <w:num w:numId="9" w16cid:durableId="280694277">
    <w:abstractNumId w:val="11"/>
  </w:num>
  <w:num w:numId="10" w16cid:durableId="1505587604">
    <w:abstractNumId w:val="6"/>
  </w:num>
  <w:num w:numId="11" w16cid:durableId="715080319">
    <w:abstractNumId w:val="0"/>
  </w:num>
  <w:num w:numId="12" w16cid:durableId="282228702">
    <w:abstractNumId w:val="15"/>
  </w:num>
  <w:num w:numId="13" w16cid:durableId="8602455">
    <w:abstractNumId w:val="18"/>
  </w:num>
  <w:num w:numId="14" w16cid:durableId="1229877692">
    <w:abstractNumId w:val="10"/>
  </w:num>
  <w:num w:numId="15" w16cid:durableId="1129321269">
    <w:abstractNumId w:val="5"/>
  </w:num>
  <w:num w:numId="16" w16cid:durableId="1925534100">
    <w:abstractNumId w:val="3"/>
  </w:num>
  <w:num w:numId="17" w16cid:durableId="1127088862">
    <w:abstractNumId w:val="8"/>
  </w:num>
  <w:num w:numId="18" w16cid:durableId="1658260225">
    <w:abstractNumId w:val="1"/>
  </w:num>
  <w:num w:numId="19" w16cid:durableId="1386561518">
    <w:abstractNumId w:val="16"/>
  </w:num>
  <w:num w:numId="20" w16cid:durableId="1496917063">
    <w:abstractNumId w:val="19"/>
  </w:num>
  <w:num w:numId="21" w16cid:durableId="595792236">
    <w:abstractNumId w:val="7"/>
  </w:num>
  <w:num w:numId="22" w16cid:durableId="60123088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402"/>
    <w:rsid w:val="000022BF"/>
    <w:rsid w:val="00037002"/>
    <w:rsid w:val="0005579E"/>
    <w:rsid w:val="000633AE"/>
    <w:rsid w:val="0007686F"/>
    <w:rsid w:val="0008035E"/>
    <w:rsid w:val="00094D98"/>
    <w:rsid w:val="000A5414"/>
    <w:rsid w:val="000C30E3"/>
    <w:rsid w:val="000C77C0"/>
    <w:rsid w:val="000D5C79"/>
    <w:rsid w:val="000E2810"/>
    <w:rsid w:val="000E30E6"/>
    <w:rsid w:val="000E6C97"/>
    <w:rsid w:val="00120134"/>
    <w:rsid w:val="00161B6B"/>
    <w:rsid w:val="00166602"/>
    <w:rsid w:val="00174058"/>
    <w:rsid w:val="00182E3D"/>
    <w:rsid w:val="00183F94"/>
    <w:rsid w:val="00194585"/>
    <w:rsid w:val="001C28B6"/>
    <w:rsid w:val="001E3B8A"/>
    <w:rsid w:val="001E49F8"/>
    <w:rsid w:val="001E4BDB"/>
    <w:rsid w:val="00211C60"/>
    <w:rsid w:val="002243D6"/>
    <w:rsid w:val="00231EF4"/>
    <w:rsid w:val="00236761"/>
    <w:rsid w:val="002404B1"/>
    <w:rsid w:val="002404CE"/>
    <w:rsid w:val="002536E1"/>
    <w:rsid w:val="00260701"/>
    <w:rsid w:val="00281110"/>
    <w:rsid w:val="002933F2"/>
    <w:rsid w:val="00295B64"/>
    <w:rsid w:val="002963D9"/>
    <w:rsid w:val="002C1944"/>
    <w:rsid w:val="002E06E3"/>
    <w:rsid w:val="002E7D5D"/>
    <w:rsid w:val="002F1F5C"/>
    <w:rsid w:val="002F1FC2"/>
    <w:rsid w:val="003007F0"/>
    <w:rsid w:val="003153A4"/>
    <w:rsid w:val="00321060"/>
    <w:rsid w:val="00354FCE"/>
    <w:rsid w:val="00366E30"/>
    <w:rsid w:val="003A5748"/>
    <w:rsid w:val="003B14B9"/>
    <w:rsid w:val="003B75F0"/>
    <w:rsid w:val="003C4AEB"/>
    <w:rsid w:val="003D4A1F"/>
    <w:rsid w:val="003D5999"/>
    <w:rsid w:val="003F3D54"/>
    <w:rsid w:val="003F6A1D"/>
    <w:rsid w:val="00402F46"/>
    <w:rsid w:val="004214AC"/>
    <w:rsid w:val="004304AA"/>
    <w:rsid w:val="00432904"/>
    <w:rsid w:val="004337DC"/>
    <w:rsid w:val="00441AD2"/>
    <w:rsid w:val="00476F9F"/>
    <w:rsid w:val="004A2EA4"/>
    <w:rsid w:val="004A3520"/>
    <w:rsid w:val="004A419E"/>
    <w:rsid w:val="004A4E8C"/>
    <w:rsid w:val="004C0528"/>
    <w:rsid w:val="004C508A"/>
    <w:rsid w:val="004C679A"/>
    <w:rsid w:val="004C7F7C"/>
    <w:rsid w:val="004E128C"/>
    <w:rsid w:val="004F2A01"/>
    <w:rsid w:val="0050503A"/>
    <w:rsid w:val="00510CC5"/>
    <w:rsid w:val="0051509C"/>
    <w:rsid w:val="005153E5"/>
    <w:rsid w:val="0053641C"/>
    <w:rsid w:val="00554F21"/>
    <w:rsid w:val="00565F77"/>
    <w:rsid w:val="00567603"/>
    <w:rsid w:val="005B61A1"/>
    <w:rsid w:val="005C3E90"/>
    <w:rsid w:val="005C4643"/>
    <w:rsid w:val="005D0A99"/>
    <w:rsid w:val="005D0CA1"/>
    <w:rsid w:val="006076A5"/>
    <w:rsid w:val="0063316D"/>
    <w:rsid w:val="00647460"/>
    <w:rsid w:val="00650A6E"/>
    <w:rsid w:val="00684253"/>
    <w:rsid w:val="006A50E1"/>
    <w:rsid w:val="006B2C1C"/>
    <w:rsid w:val="006B3A31"/>
    <w:rsid w:val="006B40CD"/>
    <w:rsid w:val="006B76D4"/>
    <w:rsid w:val="006C3E8A"/>
    <w:rsid w:val="007175A5"/>
    <w:rsid w:val="00727983"/>
    <w:rsid w:val="007359B9"/>
    <w:rsid w:val="007448D0"/>
    <w:rsid w:val="007A310F"/>
    <w:rsid w:val="007A3A7B"/>
    <w:rsid w:val="007B1E5D"/>
    <w:rsid w:val="007B679C"/>
    <w:rsid w:val="007B7D14"/>
    <w:rsid w:val="007D29D0"/>
    <w:rsid w:val="007E0EDC"/>
    <w:rsid w:val="007E741F"/>
    <w:rsid w:val="007F6B3D"/>
    <w:rsid w:val="00800657"/>
    <w:rsid w:val="00806349"/>
    <w:rsid w:val="00816039"/>
    <w:rsid w:val="0082302E"/>
    <w:rsid w:val="0083425E"/>
    <w:rsid w:val="00834A8E"/>
    <w:rsid w:val="0085106C"/>
    <w:rsid w:val="008579AF"/>
    <w:rsid w:val="008A3097"/>
    <w:rsid w:val="008A6C7C"/>
    <w:rsid w:val="008C2515"/>
    <w:rsid w:val="008D7D0D"/>
    <w:rsid w:val="008E59E8"/>
    <w:rsid w:val="008F3B1B"/>
    <w:rsid w:val="008F4049"/>
    <w:rsid w:val="00900DFE"/>
    <w:rsid w:val="00920172"/>
    <w:rsid w:val="00924539"/>
    <w:rsid w:val="0093042A"/>
    <w:rsid w:val="00935855"/>
    <w:rsid w:val="0094511C"/>
    <w:rsid w:val="00971BB4"/>
    <w:rsid w:val="00980564"/>
    <w:rsid w:val="009933D6"/>
    <w:rsid w:val="009A19C6"/>
    <w:rsid w:val="009B2B51"/>
    <w:rsid w:val="009B7B88"/>
    <w:rsid w:val="009D62B3"/>
    <w:rsid w:val="009E5661"/>
    <w:rsid w:val="00A15F86"/>
    <w:rsid w:val="00A177C5"/>
    <w:rsid w:val="00A201E8"/>
    <w:rsid w:val="00A43A50"/>
    <w:rsid w:val="00A84F39"/>
    <w:rsid w:val="00A944A8"/>
    <w:rsid w:val="00AA5ADE"/>
    <w:rsid w:val="00AD4A5F"/>
    <w:rsid w:val="00AE6F5A"/>
    <w:rsid w:val="00AE7F3E"/>
    <w:rsid w:val="00AF6096"/>
    <w:rsid w:val="00B13C22"/>
    <w:rsid w:val="00B568C8"/>
    <w:rsid w:val="00B60F14"/>
    <w:rsid w:val="00B65F5D"/>
    <w:rsid w:val="00BA0D9D"/>
    <w:rsid w:val="00BC4CD4"/>
    <w:rsid w:val="00BE0252"/>
    <w:rsid w:val="00C00D4B"/>
    <w:rsid w:val="00C029EB"/>
    <w:rsid w:val="00C03289"/>
    <w:rsid w:val="00C20980"/>
    <w:rsid w:val="00C36879"/>
    <w:rsid w:val="00C412F9"/>
    <w:rsid w:val="00C81271"/>
    <w:rsid w:val="00C84774"/>
    <w:rsid w:val="00C87F5D"/>
    <w:rsid w:val="00C9165A"/>
    <w:rsid w:val="00C92317"/>
    <w:rsid w:val="00C930B2"/>
    <w:rsid w:val="00C97338"/>
    <w:rsid w:val="00CB0E3A"/>
    <w:rsid w:val="00CC71E1"/>
    <w:rsid w:val="00CD7D54"/>
    <w:rsid w:val="00CF02F2"/>
    <w:rsid w:val="00D00EA2"/>
    <w:rsid w:val="00D03909"/>
    <w:rsid w:val="00D141D6"/>
    <w:rsid w:val="00D15D8A"/>
    <w:rsid w:val="00D202AE"/>
    <w:rsid w:val="00D2542E"/>
    <w:rsid w:val="00D61103"/>
    <w:rsid w:val="00D83735"/>
    <w:rsid w:val="00D952EF"/>
    <w:rsid w:val="00DA18E3"/>
    <w:rsid w:val="00DC22E3"/>
    <w:rsid w:val="00DD5A9B"/>
    <w:rsid w:val="00DE5BE6"/>
    <w:rsid w:val="00E02D1B"/>
    <w:rsid w:val="00E141C9"/>
    <w:rsid w:val="00E257E6"/>
    <w:rsid w:val="00E41DB9"/>
    <w:rsid w:val="00E5096B"/>
    <w:rsid w:val="00E55B37"/>
    <w:rsid w:val="00E70353"/>
    <w:rsid w:val="00E71B33"/>
    <w:rsid w:val="00E74241"/>
    <w:rsid w:val="00E81EF8"/>
    <w:rsid w:val="00E824D0"/>
    <w:rsid w:val="00E838DC"/>
    <w:rsid w:val="00E94599"/>
    <w:rsid w:val="00EA2992"/>
    <w:rsid w:val="00EF0FA1"/>
    <w:rsid w:val="00EF46CD"/>
    <w:rsid w:val="00F0406C"/>
    <w:rsid w:val="00F076D2"/>
    <w:rsid w:val="00F21E16"/>
    <w:rsid w:val="00F301B3"/>
    <w:rsid w:val="00F52402"/>
    <w:rsid w:val="00F5774F"/>
    <w:rsid w:val="00F878FA"/>
    <w:rsid w:val="00F97842"/>
    <w:rsid w:val="00FA6D39"/>
    <w:rsid w:val="00FC3276"/>
    <w:rsid w:val="00FC71B4"/>
    <w:rsid w:val="00FF4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57185"/>
  <w15:chartTrackingRefBased/>
  <w15:docId w15:val="{0F3F982B-09D4-413D-B920-4BE17733B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842"/>
  </w:style>
  <w:style w:type="paragraph" w:styleId="Heading1">
    <w:name w:val="heading 1"/>
    <w:basedOn w:val="Normal"/>
    <w:next w:val="Normal"/>
    <w:link w:val="Heading1Char"/>
    <w:uiPriority w:val="9"/>
    <w:qFormat/>
    <w:rsid w:val="00F52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402"/>
    <w:rPr>
      <w:rFonts w:eastAsiaTheme="majorEastAsia" w:cstheme="majorBidi"/>
      <w:color w:val="272727" w:themeColor="text1" w:themeTint="D8"/>
    </w:rPr>
  </w:style>
  <w:style w:type="paragraph" w:styleId="Title">
    <w:name w:val="Title"/>
    <w:basedOn w:val="Normal"/>
    <w:next w:val="Normal"/>
    <w:link w:val="TitleChar"/>
    <w:uiPriority w:val="10"/>
    <w:qFormat/>
    <w:rsid w:val="00F52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402"/>
    <w:pPr>
      <w:spacing w:before="160"/>
      <w:jc w:val="center"/>
    </w:pPr>
    <w:rPr>
      <w:i/>
      <w:iCs/>
      <w:color w:val="404040" w:themeColor="text1" w:themeTint="BF"/>
    </w:rPr>
  </w:style>
  <w:style w:type="character" w:customStyle="1" w:styleId="QuoteChar">
    <w:name w:val="Quote Char"/>
    <w:basedOn w:val="DefaultParagraphFont"/>
    <w:link w:val="Quote"/>
    <w:uiPriority w:val="29"/>
    <w:rsid w:val="00F52402"/>
    <w:rPr>
      <w:i/>
      <w:iCs/>
      <w:color w:val="404040" w:themeColor="text1" w:themeTint="BF"/>
    </w:rPr>
  </w:style>
  <w:style w:type="paragraph" w:styleId="ListParagraph">
    <w:name w:val="List Paragraph"/>
    <w:basedOn w:val="Normal"/>
    <w:uiPriority w:val="34"/>
    <w:qFormat/>
    <w:rsid w:val="00F52402"/>
    <w:pPr>
      <w:ind w:left="720"/>
      <w:contextualSpacing/>
    </w:pPr>
  </w:style>
  <w:style w:type="character" w:styleId="IntenseEmphasis">
    <w:name w:val="Intense Emphasis"/>
    <w:basedOn w:val="DefaultParagraphFont"/>
    <w:uiPriority w:val="21"/>
    <w:qFormat/>
    <w:rsid w:val="00F52402"/>
    <w:rPr>
      <w:i/>
      <w:iCs/>
      <w:color w:val="0F4761" w:themeColor="accent1" w:themeShade="BF"/>
    </w:rPr>
  </w:style>
  <w:style w:type="paragraph" w:styleId="IntenseQuote">
    <w:name w:val="Intense Quote"/>
    <w:basedOn w:val="Normal"/>
    <w:next w:val="Normal"/>
    <w:link w:val="IntenseQuoteChar"/>
    <w:uiPriority w:val="30"/>
    <w:qFormat/>
    <w:rsid w:val="00F52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402"/>
    <w:rPr>
      <w:i/>
      <w:iCs/>
      <w:color w:val="0F4761" w:themeColor="accent1" w:themeShade="BF"/>
    </w:rPr>
  </w:style>
  <w:style w:type="character" w:styleId="IntenseReference">
    <w:name w:val="Intense Reference"/>
    <w:basedOn w:val="DefaultParagraphFont"/>
    <w:uiPriority w:val="32"/>
    <w:qFormat/>
    <w:rsid w:val="00F52402"/>
    <w:rPr>
      <w:b/>
      <w:bCs/>
      <w:smallCaps/>
      <w:color w:val="0F4761" w:themeColor="accent1" w:themeShade="BF"/>
      <w:spacing w:val="5"/>
    </w:rPr>
  </w:style>
  <w:style w:type="paragraph" w:styleId="TOCHeading">
    <w:name w:val="TOC Heading"/>
    <w:basedOn w:val="Heading1"/>
    <w:next w:val="Normal"/>
    <w:uiPriority w:val="39"/>
    <w:unhideWhenUsed/>
    <w:qFormat/>
    <w:rsid w:val="00F97842"/>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F97842"/>
    <w:pPr>
      <w:spacing w:before="120" w:after="0"/>
      <w:ind w:left="240"/>
    </w:pPr>
    <w:rPr>
      <w:b/>
      <w:bCs/>
      <w:sz w:val="22"/>
      <w:szCs w:val="22"/>
    </w:rPr>
  </w:style>
  <w:style w:type="character" w:styleId="Hyperlink">
    <w:name w:val="Hyperlink"/>
    <w:basedOn w:val="DefaultParagraphFont"/>
    <w:uiPriority w:val="99"/>
    <w:unhideWhenUsed/>
    <w:rsid w:val="00F97842"/>
    <w:rPr>
      <w:color w:val="467886" w:themeColor="hyperlink"/>
      <w:u w:val="single"/>
    </w:rPr>
  </w:style>
  <w:style w:type="table" w:styleId="GridTable4-Accent1">
    <w:name w:val="Grid Table 4 Accent 1"/>
    <w:basedOn w:val="TableNormal"/>
    <w:uiPriority w:val="49"/>
    <w:rsid w:val="00F9784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59"/>
    <w:rsid w:val="00B60F1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C4C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e0828d0-3d9c-4bbc-b972-301908298272}" enabled="1" method="Privileged" siteId="{1f4beacd-b7aa-49b2-aaa1-b8525cb257e0}" removed="0"/>
</clbl:labelList>
</file>

<file path=docProps/app.xml><?xml version="1.0" encoding="utf-8"?>
<Properties xmlns="http://schemas.openxmlformats.org/officeDocument/2006/extended-properties" xmlns:vt="http://schemas.openxmlformats.org/officeDocument/2006/docPropsVTypes">
  <Template>Normal.dotm</Template>
  <TotalTime>68</TotalTime>
  <Pages>2</Pages>
  <Words>533</Words>
  <Characters>3269</Characters>
  <Application>Microsoft Office Word</Application>
  <DocSecurity>0</DocSecurity>
  <Lines>48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Ravitheja Pothulluru</dc:creator>
  <cp:keywords/>
  <dc:description/>
  <cp:lastModifiedBy>Ravi Theja Kumar Pothulluru</cp:lastModifiedBy>
  <cp:revision>106</cp:revision>
  <cp:lastPrinted>2026-09-13T14:52:00Z</cp:lastPrinted>
  <dcterms:created xsi:type="dcterms:W3CDTF">2026-09-13T14:52:00Z</dcterms:created>
  <dcterms:modified xsi:type="dcterms:W3CDTF">2026-10-29T03:24:00Z</dcterms:modified>
  <cp:category/>
</cp:coreProperties>
</file>