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18E36" w14:textId="77777777" w:rsidR="00311EA2" w:rsidRDefault="00F16E4D">
      <w:pPr>
        <w:pStyle w:val="Title"/>
        <w:jc w:val="center"/>
      </w:pPr>
      <w:r>
        <w:t>Class 10 Individual Learning Notes</w:t>
      </w:r>
    </w:p>
    <w:p w14:paraId="38A9B098" w14:textId="77777777" w:rsidR="00311EA2" w:rsidRDefault="00F16E4D">
      <w:pPr>
        <w:pStyle w:val="Subtitle"/>
        <w:jc w:val="center"/>
      </w:pPr>
      <w:r>
        <w:t>Management of AI Products</w:t>
      </w:r>
    </w:p>
    <w:p w14:paraId="60E87E2D" w14:textId="77777777" w:rsidR="00311EA2" w:rsidRDefault="00F16E4D">
      <w:pPr>
        <w:pStyle w:val="Subtitle"/>
        <w:jc w:val="center"/>
      </w:pPr>
      <w:r>
        <w:t>Maharshi Pandit | 2025mb26121 | Recording date: October 17, 2026</w:t>
      </w:r>
    </w:p>
    <w:p w14:paraId="523D5EB6" w14:textId="77777777" w:rsidR="00311EA2" w:rsidRDefault="00F16E4D">
      <w:pPr>
        <w:pStyle w:val="Heading1"/>
      </w:pPr>
      <w:r>
        <w:t>Purpose of this note</w:t>
      </w:r>
    </w:p>
    <w:p w14:paraId="17674835" w14:textId="77777777" w:rsidR="00311EA2" w:rsidRDefault="00F16E4D">
      <w:pPr>
        <w:jc w:val="both"/>
      </w:pPr>
      <w:r>
        <w:t>This note records what I understood from Class 10. It is not a summary of the recording or slides. I have focused on Artificial Intelligence product pricing, value measurement, cost structure, unit economics, willingness to pay, scaling, and the Product Manager’s responsibility for commercial sustainability. Artificial Intelligence has been used only to organise and improve the writing; the final reflection should represent my own understanding.</w:t>
      </w:r>
    </w:p>
    <w:p w14:paraId="7049D5CB" w14:textId="77777777" w:rsidR="00311EA2" w:rsidRDefault="00F16E4D">
      <w:pPr>
        <w:pStyle w:val="Heading1"/>
      </w:pPr>
      <w:r>
        <w:t>1. My overall learning from Class 10</w:t>
      </w:r>
    </w:p>
    <w:p w14:paraId="5B9BC3F5" w14:textId="77777777" w:rsidR="00311EA2" w:rsidRDefault="00F16E4D">
      <w:pPr>
        <w:jc w:val="both"/>
      </w:pPr>
      <w:r>
        <w:t>My main learning from Class 10 is that a useful Artificial Intelligence product is not automatically a sustainable product. The Product Manager must understand who receives value, who pays, what the product costs to operate, and whether the economics remain acceptable as usage increases.</w:t>
      </w:r>
    </w:p>
    <w:p w14:paraId="01B9678C" w14:textId="77777777" w:rsidR="00311EA2" w:rsidRDefault="00F16E4D">
      <w:pPr>
        <w:jc w:val="both"/>
      </w:pPr>
      <w:r>
        <w:t>Before this class, I thought about pricing mainly as a business or sales decision made after development. I now understand that pricing, cost, product scope, user behaviour, model architecture, and value measurement influence each other from the beginning.</w:t>
      </w:r>
    </w:p>
    <w:p w14:paraId="40C61BA8" w14:textId="77777777" w:rsidR="00311EA2" w:rsidRDefault="00F16E4D">
      <w:pPr>
        <w:pStyle w:val="Heading1"/>
      </w:pPr>
      <w:r>
        <w:t>2. Pricing should follow customer value</w:t>
      </w:r>
    </w:p>
    <w:p w14:paraId="0B1FE5E9" w14:textId="77777777" w:rsidR="00311EA2" w:rsidRDefault="00F16E4D">
      <w:pPr>
        <w:jc w:val="both"/>
      </w:pPr>
      <w:r>
        <w:t>The price of an Artificial Intelligence product should not be based only on development cost or competitor price. The Product Manager should first understand the customer outcome, the alternative process, the cost of the present problem, and the share of value that the product can reasonably capture.</w:t>
      </w:r>
    </w:p>
    <w:p w14:paraId="61C3D902" w14:textId="77777777" w:rsidR="00311EA2" w:rsidRDefault="00F16E4D">
      <w:pPr>
        <w:jc w:val="both"/>
      </w:pPr>
      <w:r>
        <w:t>If the product saves employee time, reduces loss, improves conversion, prevents downtime, or increases decision quality, the value should be estimated using a credible baseline. The team should avoid claiming value that cannot be attributed to the product.</w:t>
      </w:r>
    </w:p>
    <w:p w14:paraId="316918DD" w14:textId="77777777" w:rsidR="00311EA2" w:rsidRDefault="00F16E4D">
      <w:pPr>
        <w:pStyle w:val="Heading1"/>
      </w:pPr>
      <w:r>
        <w:t>3. Cost-based, competitor-based, and value-based pricing</w:t>
      </w:r>
    </w:p>
    <w:p w14:paraId="27EBA8C8" w14:textId="77777777" w:rsidR="00311EA2" w:rsidRDefault="00F16E4D">
      <w:pPr>
        <w:jc w:val="both"/>
      </w:pPr>
      <w:r>
        <w:t>I understood three different pricing approaches. Cost-based pricing begins with the cost and adds a margin. Competitor-based pricing uses the market as a reference. Value-based pricing starts with the customer outcome and willingness to pay. None of these should be used mechanically.</w:t>
      </w:r>
    </w:p>
    <w:p w14:paraId="16B6D9F9" w14:textId="77777777" w:rsidR="00311EA2" w:rsidRDefault="00F16E4D">
      <w:pPr>
        <w:jc w:val="both"/>
      </w:pPr>
      <w:r>
        <w:t>Cost-based pricing may ignore the customer’s high value, while value-based pricing may fail if the team cannot prove the value. Competitor pricing may be misleading when products include different workflows, service levels, data controls, or Human-in-the-Loop support.</w:t>
      </w:r>
    </w:p>
    <w:p w14:paraId="7FD4ECB6" w14:textId="77777777" w:rsidR="00311EA2" w:rsidRDefault="00F16E4D">
      <w:pPr>
        <w:pStyle w:val="Heading1"/>
      </w:pPr>
      <w:r>
        <w:lastRenderedPageBreak/>
        <w:t>4. Artificial Intelligence cost structure</w:t>
      </w:r>
    </w:p>
    <w:p w14:paraId="2689F85B" w14:textId="77777777" w:rsidR="00311EA2" w:rsidRDefault="00F16E4D">
      <w:pPr>
        <w:jc w:val="both"/>
      </w:pPr>
      <w:r>
        <w:t>Artificial Intelligence products have costs that may increase with every use. These can include model or Application Programming Interface calls, data ingestion, storage, retrieval, image or document processing, monitoring, security, human review, customer support, integration, and professional services.</w:t>
      </w:r>
    </w:p>
    <w:p w14:paraId="160986D0" w14:textId="77777777" w:rsidR="00311EA2" w:rsidRDefault="00F16E4D">
      <w:pPr>
        <w:jc w:val="both"/>
      </w:pPr>
      <w:r>
        <w:t>A product may appear profitable during a small prototype because usage is low and manual support is hidden. At scale, long prompts, repeated retries, expensive models, large context windows, and human escalation can increase cost significantly. Therefore, the Product Manager should estimate the complete cost-to-serve, not only the model-call price.</w:t>
      </w:r>
    </w:p>
    <w:p w14:paraId="0685A58B" w14:textId="77777777" w:rsidR="00311EA2" w:rsidRDefault="00F16E4D">
      <w:pPr>
        <w:pStyle w:val="Heading1"/>
      </w:pPr>
      <w:r>
        <w:t>5. Unit economics</w:t>
      </w:r>
    </w:p>
    <w:p w14:paraId="502C8004" w14:textId="77777777" w:rsidR="00311EA2" w:rsidRDefault="00F16E4D">
      <w:pPr>
        <w:jc w:val="both"/>
      </w:pPr>
      <w:r>
        <w:t>Unit economics helped me connect product use with commercial sustainability. The product team should define a meaningful unit, such as one customer, one project, one processed document, one risk register, one prediction, or one successful decision. Revenue or value per unit should be compared with the variable and allocated operating cost per unit.</w:t>
      </w:r>
    </w:p>
    <w:p w14:paraId="5637EDF9" w14:textId="77777777" w:rsidR="00311EA2" w:rsidRDefault="00F16E4D">
      <w:pPr>
        <w:jc w:val="both"/>
      </w:pPr>
      <w:r>
        <w:t>A positive gross margin does not automatically guarantee a sustainable business because customer acquisition, implementation, support, sales, and fixed platform costs may still be high. However, unit economics provides an early indication of whether greater usage improves or worsens the business.</w:t>
      </w:r>
    </w:p>
    <w:p w14:paraId="3AB13F1A" w14:textId="77777777" w:rsidR="00311EA2" w:rsidRDefault="00F16E4D">
      <w:pPr>
        <w:pStyle w:val="Heading1"/>
      </w:pPr>
      <w:r>
        <w:t>6. Choosing the pricing unit</w:t>
      </w:r>
    </w:p>
    <w:p w14:paraId="3CCE9386" w14:textId="77777777" w:rsidR="00311EA2" w:rsidRDefault="00F16E4D">
      <w:pPr>
        <w:jc w:val="both"/>
      </w:pPr>
      <w:r>
        <w:t>I understood that the pricing unit influences customer behaviour. Per-request pricing may make customers avoid usage. Per-seat pricing may not match value when only a few users operate the product for a large organisation. Outcome-based pricing may align with value but can create measurement and attribution disputes.</w:t>
      </w:r>
    </w:p>
    <w:p w14:paraId="5BFE55AB" w14:textId="77777777" w:rsidR="00311EA2" w:rsidRDefault="00F16E4D">
      <w:pPr>
        <w:jc w:val="both"/>
      </w:pPr>
      <w:r>
        <w:t>The Product Manager should choose a unit that is understandable, measurable, difficult to manipulate, and reasonably connected to customer value. Hybrid pricing may combine a platform subscription with usage or service charges.</w:t>
      </w:r>
    </w:p>
    <w:p w14:paraId="472960BB" w14:textId="77777777" w:rsidR="00311EA2" w:rsidRDefault="00F16E4D">
      <w:pPr>
        <w:pStyle w:val="Heading1"/>
      </w:pPr>
      <w:r>
        <w:t>7. Willingness to pay and customer segment</w:t>
      </w:r>
    </w:p>
    <w:p w14:paraId="1970B715" w14:textId="77777777" w:rsidR="00311EA2" w:rsidRDefault="00F16E4D">
      <w:pPr>
        <w:jc w:val="both"/>
      </w:pPr>
      <w:r>
        <w:t>Different customer segments may receive different value from the same capability. A large regulated organisation may value audit, security, integration, and support more than a small team. A small customer may prefer a lower-cost standard product with limited configuration.</w:t>
      </w:r>
    </w:p>
    <w:p w14:paraId="142C6F9B" w14:textId="77777777" w:rsidR="00311EA2" w:rsidRDefault="00F16E4D">
      <w:pPr>
        <w:jc w:val="both"/>
      </w:pPr>
      <w:r>
        <w:t>Willingness to pay should be tested through discovery, alternatives, pricing conversations, pilot conversion, and actual purchase behaviour. Positive reactions to a free prototype do not prove willingness to pay.</w:t>
      </w:r>
    </w:p>
    <w:p w14:paraId="07C25206" w14:textId="77777777" w:rsidR="00311EA2" w:rsidRDefault="00F16E4D">
      <w:pPr>
        <w:pStyle w:val="Heading1"/>
      </w:pPr>
      <w:r>
        <w:t>8. Build, buy, and provider economics</w:t>
      </w:r>
    </w:p>
    <w:p w14:paraId="44D152F2" w14:textId="77777777" w:rsidR="00311EA2" w:rsidRDefault="00F16E4D">
      <w:pPr>
        <w:jc w:val="both"/>
      </w:pPr>
      <w:r>
        <w:t>The build-versus-buy decision also has an economic dimension. An external model can accelerate learning but may create uncertain future cost, vendor lock-in, usage limits, or pricing changes. Building internally may require higher fixed cost but provide greater control at sufficient scale.</w:t>
      </w:r>
    </w:p>
    <w:p w14:paraId="2D67F28B" w14:textId="77777777" w:rsidR="00311EA2" w:rsidRDefault="00F16E4D">
      <w:pPr>
        <w:jc w:val="both"/>
      </w:pPr>
      <w:r>
        <w:lastRenderedPageBreak/>
        <w:t>The Product Manager should compare total cost over time, including integration, evaluation, monitoring, support, migration, and the cost of switching. A technically suitable provider may become commercially unsuitable if the product cannot protect margin or service continuity.</w:t>
      </w:r>
    </w:p>
    <w:p w14:paraId="07D0962A" w14:textId="77777777" w:rsidR="00311EA2" w:rsidRDefault="00F16E4D">
      <w:pPr>
        <w:pStyle w:val="Heading1"/>
      </w:pPr>
      <w:r>
        <w:t>9. Scaling can improve or damage economics</w:t>
      </w:r>
    </w:p>
    <w:p w14:paraId="681D90AA" w14:textId="77777777" w:rsidR="00311EA2" w:rsidRDefault="00F16E4D">
      <w:pPr>
        <w:jc w:val="both"/>
      </w:pPr>
      <w:r>
        <w:t>Traditional software often becomes cheaper per additional customer after the platform is built. Artificial Intelligence products may retain significant variable cost because every interaction uses computation and sometimes human review. Therefore, scaling usage does not automatically improve margin.</w:t>
      </w:r>
    </w:p>
    <w:p w14:paraId="5143A791" w14:textId="77777777" w:rsidR="00311EA2" w:rsidRDefault="00F16E4D">
      <w:pPr>
        <w:jc w:val="both"/>
      </w:pPr>
      <w:r>
        <w:t>The team may need smaller models, caching, retrieval, fixed rules, shorter context, batching, confidence thresholds, or tiered service to control cost. These design decisions should protect customer value rather than simply reduce model expense.</w:t>
      </w:r>
    </w:p>
    <w:p w14:paraId="2B804F67" w14:textId="77777777" w:rsidR="00311EA2" w:rsidRDefault="00F16E4D">
      <w:pPr>
        <w:pStyle w:val="Heading1"/>
      </w:pPr>
      <w:r>
        <w:t>10. Product packaging and versions</w:t>
      </w:r>
    </w:p>
    <w:p w14:paraId="7472E134" w14:textId="77777777" w:rsidR="00311EA2" w:rsidRDefault="00F16E4D">
      <w:pPr>
        <w:jc w:val="both"/>
      </w:pPr>
      <w:r>
        <w:t>Packaging allows the team to serve different needs without creating a separate product for every customer. A standard tier may provide the core workflow, while higher tiers may provide advanced analytics, integrations, security, audit, support, or higher usage limits.</w:t>
      </w:r>
    </w:p>
    <w:p w14:paraId="76369055" w14:textId="77777777" w:rsidR="00311EA2" w:rsidRDefault="00F16E4D">
      <w:pPr>
        <w:jc w:val="both"/>
      </w:pPr>
      <w:r>
        <w:t>The Product Manager should avoid using packaging to hide essential safety or governance features. Human control, privacy, and basic reliability should remain part of the core product rather than optional premium features.</w:t>
      </w:r>
    </w:p>
    <w:p w14:paraId="264C043E" w14:textId="77777777" w:rsidR="00311EA2" w:rsidRDefault="00F16E4D">
      <w:pPr>
        <w:pStyle w:val="Heading1"/>
      </w:pPr>
      <w:r>
        <w:t>11. Applying the learning to RiskReview AI</w:t>
      </w:r>
    </w:p>
    <w:p w14:paraId="4D4B7FA3" w14:textId="77777777" w:rsidR="00311EA2" w:rsidRDefault="00F16E4D">
      <w:pPr>
        <w:jc w:val="both"/>
      </w:pPr>
      <w:r>
        <w:t>For RiskReview AI, a possible internal value model is based on monthly review-preparation time saved, reduction in register rework, improvement in completeness, and earlier identification of weak controls. The product should not claim that it directly prevents every project loss because that outcome depends on the project team’s decisions and execution.</w:t>
      </w:r>
    </w:p>
    <w:p w14:paraId="646C6422" w14:textId="77777777" w:rsidR="00311EA2" w:rsidRDefault="00F16E4D">
      <w:pPr>
        <w:jc w:val="both"/>
      </w:pPr>
      <w:r>
        <w:t>A possible external pricing structure could combine an annual organisation or portfolio subscription with usage bands based on the number of active projects or risk registers. Implementation, integration, and specialised configuration may be charged separately. The team should estimate model-processing cost, human-review effort, security, monitoring, support, and professional services before recommending a commercial model.</w:t>
      </w:r>
    </w:p>
    <w:p w14:paraId="2D4A56FA" w14:textId="77777777" w:rsidR="00311EA2" w:rsidRDefault="00F16E4D">
      <w:pPr>
        <w:jc w:val="both"/>
      </w:pPr>
      <w:r>
        <w:t>The initial prototype should prove usefulness and workflow value before the team proposes a precise market price. The first economic question is whether the benefit of faster and better review preparation is greater than the cost of processing, verification, and adoption.</w:t>
      </w:r>
    </w:p>
    <w:p w14:paraId="17F77A82" w14:textId="77777777" w:rsidR="00311EA2" w:rsidRDefault="00F16E4D">
      <w:pPr>
        <w:pStyle w:val="Heading1"/>
      </w:pPr>
      <w:r>
        <w:t>12. How my thinking changed</w:t>
      </w:r>
    </w:p>
    <w:p w14:paraId="0C237DDC" w14:textId="77777777" w:rsidR="00311EA2" w:rsidRDefault="00F16E4D">
      <w:pPr>
        <w:pStyle w:val="ListBullet"/>
      </w:pPr>
      <w:r>
        <w:t>I moved from seeing pricing as a post-development sales decision to seeing pricing as part of product design.</w:t>
      </w:r>
    </w:p>
    <w:p w14:paraId="48A00FFA" w14:textId="77777777" w:rsidR="00311EA2" w:rsidRDefault="00F16E4D">
      <w:pPr>
        <w:pStyle w:val="ListBullet"/>
      </w:pPr>
      <w:r>
        <w:t>I now distinguish customer value from the product’s cost of delivery.</w:t>
      </w:r>
    </w:p>
    <w:p w14:paraId="3F91C65B" w14:textId="77777777" w:rsidR="00311EA2" w:rsidRDefault="00F16E4D">
      <w:pPr>
        <w:pStyle w:val="ListBullet"/>
      </w:pPr>
      <w:r>
        <w:t>I understand that Artificial Intelligence creates significant variable and Human-in-the-Loop costs.</w:t>
      </w:r>
    </w:p>
    <w:p w14:paraId="56737769" w14:textId="77777777" w:rsidR="00311EA2" w:rsidRDefault="00F16E4D">
      <w:pPr>
        <w:pStyle w:val="ListBullet"/>
      </w:pPr>
      <w:r>
        <w:t>I now see the pricing unit as a factor that can change customer behaviour.</w:t>
      </w:r>
    </w:p>
    <w:p w14:paraId="26B8D5A2" w14:textId="77777777" w:rsidR="00311EA2" w:rsidRDefault="00F16E4D">
      <w:pPr>
        <w:pStyle w:val="ListBullet"/>
      </w:pPr>
      <w:r>
        <w:t>I understand that free-prototype interest does not prove willingness to pay.</w:t>
      </w:r>
    </w:p>
    <w:p w14:paraId="1BE85D34" w14:textId="77777777" w:rsidR="00311EA2" w:rsidRDefault="00F16E4D">
      <w:pPr>
        <w:pStyle w:val="ListBullet"/>
      </w:pPr>
      <w:r>
        <w:lastRenderedPageBreak/>
        <w:t>I now connect model architecture, provider choice, packaging, and margin.</w:t>
      </w:r>
    </w:p>
    <w:p w14:paraId="3C4C53F4" w14:textId="77777777" w:rsidR="00311EA2" w:rsidRDefault="00F16E4D">
      <w:pPr>
        <w:pStyle w:val="Heading1"/>
      </w:pPr>
      <w:r>
        <w:t>13. My practical application</w:t>
      </w:r>
    </w:p>
    <w:p w14:paraId="573D9D18" w14:textId="77777777" w:rsidR="00311EA2" w:rsidRDefault="00F16E4D">
      <w:pPr>
        <w:jc w:val="both"/>
      </w:pPr>
      <w:r>
        <w:t>For every Artificial Intelligence product idea, I will define the value unit, pricing unit, main variable costs, fixed costs, support cost, and expected customer outcome. I will test assumptions using discovery and pilot evidence rather than selecting a price from competitors alone.</w:t>
      </w:r>
    </w:p>
    <w:p w14:paraId="71C0794F" w14:textId="77777777" w:rsidR="00311EA2" w:rsidRDefault="00F16E4D">
      <w:pPr>
        <w:jc w:val="both"/>
      </w:pPr>
      <w:r>
        <w:t>For RiskReview AI, I will compare the present manual review cost with the proposed product cost and will disclose manual steps that remain in the prototype. I will avoid claiming savings unless the team can measure preparation time and useful findings against a baseline.</w:t>
      </w:r>
    </w:p>
    <w:p w14:paraId="7FFAB27F" w14:textId="77777777" w:rsidR="00311EA2" w:rsidRDefault="00F16E4D">
      <w:pPr>
        <w:pStyle w:val="Heading1"/>
      </w:pPr>
      <w:r>
        <w:t>14. Questions and limitations I noticed</w:t>
      </w:r>
    </w:p>
    <w:p w14:paraId="4F9EBA6E" w14:textId="77777777" w:rsidR="00311EA2" w:rsidRDefault="00F16E4D">
      <w:pPr>
        <w:pStyle w:val="ListBullet"/>
      </w:pPr>
      <w:r>
        <w:t>How should a Product Manager price a product when the value is risk reduction rather than direct revenue?</w:t>
      </w:r>
    </w:p>
    <w:p w14:paraId="1762F763" w14:textId="77777777" w:rsidR="00311EA2" w:rsidRDefault="00F16E4D">
      <w:pPr>
        <w:pStyle w:val="ListBullet"/>
      </w:pPr>
      <w:r>
        <w:t>Which pricing unit best represents the value of RiskReview AI: users, projects, registers, or portfolios?</w:t>
      </w:r>
    </w:p>
    <w:p w14:paraId="4AB95A3F" w14:textId="77777777" w:rsidR="00311EA2" w:rsidRDefault="00F16E4D">
      <w:pPr>
        <w:pStyle w:val="ListBullet"/>
      </w:pPr>
      <w:r>
        <w:t>How should provider-price changes be passed to customers without damaging trust?</w:t>
      </w:r>
    </w:p>
    <w:p w14:paraId="43C7EF17" w14:textId="77777777" w:rsidR="00311EA2" w:rsidRDefault="00F16E4D">
      <w:pPr>
        <w:pStyle w:val="ListBullet"/>
      </w:pPr>
      <w:r>
        <w:t>When does Human-in-the-Loop cost make an otherwise useful product commercially unattractive?</w:t>
      </w:r>
    </w:p>
    <w:p w14:paraId="682C14C7" w14:textId="77777777" w:rsidR="00311EA2" w:rsidRDefault="00F16E4D">
      <w:pPr>
        <w:pStyle w:val="ListBullet"/>
      </w:pPr>
      <w:r>
        <w:t>How can the team test willingness to pay before a production-ready product exists?</w:t>
      </w:r>
    </w:p>
    <w:p w14:paraId="7E2604CF" w14:textId="77777777" w:rsidR="00311EA2" w:rsidRDefault="00F16E4D">
      <w:pPr>
        <w:pStyle w:val="Heading1"/>
      </w:pPr>
      <w:r>
        <w:t>15. Final reflection</w:t>
      </w:r>
    </w:p>
    <w:p w14:paraId="13937655" w14:textId="77777777" w:rsidR="00311EA2" w:rsidRDefault="00F16E4D">
      <w:pPr>
        <w:jc w:val="both"/>
      </w:pPr>
      <w:r>
        <w:t>Class 10 helped me understand that commercial sustainability is part of Artificial Intelligence product management. A product can be desirable, technically feasible, and accurate but still fail because the operating cost, support burden, or pricing model is unsuitable.</w:t>
      </w:r>
    </w:p>
    <w:p w14:paraId="1B2F5B8B" w14:textId="77777777" w:rsidR="00311EA2" w:rsidRDefault="00F16E4D">
      <w:pPr>
        <w:jc w:val="both"/>
      </w:pPr>
      <w:r>
        <w:t>My key takeaway is that the Product Manager must connect customer value, willingness to pay, cost-to-serve, unit economics, and product architecture. Pricing should represent the value delivered while protecting long-term product quality, trust, and sustainability.</w:t>
      </w:r>
    </w:p>
    <w:p w14:paraId="02D7B3F9" w14:textId="77777777" w:rsidR="00311EA2" w:rsidRDefault="00F16E4D">
      <w:pPr>
        <w:pStyle w:val="Heading1"/>
      </w:pPr>
      <w:r>
        <w:t>Personal review before submission</w:t>
      </w:r>
    </w:p>
    <w:p w14:paraId="28200E15" w14:textId="77777777" w:rsidR="00311EA2" w:rsidRDefault="00F16E4D">
      <w:pPr>
        <w:jc w:val="both"/>
      </w:pPr>
      <w:r>
        <w:t>Before submitting the complete individual assignment, I will add one genuine example of cost, pricing, or value from my work, confirm that the RiskReview AI economics reflect my understanding, and remove any sentence that does not sound natural in my voice.</w:t>
      </w:r>
    </w:p>
    <w:sectPr w:rsidR="00311EA2" w:rsidSect="00034616">
      <w:headerReference w:type="even" r:id="rId8"/>
      <w:headerReference w:type="default" r:id="rId9"/>
      <w:footerReference w:type="default" r:id="rId10"/>
      <w:headerReference w:type="first" r:id="rId11"/>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17C61" w14:textId="77777777" w:rsidR="00F16E4D" w:rsidRDefault="00F16E4D">
      <w:pPr>
        <w:spacing w:after="0" w:line="240" w:lineRule="auto"/>
      </w:pPr>
      <w:r>
        <w:separator/>
      </w:r>
    </w:p>
  </w:endnote>
  <w:endnote w:type="continuationSeparator" w:id="0">
    <w:p w14:paraId="0CA82D71" w14:textId="77777777" w:rsidR="00F16E4D" w:rsidRDefault="00F16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E355" w14:textId="395062CE" w:rsidR="00311EA2" w:rsidRDefault="00F16E4D">
    <w:pPr>
      <w:pStyle w:val="Footer"/>
      <w:jc w:val="center"/>
    </w:pPr>
    <w:r>
      <w:fldChar w:fldCharType="begin"/>
    </w:r>
    <w:r>
      <w:instrText>PAGE</w:instrText>
    </w:r>
    <w:r>
      <w:fldChar w:fldCharType="separate"/>
    </w:r>
    <w:r w:rsidR="00BD17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73B0F" w14:textId="77777777" w:rsidR="00F16E4D" w:rsidRDefault="00F16E4D">
      <w:pPr>
        <w:spacing w:after="0" w:line="240" w:lineRule="auto"/>
      </w:pPr>
      <w:r>
        <w:separator/>
      </w:r>
    </w:p>
  </w:footnote>
  <w:footnote w:type="continuationSeparator" w:id="0">
    <w:p w14:paraId="5C03F777" w14:textId="77777777" w:rsidR="00F16E4D" w:rsidRDefault="00F16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BAB31" w14:textId="25613601" w:rsidR="00BD1761" w:rsidRDefault="00BD1761">
    <w:pPr>
      <w:pStyle w:val="Header"/>
    </w:pPr>
    <w:r>
      <w:rPr>
        <w:noProof/>
      </w:rPr>
      <mc:AlternateContent>
        <mc:Choice Requires="wps">
          <w:drawing>
            <wp:anchor distT="0" distB="0" distL="0" distR="0" simplePos="0" relativeHeight="251659264" behindDoc="0" locked="0" layoutInCell="1" allowOverlap="1" wp14:anchorId="1D619BA8" wp14:editId="78E6B7F4">
              <wp:simplePos x="635" y="635"/>
              <wp:positionH relativeFrom="page">
                <wp:align>center</wp:align>
              </wp:positionH>
              <wp:positionV relativeFrom="page">
                <wp:align>top</wp:align>
              </wp:positionV>
              <wp:extent cx="1992630" cy="368300"/>
              <wp:effectExtent l="0" t="0" r="7620" b="12700"/>
              <wp:wrapNone/>
              <wp:docPr id="420719588" name="Text Box 2" descr="Classification: Internal Purpo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92630" cy="368300"/>
                      </a:xfrm>
                      <a:prstGeom prst="rect">
                        <a:avLst/>
                      </a:prstGeom>
                      <a:noFill/>
                      <a:ln>
                        <a:noFill/>
                      </a:ln>
                    </wps:spPr>
                    <wps:txbx>
                      <w:txbxContent>
                        <w:p w14:paraId="11674BBA" w14:textId="42D0C89B" w:rsidR="00BD1761" w:rsidRPr="00BD1761" w:rsidRDefault="00BD1761" w:rsidP="00BD1761">
                          <w:pPr>
                            <w:spacing w:after="0"/>
                            <w:rPr>
                              <w:rFonts w:ascii="Verdana" w:eastAsia="Verdana" w:hAnsi="Verdana" w:cs="Verdana"/>
                              <w:noProof/>
                              <w:sz w:val="20"/>
                              <w:szCs w:val="20"/>
                            </w:rPr>
                          </w:pPr>
                          <w:r w:rsidRPr="00BD1761">
                            <w:rPr>
                              <w:rFonts w:ascii="Verdana" w:eastAsia="Verdana" w:hAnsi="Verdana" w:cs="Verdana"/>
                              <w:noProof/>
                              <w:sz w:val="20"/>
                              <w:szCs w:val="20"/>
                            </w:rPr>
                            <w:t>Classification: Internal Purpose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D619BA8" id="_x0000_t202" coordsize="21600,21600" o:spt="202" path="m,l,21600r21600,l21600,xe">
              <v:stroke joinstyle="miter"/>
              <v:path gradientshapeok="t" o:connecttype="rect"/>
            </v:shapetype>
            <v:shape id="Text Box 2" o:spid="_x0000_s1026" type="#_x0000_t202" alt="Classification: Internal Purpose" style="position:absolute;margin-left:0;margin-top:0;width:156.9pt;height:29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" filled="f" stroked="f">
              <v:fill o:detectmouseclick="t"/>
              <v:textbox style="mso-fit-shape-to-text:t" inset="0,15pt,0,0">
                <w:txbxContent>
                  <w:p w14:paraId="11674BBA" w14:textId="42D0C89B" w:rsidR="00BD1761" w:rsidRPr="00BD1761" w:rsidRDefault="00BD1761" w:rsidP="00BD1761">
                    <w:pPr>
                      <w:spacing w:after="0"/>
                      <w:rPr>
                        <w:rFonts w:ascii="Verdana" w:eastAsia="Verdana" w:hAnsi="Verdana" w:cs="Verdana"/>
                        <w:noProof/>
                        <w:sz w:val="20"/>
                        <w:szCs w:val="20"/>
                      </w:rPr>
                    </w:pPr>
                    <w:r w:rsidRPr="00BD1761">
                      <w:rPr>
                        <w:rFonts w:ascii="Verdana" w:eastAsia="Verdana" w:hAnsi="Verdana" w:cs="Verdana"/>
                        <w:noProof/>
                        <w:sz w:val="20"/>
                        <w:szCs w:val="20"/>
                      </w:rPr>
                      <w:t>Classification: Internal Purpose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40660" w14:textId="210BE399" w:rsidR="00BD1761" w:rsidRDefault="00BD1761">
    <w:pPr>
      <w:pStyle w:val="Header"/>
    </w:pPr>
    <w:r>
      <w:rPr>
        <w:noProof/>
      </w:rPr>
      <mc:AlternateContent>
        <mc:Choice Requires="wps">
          <w:drawing>
            <wp:anchor distT="0" distB="0" distL="0" distR="0" simplePos="0" relativeHeight="251660288" behindDoc="0" locked="0" layoutInCell="1" allowOverlap="1" wp14:anchorId="60272060" wp14:editId="69ADFDAB">
              <wp:simplePos x="635" y="635"/>
              <wp:positionH relativeFrom="page">
                <wp:align>center</wp:align>
              </wp:positionH>
              <wp:positionV relativeFrom="page">
                <wp:align>top</wp:align>
              </wp:positionV>
              <wp:extent cx="1992630" cy="368300"/>
              <wp:effectExtent l="0" t="0" r="7620" b="12700"/>
              <wp:wrapNone/>
              <wp:docPr id="967538486" name="Text Box 3" descr="Classification: Internal Purpo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92630" cy="368300"/>
                      </a:xfrm>
                      <a:prstGeom prst="rect">
                        <a:avLst/>
                      </a:prstGeom>
                      <a:noFill/>
                      <a:ln>
                        <a:noFill/>
                      </a:ln>
                    </wps:spPr>
                    <wps:txbx>
                      <w:txbxContent>
                        <w:p w14:paraId="38303267" w14:textId="2C0A5DE7" w:rsidR="00BD1761" w:rsidRPr="00BD1761" w:rsidRDefault="00BD1761" w:rsidP="00BD1761">
                          <w:pPr>
                            <w:spacing w:after="0"/>
                            <w:rPr>
                              <w:rFonts w:ascii="Verdana" w:eastAsia="Verdana" w:hAnsi="Verdana" w:cs="Verdana"/>
                              <w:noProof/>
                              <w:sz w:val="20"/>
                              <w:szCs w:val="20"/>
                            </w:rPr>
                          </w:pPr>
                          <w:r w:rsidRPr="00BD1761">
                            <w:rPr>
                              <w:rFonts w:ascii="Verdana" w:eastAsia="Verdana" w:hAnsi="Verdana" w:cs="Verdana"/>
                              <w:noProof/>
                              <w:sz w:val="20"/>
                              <w:szCs w:val="20"/>
                            </w:rPr>
                            <w:t>Classification: Internal Purpose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0272060" id="_x0000_t202" coordsize="21600,21600" o:spt="202" path="m,l,21600r21600,l21600,xe">
              <v:stroke joinstyle="miter"/>
              <v:path gradientshapeok="t" o:connecttype="rect"/>
            </v:shapetype>
            <v:shape id="Text Box 3" o:spid="_x0000_s1027" type="#_x0000_t202" alt="Classification: Internal Purpose" style="position:absolute;margin-left:0;margin-top:0;width:156.9pt;height:29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" filled="f" stroked="f">
              <v:fill o:detectmouseclick="t"/>
              <v:textbox style="mso-fit-shape-to-text:t" inset="0,15pt,0,0">
                <w:txbxContent>
                  <w:p w14:paraId="38303267" w14:textId="2C0A5DE7" w:rsidR="00BD1761" w:rsidRPr="00BD1761" w:rsidRDefault="00BD1761" w:rsidP="00BD1761">
                    <w:pPr>
                      <w:spacing w:after="0"/>
                      <w:rPr>
                        <w:rFonts w:ascii="Verdana" w:eastAsia="Verdana" w:hAnsi="Verdana" w:cs="Verdana"/>
                        <w:noProof/>
                        <w:sz w:val="20"/>
                        <w:szCs w:val="20"/>
                      </w:rPr>
                    </w:pPr>
                    <w:r w:rsidRPr="00BD1761">
                      <w:rPr>
                        <w:rFonts w:ascii="Verdana" w:eastAsia="Verdana" w:hAnsi="Verdana" w:cs="Verdana"/>
                        <w:noProof/>
                        <w:sz w:val="20"/>
                        <w:szCs w:val="20"/>
                      </w:rPr>
                      <w:t>Classification: Internal Purpose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F420D" w14:textId="067BE007" w:rsidR="00BD1761" w:rsidRDefault="00BD1761">
    <w:pPr>
      <w:pStyle w:val="Header"/>
    </w:pPr>
    <w:r>
      <w:rPr>
        <w:noProof/>
      </w:rPr>
      <mc:AlternateContent>
        <mc:Choice Requires="wps">
          <w:drawing>
            <wp:anchor distT="0" distB="0" distL="0" distR="0" simplePos="0" relativeHeight="251658240" behindDoc="0" locked="0" layoutInCell="1" allowOverlap="1" wp14:anchorId="594E1B12" wp14:editId="20CE397C">
              <wp:simplePos x="635" y="635"/>
              <wp:positionH relativeFrom="page">
                <wp:align>center</wp:align>
              </wp:positionH>
              <wp:positionV relativeFrom="page">
                <wp:align>top</wp:align>
              </wp:positionV>
              <wp:extent cx="1992630" cy="368300"/>
              <wp:effectExtent l="0" t="0" r="7620" b="12700"/>
              <wp:wrapNone/>
              <wp:docPr id="302888686" name="Text Box 1" descr="Classification: Internal Purpo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92630" cy="368300"/>
                      </a:xfrm>
                      <a:prstGeom prst="rect">
                        <a:avLst/>
                      </a:prstGeom>
                      <a:noFill/>
                      <a:ln>
                        <a:noFill/>
                      </a:ln>
                    </wps:spPr>
                    <wps:txbx>
                      <w:txbxContent>
                        <w:p w14:paraId="642A1650" w14:textId="3DA6EF6D" w:rsidR="00BD1761" w:rsidRPr="00BD1761" w:rsidRDefault="00BD1761" w:rsidP="00BD1761">
                          <w:pPr>
                            <w:spacing w:after="0"/>
                            <w:rPr>
                              <w:rFonts w:ascii="Verdana" w:eastAsia="Verdana" w:hAnsi="Verdana" w:cs="Verdana"/>
                              <w:noProof/>
                              <w:sz w:val="20"/>
                              <w:szCs w:val="20"/>
                            </w:rPr>
                          </w:pPr>
                          <w:r w:rsidRPr="00BD1761">
                            <w:rPr>
                              <w:rFonts w:ascii="Verdana" w:eastAsia="Verdana" w:hAnsi="Verdana" w:cs="Verdana"/>
                              <w:noProof/>
                              <w:sz w:val="20"/>
                              <w:szCs w:val="20"/>
                            </w:rPr>
                            <w:t>Classification: Internal Purpose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94E1B12" id="_x0000_t202" coordsize="21600,21600" o:spt="202" path="m,l,21600r21600,l21600,xe">
              <v:stroke joinstyle="miter"/>
              <v:path gradientshapeok="t" o:connecttype="rect"/>
            </v:shapetype>
            <v:shape id="Text Box 1" o:spid="_x0000_s1028" type="#_x0000_t202" alt="Classification: Internal Purpose" style="position:absolute;margin-left:0;margin-top:0;width:156.9pt;height:29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" filled="f" stroked="f">
              <v:fill o:detectmouseclick="t"/>
              <v:textbox style="mso-fit-shape-to-text:t" inset="0,15pt,0,0">
                <w:txbxContent>
                  <w:p w14:paraId="642A1650" w14:textId="3DA6EF6D" w:rsidR="00BD1761" w:rsidRPr="00BD1761" w:rsidRDefault="00BD1761" w:rsidP="00BD1761">
                    <w:pPr>
                      <w:spacing w:after="0"/>
                      <w:rPr>
                        <w:rFonts w:ascii="Verdana" w:eastAsia="Verdana" w:hAnsi="Verdana" w:cs="Verdana"/>
                        <w:noProof/>
                        <w:sz w:val="20"/>
                        <w:szCs w:val="20"/>
                      </w:rPr>
                    </w:pPr>
                    <w:r w:rsidRPr="00BD1761">
                      <w:rPr>
                        <w:rFonts w:ascii="Verdana" w:eastAsia="Verdana" w:hAnsi="Verdana" w:cs="Verdana"/>
                        <w:noProof/>
                        <w:sz w:val="20"/>
                        <w:szCs w:val="20"/>
                      </w:rPr>
                      <w:t>Classification: Internal Purpose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3912274">
    <w:abstractNumId w:val="8"/>
  </w:num>
  <w:num w:numId="2" w16cid:durableId="330448124">
    <w:abstractNumId w:val="6"/>
  </w:num>
  <w:num w:numId="3" w16cid:durableId="1498030837">
    <w:abstractNumId w:val="5"/>
  </w:num>
  <w:num w:numId="4" w16cid:durableId="1698308733">
    <w:abstractNumId w:val="4"/>
  </w:num>
  <w:num w:numId="5" w16cid:durableId="1680739382">
    <w:abstractNumId w:val="7"/>
  </w:num>
  <w:num w:numId="6" w16cid:durableId="2130850248">
    <w:abstractNumId w:val="3"/>
  </w:num>
  <w:num w:numId="7" w16cid:durableId="1235819035">
    <w:abstractNumId w:val="2"/>
  </w:num>
  <w:num w:numId="8" w16cid:durableId="1594777069">
    <w:abstractNumId w:val="1"/>
  </w:num>
  <w:num w:numId="9" w16cid:durableId="605774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1EA2"/>
    <w:rsid w:val="00326F90"/>
    <w:rsid w:val="00AA1D8D"/>
    <w:rsid w:val="00B47730"/>
    <w:rsid w:val="00BC1E32"/>
    <w:rsid w:val="00BD1761"/>
    <w:rsid w:val="00CB0664"/>
    <w:rsid w:val="00F16E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A369C01-B49E-4FB5-B3D0-954FACF1C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1516</Words>
  <Characters>8647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10 Individual Learning Notes</dc:title>
  <dc:subject>Personal learning reflection for internal assignment</dc:subject>
  <dc:creator>PANDIT MAHARSHI YAGNESH .</dc:creator>
  <cp:keywords/>
  <dc:description>generated by python-docx</dc:description>
  <cp:lastModifiedBy>Pandit, Maharshi</cp:lastModifiedBy>
  <cp:revision>2</cp:revision>
  <dcterms:created xsi:type="dcterms:W3CDTF">2026-10-22T09:38:00Z</dcterms:created>
  <dcterms:modified xsi:type="dcterms:W3CDTF">2026-10-22T09:44:00Z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120db6ee,1913abe4,39ab7736</vt:lpwstr>
  </property>
  <property fmtid="{D5CDD505-2E9C-101B-9397-08002B2CF9AE}" pid="3" name="ClassificationContentMarkingHeaderFontProps">
    <vt:lpwstr>#000000,10,Verdana</vt:lpwstr>
  </property>
  <property fmtid="{D5CDD505-2E9C-101B-9397-08002B2CF9AE}" pid="4" name="ClassificationContentMarkingHeaderText">
    <vt:lpwstr>Classification: Internal Purpose</vt:lpwstr>
  </property>
  <property fmtid="{D5CDD505-2E9C-101B-9397-08002B2CF9AE}" pid="5" name="MSIP_Label_97c7c4d0-7f4d-470f-a7e6-7da20d81509c_Enabled">
    <vt:lpwstr>true</vt:lpwstr>
  </property>
  <property fmtid="{D5CDD505-2E9C-101B-9397-08002B2CF9AE}" pid="6" name="MSIP_Label_97c7c4d0-7f4d-470f-a7e6-7da20d81509c_SetDate">
    <vt:lpwstr>2026-10-22T09:44:03Z</vt:lpwstr>
  </property>
  <property fmtid="{D5CDD505-2E9C-101B-9397-08002B2CF9AE}" pid="7" name="MSIP_Label_97c7c4d0-7f4d-470f-a7e6-7da20d81509c_Method">
    <vt:lpwstr>Standard</vt:lpwstr>
  </property>
  <property fmtid="{D5CDD505-2E9C-101B-9397-08002B2CF9AE}" pid="8" name="MSIP_Label_97c7c4d0-7f4d-470f-a7e6-7da20d81509c_Name">
    <vt:lpwstr>97c7c4d0-7f4d-470f-a7e6-7da20d81509c</vt:lpwstr>
  </property>
  <property fmtid="{D5CDD505-2E9C-101B-9397-08002B2CF9AE}" pid="9" name="MSIP_Label_97c7c4d0-7f4d-470f-a7e6-7da20d81509c_SiteId">
    <vt:lpwstr>040d9c77-e8cc-4af3-9c44-1d24173c45b3</vt:lpwstr>
  </property>
  <property fmtid="{D5CDD505-2E9C-101B-9397-08002B2CF9AE}" pid="10" name="MSIP_Label_97c7c4d0-7f4d-470f-a7e6-7da20d81509c_ActionId">
    <vt:lpwstr>1d7c3a00-d10b-4de6-9c99-54ae77b9afe6</vt:lpwstr>
  </property>
  <property fmtid="{D5CDD505-2E9C-101B-9397-08002B2CF9AE}" pid="11" name="MSIP_Label_97c7c4d0-7f4d-470f-a7e6-7da20d81509c_ContentBits">
    <vt:lpwstr>1</vt:lpwstr>
  </property>
  <property fmtid="{D5CDD505-2E9C-101B-9397-08002B2CF9AE}" pid="12" name="MSIP_Label_97c7c4d0-7f4d-470f-a7e6-7da20d81509c_Tag">
    <vt:lpwstr>10, 3, 0, 1</vt:lpwstr>
  </property>
</Properties>
</file>