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E848" w14:textId="77777777" w:rsidR="00611876" w:rsidRDefault="00153BA4">
      <w:pPr>
        <w:pStyle w:val="Title"/>
        <w:jc w:val="center"/>
      </w:pPr>
      <w:r>
        <w:t>Class 7 Individual Learning Notes</w:t>
      </w:r>
    </w:p>
    <w:p w14:paraId="4F36EE64" w14:textId="77777777" w:rsidR="00611876" w:rsidRDefault="00153BA4">
      <w:pPr>
        <w:pStyle w:val="Subtitle"/>
        <w:jc w:val="center"/>
      </w:pPr>
      <w:r>
        <w:t>Management of AI Products</w:t>
      </w:r>
    </w:p>
    <w:p w14:paraId="0964632C" w14:textId="77777777" w:rsidR="00611876" w:rsidRDefault="00153BA4">
      <w:pPr>
        <w:pStyle w:val="Subtitle"/>
        <w:jc w:val="center"/>
      </w:pPr>
      <w:r>
        <w:t>Maharshi Pandit | 2025mb26121 | Recording date: September 12, 2026</w:t>
      </w:r>
    </w:p>
    <w:p w14:paraId="20997EB1" w14:textId="77777777" w:rsidR="00611876" w:rsidRDefault="00153BA4">
      <w:pPr>
        <w:pStyle w:val="Heading1"/>
      </w:pPr>
      <w:r>
        <w:t>1. My overall learning from Class 7</w:t>
      </w:r>
    </w:p>
    <w:p w14:paraId="3B9E1116" w14:textId="77777777" w:rsidR="00611876" w:rsidRDefault="00153BA4">
      <w:pPr>
        <w:jc w:val="both"/>
      </w:pPr>
      <w:r>
        <w:t xml:space="preserve">My main learning is that an Artificial Intelligence product must complete a useful customer or operational job. A technically working feature or model is not automatically a complete product. The Product Manager </w:t>
      </w:r>
      <w:proofErr w:type="gramStart"/>
      <w:r>
        <w:t>has to</w:t>
      </w:r>
      <w:proofErr w:type="gramEnd"/>
      <w:r>
        <w:t xml:space="preserve"> connect the capability with workflow, human authority, support, monitoring, and the </w:t>
      </w:r>
      <w:proofErr w:type="gramStart"/>
      <w:r>
        <w:t>final outcome</w:t>
      </w:r>
      <w:proofErr w:type="gramEnd"/>
      <w:r>
        <w:t>.</w:t>
      </w:r>
    </w:p>
    <w:p w14:paraId="3A024917" w14:textId="77777777" w:rsidR="00611876" w:rsidRDefault="00153BA4">
      <w:pPr>
        <w:jc w:val="both"/>
      </w:pPr>
      <w:r>
        <w:t>I also understood that product development is not a straight movement from prototype to launch. Each stage should create evidence and may require the team to narrow, modify, or stop the product.</w:t>
      </w:r>
    </w:p>
    <w:p w14:paraId="04BAD7DE" w14:textId="77777777" w:rsidR="00611876" w:rsidRDefault="00153BA4">
      <w:pPr>
        <w:pStyle w:val="Heading1"/>
      </w:pPr>
      <w:r>
        <w:t>2. Prototype, pilot, Minimum Viable Product, and launch readiness</w:t>
      </w:r>
    </w:p>
    <w:p w14:paraId="0EF81154" w14:textId="77777777" w:rsidR="00611876" w:rsidRDefault="00153BA4">
      <w:pPr>
        <w:jc w:val="both"/>
      </w:pPr>
      <w:r>
        <w:t>A prototype tests a concept or interaction in a limited setting. A pilot places the workflow with selected real users. A Minimum Viable Product must complete a useful job, even if some integrations and automation remain manual.</w:t>
      </w:r>
    </w:p>
    <w:p w14:paraId="5DBD8766" w14:textId="77777777" w:rsidR="00611876" w:rsidRDefault="00153BA4">
      <w:pPr>
        <w:jc w:val="both"/>
      </w:pPr>
      <w:r>
        <w:t xml:space="preserve">The credit-card </w:t>
      </w:r>
      <w:proofErr w:type="spellStart"/>
      <w:r>
        <w:t>authorisation</w:t>
      </w:r>
      <w:proofErr w:type="spellEnd"/>
      <w:r>
        <w:t xml:space="preserve"> and settlement example helped me understand that one technically successful component may still be an incomplete product. </w:t>
      </w:r>
      <w:proofErr w:type="spellStart"/>
      <w:r>
        <w:t>Authorisation</w:t>
      </w:r>
      <w:proofErr w:type="spellEnd"/>
      <w:r>
        <w:t xml:space="preserve"> alone does not complete the customer and business outcome when settlement, reconciliation, exceptions, and support are missing.</w:t>
      </w:r>
    </w:p>
    <w:p w14:paraId="4B00439F" w14:textId="77777777" w:rsidR="00611876" w:rsidRDefault="00153BA4">
      <w:pPr>
        <w:pStyle w:val="Heading1"/>
      </w:pPr>
      <w:r>
        <w:t>3. Reactive service versus proactive service</w:t>
      </w:r>
    </w:p>
    <w:p w14:paraId="642F165B" w14:textId="77777777" w:rsidR="00611876" w:rsidRDefault="00153BA4">
      <w:pPr>
        <w:jc w:val="both"/>
      </w:pPr>
      <w:r>
        <w:t>The electricity-distribution example changed my understanding of workflow redesign. Automating the complaint call may improve one step, but the stronger opportunity is to detect a likely outage, identify affected customers, coordinate operations, and communicate before repeated complaints begin.</w:t>
      </w:r>
    </w:p>
    <w:p w14:paraId="7D799AF7" w14:textId="77777777" w:rsidR="00611876" w:rsidRDefault="00153BA4">
      <w:pPr>
        <w:jc w:val="both"/>
      </w:pPr>
      <w:r>
        <w:t>This taught me to question why the current activity exists before automating it. A better product may remove or redesign the activity rather than make the same process faster.</w:t>
      </w:r>
    </w:p>
    <w:p w14:paraId="3D3AE3E0" w14:textId="77777777" w:rsidR="00611876" w:rsidRDefault="00153BA4">
      <w:pPr>
        <w:pStyle w:val="Heading1"/>
      </w:pPr>
      <w:r>
        <w:t>4. Facts, inferences, recommendations, and unknowns</w:t>
      </w:r>
    </w:p>
    <w:p w14:paraId="1744E2D1" w14:textId="77777777" w:rsidR="00611876" w:rsidRDefault="00153BA4">
      <w:pPr>
        <w:jc w:val="both"/>
      </w:pPr>
      <w:r>
        <w:t>I understood that the interface should separate confirmed information from model inference. Planned maintenance may be a confirmed fact. A probable unplanned outage derived from abnormal consumption may be an inference. Dispatching a field team is a recommendation. Missing or conflicting information should remain unknown until verified.</w:t>
      </w:r>
    </w:p>
    <w:p w14:paraId="48BE289E" w14:textId="77777777" w:rsidR="00611876" w:rsidRDefault="00153BA4">
      <w:pPr>
        <w:jc w:val="both"/>
      </w:pPr>
      <w:r>
        <w:t>This separation protects trust and prevents the product from presenting a model estimate as certain operational truth.</w:t>
      </w:r>
    </w:p>
    <w:p w14:paraId="4229142F" w14:textId="77777777" w:rsidR="00611876" w:rsidRDefault="00153BA4">
      <w:pPr>
        <w:pStyle w:val="Heading1"/>
      </w:pPr>
      <w:r>
        <w:lastRenderedPageBreak/>
        <w:t>5. Human-in-the-Loop across the workflow</w:t>
      </w:r>
    </w:p>
    <w:p w14:paraId="3CF8204C" w14:textId="77777777" w:rsidR="00611876" w:rsidRDefault="00153BA4">
      <w:pPr>
        <w:jc w:val="both"/>
      </w:pPr>
      <w:r>
        <w:t>Different people verify different parts of a service workflow. A customer may confirm the affected location, an agent may resolve identity or address ambiguity, a field employee may verify the equipment condition, and an operations controller may approve incident priority and dispatch.</w:t>
      </w:r>
    </w:p>
    <w:p w14:paraId="15FBD98E" w14:textId="77777777" w:rsidR="00611876" w:rsidRDefault="00153BA4">
      <w:pPr>
        <w:jc w:val="both"/>
      </w:pPr>
      <w:r>
        <w:t>Human-in-the-Loop is therefore not one general final approval. It should be placed where specific knowledge and authority are most valuable.</w:t>
      </w:r>
    </w:p>
    <w:p w14:paraId="79D5DD2C" w14:textId="77777777" w:rsidR="00611876" w:rsidRDefault="00153BA4">
      <w:pPr>
        <w:pStyle w:val="Heading1"/>
      </w:pPr>
      <w:r>
        <w:t>6. Testing, monitoring, fallback, and rollback</w:t>
      </w:r>
    </w:p>
    <w:p w14:paraId="1C92D0DB" w14:textId="77777777" w:rsidR="00611876" w:rsidRDefault="00153BA4">
      <w:pPr>
        <w:jc w:val="both"/>
      </w:pPr>
      <w:r>
        <w:t>I understood that historical testing and shadow operation should come before the product influences customer messages or field action. A limited beta or canary can then test one region, user type, or incident category.</w:t>
      </w:r>
    </w:p>
    <w:p w14:paraId="47631C61" w14:textId="77777777" w:rsidR="00611876" w:rsidRDefault="00153BA4">
      <w:pPr>
        <w:jc w:val="both"/>
      </w:pPr>
      <w:r>
        <w:t>Measures should include model quality, time to detect, customer experience, workload, cost, and final operational outcome. If guardrails fail, the product should return to a safe manual or previously approved process.</w:t>
      </w:r>
    </w:p>
    <w:p w14:paraId="40447F45" w14:textId="77777777" w:rsidR="00611876" w:rsidRDefault="00153BA4">
      <w:pPr>
        <w:pStyle w:val="Heading1"/>
      </w:pPr>
      <w:r>
        <w:t xml:space="preserve">7. </w:t>
      </w:r>
      <w:proofErr w:type="spellStart"/>
      <w:r>
        <w:t>Productisation</w:t>
      </w:r>
      <w:proofErr w:type="spellEnd"/>
      <w:r>
        <w:t>, professional services, and accountability</w:t>
      </w:r>
    </w:p>
    <w:p w14:paraId="1ED33F3A" w14:textId="77777777" w:rsidR="00611876" w:rsidRDefault="00153BA4">
      <w:pPr>
        <w:jc w:val="both"/>
      </w:pPr>
      <w:r>
        <w:t>Enterprise products may require configuration, integration, training, and customer-specific support. Professional services can help complete the promise, but they should not replace a reusable product core.</w:t>
      </w:r>
    </w:p>
    <w:p w14:paraId="292D60A6" w14:textId="77777777" w:rsidR="00611876" w:rsidRDefault="00153BA4">
      <w:pPr>
        <w:jc w:val="both"/>
      </w:pPr>
      <w:r>
        <w:t xml:space="preserve">Consultants and vendors may provide components or advice, but the product </w:t>
      </w:r>
      <w:proofErr w:type="spellStart"/>
      <w:r>
        <w:t>organisation</w:t>
      </w:r>
      <w:proofErr w:type="spellEnd"/>
      <w:r>
        <w:t xml:space="preserve"> remains accountable for the complete outcome and for how the Artificial Intelligence capability is used.</w:t>
      </w:r>
    </w:p>
    <w:p w14:paraId="4CE18C35" w14:textId="77777777" w:rsidR="00611876" w:rsidRDefault="00153BA4">
      <w:pPr>
        <w:pStyle w:val="Heading1"/>
      </w:pPr>
      <w:r>
        <w:t>8. Transferability and adjacent markets</w:t>
      </w:r>
    </w:p>
    <w:p w14:paraId="03CCA72C" w14:textId="77777777" w:rsidR="00611876" w:rsidRDefault="00153BA4">
      <w:pPr>
        <w:jc w:val="both"/>
      </w:pPr>
      <w:r>
        <w:t>A successful capability may transfer to another industry, but transferability should not be assumed. The electricity-service pattern may be useful in water, broadband, or transport, while the data, regulation, error cost, and operating response will differ.</w:t>
      </w:r>
    </w:p>
    <w:p w14:paraId="5D35F543" w14:textId="77777777" w:rsidR="00611876" w:rsidRDefault="00153BA4">
      <w:pPr>
        <w:jc w:val="both"/>
      </w:pPr>
      <w:r>
        <w:t>The reusable core should remain stable while local terminology, integrations, thresholds, and escalation rules remain configurable.</w:t>
      </w:r>
    </w:p>
    <w:p w14:paraId="7A0EE09B" w14:textId="77777777" w:rsidR="00611876" w:rsidRDefault="00153BA4">
      <w:pPr>
        <w:pStyle w:val="Heading1"/>
      </w:pPr>
      <w:r>
        <w:t>9. How my thinking changed</w:t>
      </w:r>
    </w:p>
    <w:p w14:paraId="27CB8F46" w14:textId="77777777" w:rsidR="00611876" w:rsidRDefault="00153BA4">
      <w:pPr>
        <w:pStyle w:val="ListBullet"/>
      </w:pPr>
      <w:r>
        <w:t>I now see a Minimum Viable Product as a complete learning workflow, not a partial technical demonstration.</w:t>
      </w:r>
    </w:p>
    <w:p w14:paraId="474438BC" w14:textId="77777777" w:rsidR="00611876" w:rsidRDefault="00153BA4">
      <w:pPr>
        <w:pStyle w:val="ListBullet"/>
      </w:pPr>
      <w:r>
        <w:t>I moved from automating a complaint step to redesigning the complete service outcome.</w:t>
      </w:r>
    </w:p>
    <w:p w14:paraId="1F416901" w14:textId="77777777" w:rsidR="00611876" w:rsidRDefault="00153BA4">
      <w:pPr>
        <w:pStyle w:val="ListBullet"/>
      </w:pPr>
      <w:r>
        <w:t>I now distinguish facts, inferences, recommendations, and unknown information.</w:t>
      </w:r>
    </w:p>
    <w:p w14:paraId="2B6603A3" w14:textId="77777777" w:rsidR="00611876" w:rsidRDefault="00153BA4">
      <w:pPr>
        <w:pStyle w:val="ListBullet"/>
      </w:pPr>
      <w:r>
        <w:t>I understand that launch requires monitoring, fallback, support, and accountability.</w:t>
      </w:r>
    </w:p>
    <w:p w14:paraId="03A64781" w14:textId="77777777" w:rsidR="00611876" w:rsidRDefault="00153BA4">
      <w:pPr>
        <w:pStyle w:val="ListBullet"/>
      </w:pPr>
      <w:r>
        <w:t>I now separate a reusable product core from customer-specific implementation.</w:t>
      </w:r>
    </w:p>
    <w:p w14:paraId="1D11D7B0" w14:textId="77777777" w:rsidR="00611876" w:rsidRDefault="00153BA4">
      <w:pPr>
        <w:pStyle w:val="Heading1"/>
      </w:pPr>
      <w:r>
        <w:lastRenderedPageBreak/>
        <w:t>10. My practical application</w:t>
      </w:r>
    </w:p>
    <w:p w14:paraId="508C3AC7" w14:textId="77777777" w:rsidR="00611876" w:rsidRDefault="00153BA4">
      <w:pPr>
        <w:jc w:val="both"/>
      </w:pPr>
      <w:r>
        <w:t xml:space="preserve">When I </w:t>
      </w:r>
      <w:proofErr w:type="spellStart"/>
      <w:r>
        <w:t>analyse</w:t>
      </w:r>
      <w:proofErr w:type="spellEnd"/>
      <w:r>
        <w:t xml:space="preserve"> a service problem, I will map the complete path from detection to final customer outcome. I will identify what is confirmed, what Artificial Intelligence infers, who verifies it, what action follows, and what condition forces fallback.</w:t>
      </w:r>
    </w:p>
    <w:p w14:paraId="2EB7B4D8" w14:textId="77777777" w:rsidR="00611876" w:rsidRDefault="00153BA4">
      <w:pPr>
        <w:jc w:val="both"/>
      </w:pPr>
      <w:r>
        <w:t>For an enterprise Artificial Intelligence product, I will define the reusable core, implementation boundary, support model, and evidence required before moving from pilot to wider availability.</w:t>
      </w:r>
    </w:p>
    <w:p w14:paraId="58A1800F" w14:textId="77777777" w:rsidR="00611876" w:rsidRDefault="00153BA4">
      <w:pPr>
        <w:pStyle w:val="Heading1"/>
      </w:pPr>
      <w:r>
        <w:t>11. Questions and limitations I noticed</w:t>
      </w:r>
    </w:p>
    <w:p w14:paraId="46BAA520" w14:textId="77777777" w:rsidR="00611876" w:rsidRDefault="00153BA4">
      <w:pPr>
        <w:pStyle w:val="ListBullet"/>
      </w:pPr>
      <w:r>
        <w:t>How much customer-specific work is acceptable before the product becomes a project?</w:t>
      </w:r>
    </w:p>
    <w:p w14:paraId="015DA920" w14:textId="77777777" w:rsidR="00611876" w:rsidRDefault="00153BA4">
      <w:pPr>
        <w:pStyle w:val="ListBullet"/>
      </w:pPr>
      <w:r>
        <w:t>What evidence is sufficient to move from a pilot to wider availability?</w:t>
      </w:r>
    </w:p>
    <w:p w14:paraId="012DE4B4" w14:textId="77777777" w:rsidR="00611876" w:rsidRDefault="00153BA4">
      <w:pPr>
        <w:pStyle w:val="ListBullet"/>
      </w:pPr>
      <w:r>
        <w:t xml:space="preserve">How should product and </w:t>
      </w:r>
      <w:proofErr w:type="gramStart"/>
      <w:r>
        <w:t>professional-services</w:t>
      </w:r>
      <w:proofErr w:type="gramEnd"/>
      <w:r>
        <w:t xml:space="preserve"> responsibilities be divided?</w:t>
      </w:r>
    </w:p>
    <w:p w14:paraId="58AB8A15" w14:textId="77777777" w:rsidR="00611876" w:rsidRDefault="00153BA4">
      <w:pPr>
        <w:pStyle w:val="ListBullet"/>
      </w:pPr>
      <w:r>
        <w:t>When should the product automatically fall back to the previous workflow?</w:t>
      </w:r>
    </w:p>
    <w:p w14:paraId="47DD31EA" w14:textId="77777777" w:rsidR="00611876" w:rsidRDefault="00153BA4">
      <w:pPr>
        <w:pStyle w:val="Heading1"/>
      </w:pPr>
      <w:r>
        <w:t>12. Final reflection</w:t>
      </w:r>
    </w:p>
    <w:p w14:paraId="0BD0A6EB" w14:textId="77777777" w:rsidR="00611876" w:rsidRDefault="00153BA4">
      <w:pPr>
        <w:jc w:val="both"/>
      </w:pPr>
      <w:r>
        <w:t>Class 7 connected product lifecycle thinking with real service redesign. The strongest learning was that the Product Manager must solve the full decision and workflow problem rather than deliver an isolated Artificial Intelligence feature.</w:t>
      </w:r>
    </w:p>
    <w:p w14:paraId="5EA02EBB" w14:textId="77777777" w:rsidR="00611876" w:rsidRDefault="00153BA4">
      <w:pPr>
        <w:jc w:val="both"/>
      </w:pPr>
      <w:r>
        <w:t xml:space="preserve">My key takeaway is that a product promise must remain dependable after launch. Testing, human authority, monitoring, support, rollback, </w:t>
      </w:r>
      <w:proofErr w:type="spellStart"/>
      <w:r>
        <w:t>productisation</w:t>
      </w:r>
      <w:proofErr w:type="spellEnd"/>
      <w:r>
        <w:t>, and transferability are part of product management, not activities added later.</w:t>
      </w:r>
    </w:p>
    <w:sectPr w:rsidR="00611876"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D33A4" w14:textId="77777777" w:rsidR="00704DD9" w:rsidRDefault="00704DD9">
      <w:pPr>
        <w:spacing w:after="0" w:line="240" w:lineRule="auto"/>
      </w:pPr>
      <w:r>
        <w:separator/>
      </w:r>
    </w:p>
  </w:endnote>
  <w:endnote w:type="continuationSeparator" w:id="0">
    <w:p w14:paraId="7F236BBF" w14:textId="77777777" w:rsidR="00704DD9" w:rsidRDefault="0070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7CA2" w14:textId="226376C1" w:rsidR="00611876" w:rsidRDefault="00153BA4">
    <w:pPr>
      <w:pStyle w:val="Footer"/>
      <w:jc w:val="center"/>
    </w:pPr>
    <w:r>
      <w:fldChar w:fldCharType="begin"/>
    </w:r>
    <w:r>
      <w:instrText>PAGE</w:instrText>
    </w:r>
    <w:r>
      <w:fldChar w:fldCharType="separate"/>
    </w:r>
    <w:r w:rsidR="00E137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67CB" w14:textId="77777777" w:rsidR="00704DD9" w:rsidRDefault="00704DD9">
      <w:pPr>
        <w:spacing w:after="0" w:line="240" w:lineRule="auto"/>
      </w:pPr>
      <w:r>
        <w:separator/>
      </w:r>
    </w:p>
  </w:footnote>
  <w:footnote w:type="continuationSeparator" w:id="0">
    <w:p w14:paraId="5579447F" w14:textId="77777777" w:rsidR="00704DD9" w:rsidRDefault="00704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FFB5" w14:textId="67E2D9BA" w:rsidR="00E1378F" w:rsidRDefault="00E1378F">
    <w:pPr>
      <w:pStyle w:val="Header"/>
    </w:pPr>
    <w:r>
      <w:rPr>
        <w:noProof/>
      </w:rPr>
      <mc:AlternateContent>
        <mc:Choice Requires="wps">
          <w:drawing>
            <wp:anchor distT="0" distB="0" distL="0" distR="0" simplePos="0" relativeHeight="251659264" behindDoc="0" locked="0" layoutInCell="1" allowOverlap="1" wp14:anchorId="04C7A20B" wp14:editId="388169B8">
              <wp:simplePos x="635" y="635"/>
              <wp:positionH relativeFrom="page">
                <wp:align>center</wp:align>
              </wp:positionH>
              <wp:positionV relativeFrom="page">
                <wp:align>top</wp:align>
              </wp:positionV>
              <wp:extent cx="1992630" cy="368300"/>
              <wp:effectExtent l="0" t="0" r="7620" b="12700"/>
              <wp:wrapNone/>
              <wp:docPr id="561273779"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01FA20DB" w14:textId="73CB1BF7" w:rsidR="00E1378F" w:rsidRPr="00E1378F" w:rsidRDefault="00E1378F" w:rsidP="00E1378F">
                          <w:pPr>
                            <w:spacing w:after="0"/>
                            <w:rPr>
                              <w:rFonts w:ascii="Verdana" w:eastAsia="Verdana" w:hAnsi="Verdana" w:cs="Verdana"/>
                              <w:noProof/>
                              <w:sz w:val="20"/>
                              <w:szCs w:val="20"/>
                            </w:rPr>
                          </w:pPr>
                          <w:r w:rsidRPr="00E1378F">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C7A20B"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01FA20DB" w14:textId="73CB1BF7" w:rsidR="00E1378F" w:rsidRPr="00E1378F" w:rsidRDefault="00E1378F" w:rsidP="00E1378F">
                    <w:pPr>
                      <w:spacing w:after="0"/>
                      <w:rPr>
                        <w:rFonts w:ascii="Verdana" w:eastAsia="Verdana" w:hAnsi="Verdana" w:cs="Verdana"/>
                        <w:noProof/>
                        <w:sz w:val="20"/>
                        <w:szCs w:val="20"/>
                      </w:rPr>
                    </w:pPr>
                    <w:r w:rsidRPr="00E1378F">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FC89" w14:textId="62C2C644" w:rsidR="00E1378F" w:rsidRDefault="00E1378F">
    <w:pPr>
      <w:pStyle w:val="Header"/>
    </w:pPr>
    <w:r>
      <w:rPr>
        <w:noProof/>
      </w:rPr>
      <mc:AlternateContent>
        <mc:Choice Requires="wps">
          <w:drawing>
            <wp:anchor distT="0" distB="0" distL="0" distR="0" simplePos="0" relativeHeight="251658240" behindDoc="0" locked="0" layoutInCell="1" allowOverlap="1" wp14:anchorId="653D0401" wp14:editId="35E8B8A3">
              <wp:simplePos x="635" y="635"/>
              <wp:positionH relativeFrom="page">
                <wp:align>center</wp:align>
              </wp:positionH>
              <wp:positionV relativeFrom="page">
                <wp:align>top</wp:align>
              </wp:positionV>
              <wp:extent cx="1992630" cy="368300"/>
              <wp:effectExtent l="0" t="0" r="7620" b="12700"/>
              <wp:wrapNone/>
              <wp:docPr id="903641997"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49B79D7D" w14:textId="24219C61" w:rsidR="00E1378F" w:rsidRPr="00E1378F" w:rsidRDefault="00E1378F" w:rsidP="00E1378F">
                          <w:pPr>
                            <w:spacing w:after="0"/>
                            <w:rPr>
                              <w:rFonts w:ascii="Verdana" w:eastAsia="Verdana" w:hAnsi="Verdana" w:cs="Verdana"/>
                              <w:noProof/>
                              <w:sz w:val="20"/>
                              <w:szCs w:val="20"/>
                            </w:rPr>
                          </w:pPr>
                          <w:r w:rsidRPr="00E1378F">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3D0401"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49B79D7D" w14:textId="24219C61" w:rsidR="00E1378F" w:rsidRPr="00E1378F" w:rsidRDefault="00E1378F" w:rsidP="00E1378F">
                    <w:pPr>
                      <w:spacing w:after="0"/>
                      <w:rPr>
                        <w:rFonts w:ascii="Verdana" w:eastAsia="Verdana" w:hAnsi="Verdana" w:cs="Verdana"/>
                        <w:noProof/>
                        <w:sz w:val="20"/>
                        <w:szCs w:val="20"/>
                      </w:rPr>
                    </w:pPr>
                    <w:r w:rsidRPr="00E1378F">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928401">
    <w:abstractNumId w:val="8"/>
  </w:num>
  <w:num w:numId="2" w16cid:durableId="1410882896">
    <w:abstractNumId w:val="6"/>
  </w:num>
  <w:num w:numId="3" w16cid:durableId="1458836129">
    <w:abstractNumId w:val="5"/>
  </w:num>
  <w:num w:numId="4" w16cid:durableId="1281180881">
    <w:abstractNumId w:val="4"/>
  </w:num>
  <w:num w:numId="5" w16cid:durableId="699165701">
    <w:abstractNumId w:val="7"/>
  </w:num>
  <w:num w:numId="6" w16cid:durableId="722750999">
    <w:abstractNumId w:val="3"/>
  </w:num>
  <w:num w:numId="7" w16cid:durableId="340596060">
    <w:abstractNumId w:val="2"/>
  </w:num>
  <w:num w:numId="8" w16cid:durableId="2003270155">
    <w:abstractNumId w:val="1"/>
  </w:num>
  <w:num w:numId="9" w16cid:durableId="202612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BA4"/>
    <w:rsid w:val="0029639D"/>
    <w:rsid w:val="00326F90"/>
    <w:rsid w:val="004E49AE"/>
    <w:rsid w:val="00611876"/>
    <w:rsid w:val="0061387A"/>
    <w:rsid w:val="00704DD9"/>
    <w:rsid w:val="007E208C"/>
    <w:rsid w:val="00AA1D8D"/>
    <w:rsid w:val="00B47730"/>
    <w:rsid w:val="00CB0664"/>
    <w:rsid w:val="00E137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6B154E-2F2F-436C-9FF9-7C4BCBD7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7 Individual Learning Notes</dc:title>
  <dc:subject/>
  <dc:creator>PANDIT MAHARSHI YAGNESH .</dc:creator>
  <cp:keywords/>
  <dc:description>generated by python-docx</dc:description>
  <cp:lastModifiedBy>Pandit, Maharshi</cp:lastModifiedBy>
  <cp:revision>3</cp:revision>
  <dcterms:created xsi:type="dcterms:W3CDTF">2026-10-20T07:47:00Z</dcterms:created>
  <dcterms:modified xsi:type="dcterms:W3CDTF">2026-10-22T09:42:00Z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35dc7b8d,21745bb3,5c4b2929</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2026-10-20T07:52:21Z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3c5ac807-bdcc-4181-aa6f-883bf5a4d9d1</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