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03E6" w14:textId="33EB3E07" w:rsidR="005F7AD1" w:rsidRDefault="00000000" w:rsidP="005969D7">
      <w:pPr>
        <w:spacing w:after="40"/>
      </w:pPr>
      <w:r>
        <w:rPr>
          <w:b/>
          <w:bCs/>
          <w:sz w:val="28"/>
          <w:szCs w:val="28"/>
        </w:rPr>
        <w:t>Class 5 (29 August 2026</w:t>
      </w:r>
      <w:r w:rsidR="005969D7">
        <w:rPr>
          <w:b/>
          <w:bCs/>
          <w:sz w:val="28"/>
          <w:szCs w:val="28"/>
        </w:rPr>
        <w:t>)</w:t>
      </w:r>
    </w:p>
    <w:p w14:paraId="546D440D" w14:textId="77777777" w:rsidR="005F7AD1" w:rsidRDefault="00000000">
      <w:pPr>
        <w:spacing w:after="160"/>
      </w:pPr>
      <w:r>
        <w:t>The theme this week was finding opportunities, and the sharpest idea was almost the opposite of what I expected in an AI course: don’t add AI unless it adds value. Prof. Vinaya was blunt — customers pay for the value they get, not for the word “AI”, and slapping it on a product to look modern will damage your brand the moment people realise there’s nothing behind it.</w:t>
      </w:r>
    </w:p>
    <w:p w14:paraId="7ED89B15" w14:textId="77777777" w:rsidR="005F7AD1" w:rsidRDefault="00000000">
      <w:pPr>
        <w:spacing w:after="160"/>
      </w:pPr>
      <w:r>
        <w:t>The ceiling-fan story made it stick. Apparently there were ads for “double-bearing” ceiling fans, until someone pointed out that basically every fan already had double bearings — it was branding an ordinary thing as if it were special. His point was that the days of getting away with that are over; customers and organisations are wiser now. It’s an easy trap to imagine falling into with AI, dressing up a normal feature as something magical. He went deep on Jobs-to-be-Done again, and this time it clicked: the customer wants to finish their job and get out, not admire your product. The counter-example was good too — for Netflix or Prime you do want people to hang around, but even there the customer’s real interest is to be entertained, not to sit through your ads, so “engagement” can quietly become the company’s goal at the user’s expense.</w:t>
      </w:r>
    </w:p>
    <w:p w14:paraId="56C27834" w14:textId="6B59F557" w:rsidR="005F7AD1" w:rsidRDefault="00000000">
      <w:pPr>
        <w:spacing w:after="160"/>
      </w:pPr>
      <w:r>
        <w:t>He also made the point that sometimes giving up is the smart move — there were hundreds of search engines once, but Google won so completely it became a verb, like Xerox before it. Not every opportunity is yours to win. The practical filter I’m taking from this class is a single question: if I removed the AI from this feature, would the customer even notice or care? If not, I probably shouldn’t build it. I still need to read up on how you handle hallucination, which he flagged but we didn’t fully get into.</w:t>
      </w:r>
      <w:r w:rsidR="002969BE" w:rsidRPr="002969BE">
        <w:t>The emphasis on evidence is very important to my domain. If we claim that AI reduces turnaround time, improves accuracy, or reduces workload, there should be a clear comparison before and after its introduction. In healthcare, we routinely use indicators and benchmarks to assess whether an intervention has improved a process. I see the same requirement for AI products. Initial interest, a successful demonstration, or positive feedback from a few users cannot establish sustained value. A new AI tool may initially attract hospital staff because it is interesting, but this does not mean that it will become part of routine practice. Novelty is not product market fit. In hospitals, I have seen new systems generate interest during the initial phase but struggle with long-term adoption because they add steps, interrupt existing workflows, or do not solve the treating team’s main problem. Repeated use is a better indication of value than initial enthusiasm. Switching cost is something we learned in marketing and strategy courses. Applying the same here, even if a new solution is objectively better, clinicians and operational teams may hesitate to adopt it if they have to relearn an established process, enter the same information again, or move between additional systems. This does not necessarily mean that people are resistant to improvement. Product evaluation should therefore include the effort required from front line staff, not only the capability of the technology. I also found the discussion on human-in-the-loop design useful. </w:t>
      </w:r>
    </w:p>
    <w:sectPr w:rsidR="005F7A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645B6"/>
    <w:multiLevelType w:val="hybridMultilevel"/>
    <w:tmpl w:val="0DC8071A"/>
    <w:lvl w:ilvl="0" w:tplc="DC80C9E0">
      <w:start w:val="1"/>
      <w:numFmt w:val="bullet"/>
      <w:lvlText w:val="●"/>
      <w:lvlJc w:val="left"/>
      <w:pPr>
        <w:ind w:left="720" w:hanging="360"/>
      </w:pPr>
    </w:lvl>
    <w:lvl w:ilvl="1" w:tplc="258CD0B6">
      <w:start w:val="1"/>
      <w:numFmt w:val="bullet"/>
      <w:lvlText w:val="○"/>
      <w:lvlJc w:val="left"/>
      <w:pPr>
        <w:ind w:left="1440" w:hanging="360"/>
      </w:pPr>
    </w:lvl>
    <w:lvl w:ilvl="2" w:tplc="580E7B08">
      <w:start w:val="1"/>
      <w:numFmt w:val="bullet"/>
      <w:lvlText w:val="■"/>
      <w:lvlJc w:val="left"/>
      <w:pPr>
        <w:ind w:left="2160" w:hanging="360"/>
      </w:pPr>
    </w:lvl>
    <w:lvl w:ilvl="3" w:tplc="88024BC0">
      <w:start w:val="1"/>
      <w:numFmt w:val="bullet"/>
      <w:lvlText w:val="●"/>
      <w:lvlJc w:val="left"/>
      <w:pPr>
        <w:ind w:left="2880" w:hanging="360"/>
      </w:pPr>
    </w:lvl>
    <w:lvl w:ilvl="4" w:tplc="66180854">
      <w:start w:val="1"/>
      <w:numFmt w:val="bullet"/>
      <w:lvlText w:val="○"/>
      <w:lvlJc w:val="left"/>
      <w:pPr>
        <w:ind w:left="3600" w:hanging="360"/>
      </w:pPr>
    </w:lvl>
    <w:lvl w:ilvl="5" w:tplc="0156853A">
      <w:start w:val="1"/>
      <w:numFmt w:val="bullet"/>
      <w:lvlText w:val="■"/>
      <w:lvlJc w:val="left"/>
      <w:pPr>
        <w:ind w:left="4320" w:hanging="360"/>
      </w:pPr>
    </w:lvl>
    <w:lvl w:ilvl="6" w:tplc="AB8CA5FA">
      <w:start w:val="1"/>
      <w:numFmt w:val="bullet"/>
      <w:lvlText w:val="●"/>
      <w:lvlJc w:val="left"/>
      <w:pPr>
        <w:ind w:left="5040" w:hanging="360"/>
      </w:pPr>
    </w:lvl>
    <w:lvl w:ilvl="7" w:tplc="0EFC3E86">
      <w:start w:val="1"/>
      <w:numFmt w:val="bullet"/>
      <w:lvlText w:val="●"/>
      <w:lvlJc w:val="left"/>
      <w:pPr>
        <w:ind w:left="5760" w:hanging="360"/>
      </w:pPr>
    </w:lvl>
    <w:lvl w:ilvl="8" w:tplc="EA0696F4">
      <w:start w:val="1"/>
      <w:numFmt w:val="bullet"/>
      <w:lvlText w:val="●"/>
      <w:lvlJc w:val="left"/>
      <w:pPr>
        <w:ind w:left="6480" w:hanging="360"/>
      </w:pPr>
    </w:lvl>
  </w:abstractNum>
  <w:num w:numId="1" w16cid:durableId="2014988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AD1"/>
    <w:rsid w:val="002969BE"/>
    <w:rsid w:val="005969D7"/>
    <w:rsid w:val="005C14C2"/>
    <w:rsid w:val="005F7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E867"/>
  <w15:docId w15:val="{0482947A-B4DC-4B3F-814D-E6202BA9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5 — Management of AI Products (MBAZG583)</dc:title>
  <dc:creator>Panchothi Manoj Kumar</dc:creator>
  <cp:lastModifiedBy>SUBITH R .</cp:lastModifiedBy>
  <cp:revision>5</cp:revision>
  <dcterms:created xsi:type="dcterms:W3CDTF">2026-09-12T01:51:00Z</dcterms:created>
  <dcterms:modified xsi:type="dcterms:W3CDTF">2026-10-29T14:33:00Z</dcterms:modified>
</cp:coreProperties>
</file>