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F065F" w14:textId="5B264DD5" w:rsidR="0064077A" w:rsidRDefault="00000000" w:rsidP="00D92952">
      <w:pPr>
        <w:spacing w:after="40"/>
      </w:pPr>
      <w:r>
        <w:rPr>
          <w:b/>
          <w:bCs/>
          <w:sz w:val="28"/>
          <w:szCs w:val="28"/>
        </w:rPr>
        <w:t>Class 6 (5 September 2026)</w:t>
      </w:r>
    </w:p>
    <w:p w14:paraId="6DD46132" w14:textId="77777777" w:rsidR="0064077A" w:rsidRDefault="00000000">
      <w:pPr>
        <w:spacing w:after="160"/>
      </w:pPr>
      <w:r>
        <w:t>This session was where the course got real — we kicked off the capstone project. A big chunk was logistics: the class GitHub org (MEIP-2026-July), naming our repos strictly by team number rather than roll numbers, and a README listing the team members and contacts. It felt bureaucratic in the moment, but I get it now — standardising all of this is exactly the discipline a real product team needs, and working in the open on GitHub is a small taste of that.</w:t>
      </w:r>
    </w:p>
    <w:p w14:paraId="07A1B095" w14:textId="77777777" w:rsidR="0064077A" w:rsidRDefault="00000000">
      <w:pPr>
        <w:spacing w:after="160"/>
      </w:pPr>
      <w:r>
        <w:t>The more interesting part was watching Prof. Vinaya review teams’ topic submissions live and approve them or send them back. Seeing other groups’ ideas was genuinely useful — a Diabetes Safety and Doctor Consultation Companion, and a “Twin AI” personal fashion decision platform for people who own more clothes than they can keep track of. Hearing him react in real time taught me more about what makes a good topic than any checklist would: is the job-to-be-done real, is the value clear, and who exactly is the user.</w:t>
      </w:r>
    </w:p>
    <w:p w14:paraId="60FFE984" w14:textId="172A95A0" w:rsidR="0064077A" w:rsidRDefault="00000000">
      <w:pPr>
        <w:spacing w:after="160"/>
      </w:pPr>
      <w:r>
        <w:t>He came back to the same drumbeat from last week — customers don’t pay for UI, and they don’t pay for AI; they pay for a job getting done. It’s clearly the spine of this whole course. He also nudged us towards the artifacts we’ll actually need: a PRD, thinking hard about the MVP, mapping the stakeholders, and keeping bias in mind from the start. Honestly this class made me a little nervous, in a good way, because now I have to apply everything instead of just noting it down. My immediate action is to lock our team’s topic against his filter — one clear user, one clear job, obvious value — before we fall in love with something clever but pointless. I’d much rather get the topic right now than rework it later</w:t>
      </w:r>
      <w:r w:rsidR="00D92952">
        <w:t xml:space="preserve"> a</w:t>
      </w:r>
      <w:r w:rsidR="00D92952" w:rsidRPr="00D92952">
        <w:t>n</w:t>
      </w:r>
      <w:r w:rsidR="00D92952">
        <w:t xml:space="preserve">d </w:t>
      </w:r>
      <w:r w:rsidR="00D92952" w:rsidRPr="00D92952">
        <w:t xml:space="preserve">repeatedly emphasized that AI should not be viewed as just another technical feature. Instead, it should make us question why a process exists in its current form and whether it can be redesigned completely. Many processes in hospitals continue largely because they evolved that way over time. Clinical documentation, approvals, reporting structures, and audit requirements are often built layer upon layer. Sometimes we focus on making an existing process faster without asking whether the process itself still makes sense. We must also distinguish between stakeholder requirements and technical solutions. Customers describe problems in their own language. Product teams must think in terms of systems, features, and technology. I could relate to it because clinicians, patients, administrators, and quality teams may all describe the same problem differently. Translating these perspectives into a consistent product vision is critical. For instance, when analyzing healthcare worker feedback, we cannot just look at a generic positive or negative score. We must extract data using the opinion quintuple framework to separate the specific target entity, the sub-feature (like app layout or speed), the exact sentiment value, the named opinion holder, and the time anchor. We must actively look for repeated points of friction and ways to remove them. Patients and caregivers often spend considerable time navigating appointments, diagnostic procedures, billing processes, and follow-up visits. The question is not whether an AI solution can be introduced, but whether it meaningfully reduces effort, confusion, or waiting time. When sourcing these capabilities, the PM must make strategic build versus buy versus API decisions. Subscribing to commercial APIs offers high feature speed but introduces platform dependency and token cost constraints. We must also think of data governance and regulatory compliance like the DPDP Act in India, where we operate purely as custodians of patient data and should prevent any misuse. Another thing is that if we are outsourcing a component, we should not become overtly vendor dependent. And for any proprietary data it is always better to build capacity within the organization because that will give us an edge over our competitors. We also discussed the role of </w:t>
      </w:r>
      <w:r w:rsidR="00D92952" w:rsidRPr="00D92952">
        <w:lastRenderedPageBreak/>
        <w:t>imagination in product management. New opportunities often emerge when existing assumptions are questioned. Changing business processes and old constraints are important. Healthcare is an industry where many practices are based on historical systems and structures. We must periodically question long-standing assumptions, which may result in significant improvements. </w:t>
      </w:r>
    </w:p>
    <w:sectPr w:rsidR="0064077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F7431"/>
    <w:multiLevelType w:val="hybridMultilevel"/>
    <w:tmpl w:val="9B3CF69E"/>
    <w:lvl w:ilvl="0" w:tplc="97BC889A">
      <w:start w:val="1"/>
      <w:numFmt w:val="bullet"/>
      <w:lvlText w:val="●"/>
      <w:lvlJc w:val="left"/>
      <w:pPr>
        <w:ind w:left="720" w:hanging="360"/>
      </w:pPr>
    </w:lvl>
    <w:lvl w:ilvl="1" w:tplc="EC54F1C6">
      <w:start w:val="1"/>
      <w:numFmt w:val="bullet"/>
      <w:lvlText w:val="○"/>
      <w:lvlJc w:val="left"/>
      <w:pPr>
        <w:ind w:left="1440" w:hanging="360"/>
      </w:pPr>
    </w:lvl>
    <w:lvl w:ilvl="2" w:tplc="DE0C1924">
      <w:start w:val="1"/>
      <w:numFmt w:val="bullet"/>
      <w:lvlText w:val="■"/>
      <w:lvlJc w:val="left"/>
      <w:pPr>
        <w:ind w:left="2160" w:hanging="360"/>
      </w:pPr>
    </w:lvl>
    <w:lvl w:ilvl="3" w:tplc="D18A2442">
      <w:start w:val="1"/>
      <w:numFmt w:val="bullet"/>
      <w:lvlText w:val="●"/>
      <w:lvlJc w:val="left"/>
      <w:pPr>
        <w:ind w:left="2880" w:hanging="360"/>
      </w:pPr>
    </w:lvl>
    <w:lvl w:ilvl="4" w:tplc="54106B2E">
      <w:start w:val="1"/>
      <w:numFmt w:val="bullet"/>
      <w:lvlText w:val="○"/>
      <w:lvlJc w:val="left"/>
      <w:pPr>
        <w:ind w:left="3600" w:hanging="360"/>
      </w:pPr>
    </w:lvl>
    <w:lvl w:ilvl="5" w:tplc="2A2E7C56">
      <w:start w:val="1"/>
      <w:numFmt w:val="bullet"/>
      <w:lvlText w:val="■"/>
      <w:lvlJc w:val="left"/>
      <w:pPr>
        <w:ind w:left="4320" w:hanging="360"/>
      </w:pPr>
    </w:lvl>
    <w:lvl w:ilvl="6" w:tplc="4CFAA55E">
      <w:start w:val="1"/>
      <w:numFmt w:val="bullet"/>
      <w:lvlText w:val="●"/>
      <w:lvlJc w:val="left"/>
      <w:pPr>
        <w:ind w:left="5040" w:hanging="360"/>
      </w:pPr>
    </w:lvl>
    <w:lvl w:ilvl="7" w:tplc="B4D83964">
      <w:start w:val="1"/>
      <w:numFmt w:val="bullet"/>
      <w:lvlText w:val="●"/>
      <w:lvlJc w:val="left"/>
      <w:pPr>
        <w:ind w:left="5760" w:hanging="360"/>
      </w:pPr>
    </w:lvl>
    <w:lvl w:ilvl="8" w:tplc="03B0E806">
      <w:start w:val="1"/>
      <w:numFmt w:val="bullet"/>
      <w:lvlText w:val="●"/>
      <w:lvlJc w:val="left"/>
      <w:pPr>
        <w:ind w:left="6480" w:hanging="360"/>
      </w:pPr>
    </w:lvl>
  </w:abstractNum>
  <w:num w:numId="1" w16cid:durableId="13102071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077A"/>
    <w:rsid w:val="00186974"/>
    <w:rsid w:val="0064077A"/>
    <w:rsid w:val="00D929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A0958"/>
  <w15:docId w15:val="{CE44BDBF-751E-4C41-9648-EE482AFA5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657</Words>
  <Characters>3749</Characters>
  <Application>Microsoft Office Word</Application>
  <DocSecurity>0</DocSecurity>
  <Lines>31</Lines>
  <Paragraphs>8</Paragraphs>
  <ScaleCrop>false</ScaleCrop>
  <Company/>
  <LinksUpToDate>false</LinksUpToDate>
  <CharactersWithSpaces>4398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 Reflection 6 — Management of AI Products (MBAZG583)</dc:title>
  <dc:creator>Panchothi Manoj Kumar</dc:creator>
  <cp:lastModifiedBy>SUBITH R .</cp:lastModifiedBy>
  <cp:revision>2</cp:revision>
  <dcterms:created xsi:type="dcterms:W3CDTF">2026-09-12T01:51:00Z</dcterms:created>
  <dcterms:modified xsi:type="dcterms:W3CDTF">2026-10-29T14:36:00Z</dcterms:modified>
</cp:coreProperties>
</file>