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80" w:line="276"/>
        <w:jc w:val="center"/>
      </w:pPr>
      <w:r>
        <w:rPr>
          <w:rFonts w:ascii="Calibri" w:cs="Calibri" w:eastAsia="Calibri" w:hAnsi="Calibri"/>
          <w:b/>
          <w:bCs/>
          <w:color w:val="0E7C86"/>
          <w:sz w:val="20"/>
          <w:szCs w:val="20"/>
        </w:rPr>
        <w:t xml:space="preserve">MBA ZG583  ·  MANAGEMENT OF AI PRODUCTS</w:t>
      </w:r>
    </w:p>
    <w:p>
      <w:pPr>
        <w:spacing w:after="320" w:line="276"/>
        <w:jc w:val="center"/>
      </w:pPr>
      <w:r>
        <w:rPr>
          <w:rFonts w:ascii="Calibri" w:cs="Calibri" w:eastAsia="Calibri" w:hAnsi="Calibri"/>
          <w:color w:val="5A6B85"/>
          <w:sz w:val="20"/>
          <w:szCs w:val="20"/>
        </w:rPr>
        <w:t xml:space="preserve">Experiential Learning Assignment — Capstone Submission</w:t>
      </w:r>
    </w:p>
    <w:p>
      <w:pPr>
        <w:spacing w:after="120" w:line="276"/>
        <w:jc w:val="center"/>
      </w:pPr>
      <w:r>
        <w:rPr>
          <w:rFonts w:ascii="Calibri" w:cs="Calibri" w:eastAsia="Calibri" w:hAnsi="Calibri"/>
          <w:b/>
          <w:bCs/>
          <w:color w:val="17263F"/>
          <w:sz w:val="56"/>
          <w:szCs w:val="56"/>
        </w:rPr>
        <w:t xml:space="preserve">UniConnect Operations OS</w:t>
      </w:r>
    </w:p>
    <w:p>
      <w:pPr>
        <w:spacing w:after="700" w:line="276"/>
        <w:jc w:val="center"/>
      </w:pPr>
      <w:r>
        <w:rPr>
          <w:rFonts w:ascii="Calibri" w:cs="Calibri" w:eastAsia="Calibri" w:hAnsi="Calibri"/>
          <w:color w:val="0E7C86"/>
          <w:sz w:val="26"/>
          <w:szCs w:val="26"/>
        </w:rPr>
        <w:t xml:space="preserve">An AI-Assisted Academic Operations Platform for a 40-Campus Higher-Education Network</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708"/>
        <w:gridCol w:w="6318"/>
      </w:tblGrid>
      <w:tr>
        <w:trPr>
          <w:tblHeader/>
        </w:trPr>
        <w:tc>
          <w:tcPr>
            <w:tcW w:type="dxa" w:w="270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Submission Detail</w:t>
            </w:r>
          </w:p>
        </w:tc>
        <w:tc>
          <w:tcPr>
            <w:tcW w:type="dxa" w:w="631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Entry</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Course</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MBA ZG583 — Management of AI Products</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Assessment type</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Experiential Learning Assignment / Capstone (30% weightage)</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Project option chosen</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Option C — Improve a Real Workflow</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Team name</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UniConnect (individual submission)</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Submitted by</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Role on the project</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Product owner and sole builder of the platform</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Product context</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NIAT academic operations network, 40 campuses</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Date of submission</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11 September 2026</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Final recommendation</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PILOT the AI Intelligence Layer on 5 campuses; scale the platform, stage the AI</w:t>
            </w:r>
          </w:p>
        </w:tc>
      </w:tr>
    </w:tbl>
    <w:p>
      <w:pPr>
        <w:spacing w:after="500"/>
      </w:pP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HOW TO READ THIS DOCUMENT</w:t>
            </w:r>
          </w:p>
          <w:p>
            <w:pPr>
              <w:spacing w:after="0" w:before="0" w:line="276"/>
              <w:jc w:val="both"/>
            </w:pPr>
            <w:r>
              <w:rPr>
                <w:rFonts w:ascii="Calibri" w:cs="Calibri" w:eastAsia="Calibri" w:hAnsi="Calibri"/>
                <w:color w:val="1F2A44"/>
                <w:sz w:val="22"/>
                <w:szCs w:val="22"/>
              </w:rPr>
              <w:t xml:space="preserve">This document is the integrated assignment package for the capstone. It contains the executive summary, product strategy, PM artifact pack, UX and trust design, data and evaluation strategy, business and scaling view, ethics and governance note, prototype description, AI collaboration log and individual contribution disclosure, followed by supporting appendices.</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Declaration and Academic Integrity Statement</w:t>
      </w:r>
    </w:p>
    <w:p>
      <w:pPr>
        <w:spacing w:after="140" w:before="0" w:line="276"/>
        <w:jc w:val="both"/>
      </w:pPr>
      <w:r>
        <w:rPr>
          <w:rFonts w:ascii="Calibri" w:cs="Calibri" w:eastAsia="Calibri" w:hAnsi="Calibri"/>
          <w:color w:val="1F2A44"/>
          <w:sz w:val="22"/>
          <w:szCs w:val="22"/>
        </w:rPr>
        <w:t xml:space="preserve">This submission is based on a real, working system that I designed and built, and that is currently in production use across the campus network described in this report. The product exists; the AI capabilities described as "shipped" are running today; the capabilities described as "designed" or "proposed" are not yet live and are clearly marked as such throughout.</w:t>
      </w:r>
    </w:p>
    <w:p>
      <w:pPr>
        <w:spacing w:after="140" w:before="0" w:line="276"/>
        <w:jc w:val="both"/>
      </w:pPr>
      <w:r>
        <w:rPr>
          <w:rFonts w:ascii="Calibri" w:cs="Calibri" w:eastAsia="Calibri" w:hAnsi="Calibri"/>
          <w:color w:val="1F2A44"/>
          <w:sz w:val="22"/>
          <w:szCs w:val="22"/>
        </w:rPr>
        <w:t xml:space="preserve">Where operational numbers are measured from the system database, they are marked as measured. Where numbers are estimates taken from operator conversations or reasonable modelling, they are marked as estimates and are listed together in Section 13 (Assumptions and Evidence Quality). No research, data, user quotation or product behaviour has been invented for this submission.</w:t>
      </w:r>
    </w:p>
    <w:p>
      <w:pPr>
        <w:spacing w:after="140" w:before="0" w:line="276"/>
        <w:jc w:val="both"/>
      </w:pPr>
      <w:r>
        <w:rPr>
          <w:rFonts w:ascii="Calibri" w:cs="Calibri" w:eastAsia="Calibri" w:hAnsi="Calibri"/>
          <w:color w:val="1F2A44"/>
          <w:sz w:val="22"/>
          <w:szCs w:val="22"/>
        </w:rPr>
        <w:t xml:space="preserve">AI tools were used extensively in producing this package — for drafting, structuring, generating alternatives, stress-testing edge cases and supporting prototype code. Their use is disclosed in full in Section 11 (AI Collaboration Log). The product decisions, the risk acceptance, the monetisation view and the final recommendation are my own judgement and were not delegated to an AI tool.</w:t>
      </w:r>
    </w:p>
    <w:p>
      <w:pPr>
        <w:spacing w:after="200"/>
      </w:pPr>
    </w:p>
    <w:p>
      <w:pPr>
        <w:spacing w:after="140" w:before="0" w:line="276"/>
        <w:jc w:val="both"/>
      </w:pPr>
      <w:r>
        <w:rPr>
          <w:rFonts w:ascii="Calibri" w:cs="Calibri" w:eastAsia="Calibri" w:hAnsi="Calibri"/>
          <w:b/>
          <w:bCs/>
          <w:color w:val="1F2A44"/>
          <w:sz w:val="22"/>
          <w:szCs w:val="22"/>
        </w:rPr>
        <w:t xml:space="preserve">Name: </w:t>
      </w:r>
      <w:r>
        <w:rPr>
          <w:rFonts w:ascii="Calibri" w:cs="Calibri" w:eastAsia="Calibri" w:hAnsi="Calibri"/>
          <w:color w:val="1F2A44"/>
          <w:sz w:val="22"/>
          <w:szCs w:val="22"/>
        </w:rPr>
        <w:t xml:space="preserve">Manoj Kumar Panchothi</w:t>
      </w:r>
    </w:p>
    <w:p>
      <w:pPr>
        <w:spacing w:after="140" w:before="0" w:line="276"/>
        <w:jc w:val="both"/>
      </w:pPr>
      <w:r>
        <w:rPr>
          <w:rFonts w:ascii="Calibri" w:cs="Calibri" w:eastAsia="Calibri" w:hAnsi="Calibri"/>
          <w:b/>
          <w:bCs/>
          <w:color w:val="1F2A44"/>
          <w:sz w:val="22"/>
          <w:szCs w:val="22"/>
        </w:rPr>
        <w:t xml:space="preserve">Date: </w:t>
      </w:r>
      <w:r>
        <w:rPr>
          <w:rFonts w:ascii="Calibri" w:cs="Calibri" w:eastAsia="Calibri" w:hAnsi="Calibri"/>
          <w:color w:val="1F2A44"/>
          <w:sz w:val="22"/>
          <w:szCs w:val="22"/>
        </w:rPr>
        <w:t xml:space="preserve">11 September 2026</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Contents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610"/>
        <w:gridCol w:w="5416"/>
      </w:tblGrid>
      <w:tr>
        <w:trPr>
          <w:tblHeader/>
        </w:trPr>
        <w:tc>
          <w:tcPr>
            <w:tcW w:type="dxa" w:w="361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Section</w:t>
            </w:r>
          </w:p>
        </w:tc>
        <w:tc>
          <w:tcPr>
            <w:tcW w:type="dxa" w:w="541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What it covers</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Declaration and Academic Integrity Statement</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What is real, what is estimated, and how AI was used</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 Executive Summary</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Problem, user, product concept, why AI, and the recommendation</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2. Product Strategy and Opportunity Framing</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Vision, jobs to be done, opportunity matrix, build vs buy vs API, first wedge</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3. PM Artifact Pack</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Problem statement, PRD-lite, prioritisation, MVP, roadmap, metrics</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4. UX, Workflow and Trust Design</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journey, screens, explainability, confidence bands, human in the loop</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5. Data, Model and Evaluation Strategy</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AI task decomposition, data, ground truth, baselines, metrics, go/no-go thresholds</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6. Business, Economics and Scaling View</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Value logic, cost drivers, unit economics, scaling risks, operations</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7. Ethics, Governance and Risk Note</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Risk register, harm scenarios, controls, privacy position, launch blockers</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8. Prototype and MVP</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What is built, what it demonstrates, what it does not yet prove</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9. Examination Classroom Allocation</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Optimisation AI in the Examinations module: seating allocation, paper-set adjacency, invigilation</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10. Course Case Reference and Lessons Transferred</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Swiggy as the primary lens, plus four supporting cases</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11. AI Collaboration Log</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Tools, prompts, where AI was wrong, and the corrections applied</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12. Individual Contribution Disclosure</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Ownership of each artifact and how outputs were validated</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13. Assumptions and Evidence Quality</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Measured versus assumed, and the limitations of this submission</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Appendix A</w:t>
            </w:r>
          </w:p>
        </w:tc>
        <w:tc>
          <w:tcPr>
            <w:tcW w:type="dxa" w:w="541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Topic Approval Form</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Appendix B</w:t>
            </w:r>
          </w:p>
        </w:tc>
        <w:tc>
          <w:tcPr>
            <w:tcW w:type="dxa" w:w="541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Requirement Coverage</w:t>
            </w:r>
          </w:p>
        </w:tc>
      </w:tr>
    </w:tbl>
    <w:p>
      <w:pPr>
        <w:spacing w:after="160"/>
      </w:pP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1. Executive Summary</w:t>
      </w:r>
    </w:p>
    <w:p>
      <w:pPr>
        <w:pStyle w:val="Heading2"/>
        <w:spacing w:after="120" w:before="280" w:line="276"/>
        <w:jc w:val="left"/>
      </w:pPr>
      <w:r>
        <w:rPr>
          <w:rFonts w:ascii="Calibri" w:cs="Calibri" w:eastAsia="Calibri" w:hAnsi="Calibri"/>
          <w:b/>
          <w:bCs/>
          <w:color w:val="0E7C86"/>
          <w:sz w:val="25"/>
          <w:szCs w:val="25"/>
        </w:rPr>
        <w:t xml:space="preserve">1.1 Problem</w:t>
      </w:r>
    </w:p>
    <w:p>
      <w:pPr>
        <w:spacing w:after="140" w:before="0" w:line="276"/>
        <w:jc w:val="both"/>
      </w:pPr>
      <w:r>
        <w:rPr>
          <w:rFonts w:ascii="Calibri" w:cs="Calibri" w:eastAsia="Calibri" w:hAnsi="Calibri"/>
          <w:color w:val="1F2A44"/>
          <w:sz w:val="22"/>
          <w:szCs w:val="22"/>
        </w:rPr>
        <w:t xml:space="preserve">A higher-education network of 40 campuses has to run the same operational day, 40 times over, every working day. Fees have to be reconciled, daily campus reports have to be written and reviewed, faculty attendance has to be recorded, tasks have to be chased, budgets have to be approved, exams have to be planned, papers have to be generated, seating and invigilation have to be arranged, and problems have to reach the right person before they become escalations.</w:t>
      </w:r>
    </w:p>
    <w:p>
      <w:pPr>
        <w:spacing w:after="140" w:before="0" w:line="276"/>
        <w:jc w:val="both"/>
      </w:pPr>
      <w:r>
        <w:rPr>
          <w:rFonts w:ascii="Calibri" w:cs="Calibri" w:eastAsia="Calibri" w:hAnsi="Calibri"/>
          <w:color w:val="1F2A44"/>
          <w:sz w:val="22"/>
          <w:szCs w:val="22"/>
        </w:rPr>
        <w:t xml:space="preserve">Until this platform existed, that work lived in spreadsheets, email threads, WhatsApp messages and disconnected Excel files. Three specific failures repeated every single day. First, information arrived late and in inconsistent formats, so a manager reviewing twelve campuses was reading twelve differently written reports. Second, the important signal was buried — a serious problem and a routine update looked identical in an inbox. Third, nothing was auditable: when a decision was questioned two weeks later, nobody could reconstruct who knew what, and when.</w:t>
      </w:r>
    </w:p>
    <w:p>
      <w:pPr>
        <w:spacing w:after="140" w:before="0" w:line="276"/>
        <w:jc w:val="both"/>
      </w:pPr>
      <w:r>
        <w:rPr>
          <w:rFonts w:ascii="Calibri" w:cs="Calibri" w:eastAsia="Calibri" w:hAnsi="Calibri"/>
          <w:color w:val="1F2A44"/>
          <w:sz w:val="22"/>
          <w:szCs w:val="22"/>
        </w:rPr>
        <w:t xml:space="preserve">The platform solved the structure problem. What remains is a reading and judgement problem: the volume of daily operational text, numbers and documents now exceeds what a small central team can read carefully. That is the problem this capstone addresses.</w:t>
      </w:r>
    </w:p>
    <w:p>
      <w:pPr>
        <w:pStyle w:val="Heading2"/>
        <w:spacing w:after="120" w:before="280" w:line="276"/>
        <w:jc w:val="left"/>
      </w:pPr>
      <w:r>
        <w:rPr>
          <w:rFonts w:ascii="Calibri" w:cs="Calibri" w:eastAsia="Calibri" w:hAnsi="Calibri"/>
          <w:b/>
          <w:bCs/>
          <w:color w:val="0E7C86"/>
          <w:sz w:val="25"/>
          <w:szCs w:val="25"/>
        </w:rPr>
        <w:t xml:space="preserve">1.2 Target User and Customer</w:t>
      </w:r>
    </w:p>
    <w:p>
      <w:pPr>
        <w:spacing w:after="140" w:before="0" w:line="276"/>
        <w:jc w:val="both"/>
      </w:pPr>
      <w:r>
        <w:rPr>
          <w:rFonts w:ascii="Calibri" w:cs="Calibri" w:eastAsia="Calibri" w:hAnsi="Calibri"/>
          <w:color w:val="1F2A44"/>
          <w:sz w:val="22"/>
          <w:szCs w:val="22"/>
        </w:rPr>
        <w:t xml:space="preserve">The primary users are the people who run the operational day: Business Operations Associates (BOAs) and Programme Management Associates at each campus, who submit and act; Programme Managers and the Chief of Staff (COS), who review, sign off and escalate; and the central academic operations and product team, who see the network view. The customer, in the internal sense, is the operations leadership that funds the platform and carries the cost of delays, errors and escalations.</w:t>
      </w:r>
    </w:p>
    <w:p>
      <w:pPr>
        <w:pStyle w:val="Heading2"/>
        <w:spacing w:after="120" w:before="280" w:line="276"/>
        <w:jc w:val="left"/>
      </w:pPr>
      <w:r>
        <w:rPr>
          <w:rFonts w:ascii="Calibri" w:cs="Calibri" w:eastAsia="Calibri" w:hAnsi="Calibri"/>
          <w:b/>
          <w:bCs/>
          <w:color w:val="0E7C86"/>
          <w:sz w:val="25"/>
          <w:szCs w:val="25"/>
        </w:rPr>
        <w:t xml:space="preserve">1.3 Product Concept</w:t>
      </w:r>
    </w:p>
    <w:p>
      <w:pPr>
        <w:spacing w:after="140" w:before="0" w:line="276"/>
        <w:jc w:val="both"/>
      </w:pPr>
      <w:r>
        <w:rPr>
          <w:rFonts w:ascii="Calibri" w:cs="Calibri" w:eastAsia="Calibri" w:hAnsi="Calibri"/>
          <w:color w:val="1F2A44"/>
          <w:sz w:val="22"/>
          <w:szCs w:val="22"/>
        </w:rPr>
        <w:t xml:space="preserve">UniConnect Operations OS is a single role-scoped web platform that replaced the spreadsheet-and-email operating model with one auditable system: one database, one permission model, one record of what happened. It covers fee collection, the daily operations submission spine, tasks, communications and email campaigns, assessments and exam paper generation, examination classroom allocation, faculty and success-coach tracking, budget approvals, meeting intelligence, the operational event calendar and the academic operations hub.</w:t>
      </w:r>
    </w:p>
    <w:p>
      <w:pPr>
        <w:spacing w:after="140" w:before="0" w:line="276"/>
        <w:jc w:val="both"/>
      </w:pPr>
      <w:r>
        <w:rPr>
          <w:rFonts w:ascii="Calibri" w:cs="Calibri" w:eastAsia="Calibri" w:hAnsi="Calibri"/>
          <w:color w:val="1F2A44"/>
          <w:sz w:val="22"/>
          <w:szCs w:val="22"/>
        </w:rPr>
        <w:t xml:space="preserve">On top of that platform sits the object of this capstone: the UniConnect Intelligence Layer. It is not a chatbot bolted onto a portal. It is a set of narrow, workflow-embedded AI capabilities that read the operational material nobody has time to read, decide how confident they are, and route each item to the right human with the evidence attached. The first wedge — the part recommended for pilot investment — is Daily Operations Triage: turning forty free-text daily campus reports plus their attached numbers into a ranked, evidence-linked review queue for the people who sign them off.</w:t>
      </w:r>
    </w:p>
    <w:p>
      <w:pPr>
        <w:pStyle w:val="Heading2"/>
        <w:spacing w:after="120" w:before="280" w:line="276"/>
        <w:jc w:val="left"/>
      </w:pPr>
      <w:r>
        <w:rPr>
          <w:rFonts w:ascii="Calibri" w:cs="Calibri" w:eastAsia="Calibri" w:hAnsi="Calibri"/>
          <w:b/>
          <w:bCs/>
          <w:color w:val="0E7C86"/>
          <w:sz w:val="25"/>
          <w:szCs w:val="25"/>
        </w:rPr>
        <w:t xml:space="preserve">1.4 Why AI Is the Right Lever</w:t>
      </w:r>
    </w:p>
    <w:p>
      <w:pPr>
        <w:spacing w:after="140" w:before="0" w:line="276"/>
        <w:jc w:val="both"/>
      </w:pPr>
      <w:r>
        <w:rPr>
          <w:rFonts w:ascii="Calibri" w:cs="Calibri" w:eastAsia="Calibri" w:hAnsi="Calibri"/>
          <w:color w:val="1F2A44"/>
          <w:sz w:val="22"/>
          <w:szCs w:val="22"/>
        </w:rPr>
        <w:t xml:space="preserve">Three properties of this workflow make AI the correct instrument rather than a fashionable one. The input is unstructured and written by forty different people in their own words, which defeats rule-based parsing. The judgement being made — "is this campus report normal, or does it hide something that needs attention today?" — is a repeated classification and ranking decision made hundreds of times a week. And the cost of the current approach is not a missing feature but human reading time, which does not fall as the network grows.</w:t>
      </w:r>
    </w:p>
    <w:p>
      <w:pPr>
        <w:spacing w:after="140" w:before="0" w:line="276"/>
        <w:jc w:val="both"/>
      </w:pPr>
      <w:r>
        <w:rPr>
          <w:rFonts w:ascii="Calibri" w:cs="Calibri" w:eastAsia="Calibri" w:hAnsi="Calibri"/>
          <w:color w:val="1F2A44"/>
          <w:sz w:val="22"/>
          <w:szCs w:val="22"/>
        </w:rPr>
        <w:t xml:space="preserve">Rules, dashboards and thresholds already exist in the platform and they catch the numeric cases well: a fee number that drops, an attendance figure below target, a report that was not submitted by four o'clock. They cannot catch a sentence like "second-year students say the lab machines were down again since Monday" sitting in paragraph four of an otherwise routine report. That is a language problem, and language problems are where current models genuinely outperform rules.</w:t>
      </w:r>
    </w:p>
    <w:p>
      <w:pPr>
        <w:spacing w:after="140" w:before="0" w:line="276"/>
        <w:jc w:val="both"/>
      </w:pPr>
      <w:r>
        <w:rPr>
          <w:rFonts w:ascii="Calibri" w:cs="Calibri" w:eastAsia="Calibri" w:hAnsi="Calibri"/>
          <w:color w:val="1F2A44"/>
          <w:sz w:val="22"/>
          <w:szCs w:val="22"/>
        </w:rPr>
        <w:t xml:space="preserve">There is a second kind of AI in this platform, and naming it matters because the course rightly warns against treating AI as a synonym for large language models. Allocating students to examination classrooms is a constrained combinatorial problem — every candidate seated, room capacities respected, and and no two neighbours drawn from the same branch or section — solved with search and repair rather than a language model. It is described in Section 9. Language AI reads and drafts; optimisation AI searches and places. Both are AI, they fail in completely different ways, and they need different evaluation.
Equally important is where AI is not the right lever. The platform deliberately does not use AI for anything that must be exactly correct and legally defensible — fee arithmetic, permission enforcement, audit records and approval states are all deterministic code, and they should stay that way.</w:t>
      </w:r>
    </w:p>
    <w:p>
      <w:pPr>
        <w:pStyle w:val="Heading2"/>
        <w:spacing w:after="120" w:before="280" w:line="276"/>
        <w:jc w:val="left"/>
      </w:pPr>
      <w:r>
        <w:rPr>
          <w:rFonts w:ascii="Calibri" w:cs="Calibri" w:eastAsia="Calibri" w:hAnsi="Calibri"/>
          <w:b/>
          <w:bCs/>
          <w:color w:val="0E7C86"/>
          <w:sz w:val="25"/>
          <w:szCs w:val="25"/>
        </w:rPr>
        <w:t xml:space="preserve">1.5 Recommendation</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Recommendation: PILOT. Run the Intelligence Layer on five campuses for one full academic month in assist-only mode, where every AI output is a suggestion attached to a human decision and no AI output is auto-sent or auto-approved. Continue to scale the deterministic platform across all 40 campuses in parallel. Do not extend AI into exam paper approval, student-facing communication or performance evaluation of staff until the pilot thresholds in Section 5.7 are met.</w:t>
            </w:r>
          </w:p>
        </w:tc>
      </w:tr>
    </w:tbl>
    <w:p>
      <w:pPr>
        <w:spacing w:after="140" w:before="0" w:line="276"/>
        <w:jc w:val="both"/>
      </w:pPr>
      <w:r>
        <w:rPr>
          <w:rFonts w:ascii="Calibri" w:cs="Calibri" w:eastAsia="Calibri" w:hAnsi="Calibri"/>
          <w:color w:val="1F2A44"/>
          <w:sz w:val="22"/>
          <w:szCs w:val="22"/>
        </w:rPr>
        <w:t xml:space="preserve">The reasoning behind a pilot rather than an immediate scale is that the binding risk here is not model quality but trust and workflow fit. If reviewers stop reading because the summary looked convincing, the platform has made oversight worse while appearing to make it faster. That risk is only measurable with real reviewers on real reports, which is exactly what a bounded pilot buys.</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2. Product Strategy and Opportunity Framing</w:t>
      </w:r>
    </w:p>
    <w:p>
      <w:pPr>
        <w:pStyle w:val="Heading2"/>
        <w:spacing w:after="120" w:before="280" w:line="276"/>
        <w:jc w:val="left"/>
      </w:pPr>
      <w:r>
        <w:rPr>
          <w:rFonts w:ascii="Calibri" w:cs="Calibri" w:eastAsia="Calibri" w:hAnsi="Calibri"/>
          <w:b/>
          <w:bCs/>
          <w:color w:val="0E7C86"/>
          <w:sz w:val="25"/>
          <w:szCs w:val="25"/>
        </w:rPr>
        <w:t xml:space="preserve">2.1 Product Vision</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Every campus in the network runs its day on one auditable system, where AI removes the reading, chasing and re-typing, and people are left with the decisions that actually need judgement.</w:t>
            </w:r>
          </w:p>
        </w:tc>
      </w:tr>
    </w:tbl>
    <w:p>
      <w:pPr>
        <w:pStyle w:val="Heading2"/>
        <w:spacing w:after="120" w:before="280" w:line="276"/>
        <w:jc w:val="left"/>
      </w:pPr>
      <w:r>
        <w:rPr>
          <w:rFonts w:ascii="Calibri" w:cs="Calibri" w:eastAsia="Calibri" w:hAnsi="Calibri"/>
          <w:b/>
          <w:bCs/>
          <w:color w:val="0E7C86"/>
          <w:sz w:val="25"/>
          <w:szCs w:val="25"/>
        </w:rPr>
        <w:t xml:space="preserve">2.2 Jobs To Be Done</w:t>
      </w:r>
    </w:p>
    <w:p>
      <w:pPr>
        <w:spacing w:after="140" w:before="0" w:line="276"/>
        <w:jc w:val="both"/>
      </w:pPr>
      <w:r>
        <w:rPr>
          <w:rFonts w:ascii="Calibri" w:cs="Calibri" w:eastAsia="Calibri" w:hAnsi="Calibri"/>
          <w:color w:val="1F2A44"/>
          <w:sz w:val="22"/>
          <w:szCs w:val="22"/>
        </w:rPr>
        <w:t xml:space="preserve">Three jobs anchor the product. They are written from the words operators actually use, gathered during campus visits and daily use of the system.</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347"/>
        <w:gridCol w:w="6679"/>
      </w:tblGrid>
      <w:tr>
        <w:trPr>
          <w:tblHeader/>
        </w:trPr>
        <w:tc>
          <w:tcPr>
            <w:tcW w:type="dxa" w:w="234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User</w:t>
            </w:r>
          </w:p>
        </w:tc>
        <w:tc>
          <w:tcPr>
            <w:tcW w:type="dxa" w:w="667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Job statement</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Programme Manager / Chief of Staff</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When I am reviewing daily reports from ten to twelve campuses in the evening, I want to know which three need me tonight, so that I can act before a problem becomes an escalation instead of reading everything and catching it late.</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 Operations Associate (BOA)</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When I am closing my campus day at four o'clock, I want to file one report that is accepted the first time, so that I am not re-sending information and answering the same follow-up questions the next morning.</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Academic Operations Lead</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When I am planning an examination cycle for a campus, I want exam portions, papers, the exam schedule, classroom seating and invigilation to come out of one consistent flow, so that I am not rebuilding seating charts in spreadsheets and discovering conflicts on exam day.</w:t>
            </w:r>
          </w:p>
        </w:tc>
      </w:tr>
    </w:tbl>
    <w:p>
      <w:pPr>
        <w:pStyle w:val="Heading2"/>
        <w:spacing w:after="120" w:before="280" w:line="276"/>
        <w:jc w:val="left"/>
      </w:pPr>
      <w:r>
        <w:rPr>
          <w:rFonts w:ascii="Calibri" w:cs="Calibri" w:eastAsia="Calibri" w:hAnsi="Calibri"/>
          <w:b/>
          <w:bCs/>
          <w:color w:val="0E7C86"/>
          <w:sz w:val="25"/>
          <w:szCs w:val="25"/>
        </w:rPr>
        <w:t xml:space="preserve">2.3 Opportunity Framing</w:t>
      </w:r>
    </w:p>
    <w:p>
      <w:pPr>
        <w:pStyle w:val="Heading3"/>
        <w:spacing w:after="100" w:before="220" w:line="276"/>
        <w:jc w:val="left"/>
      </w:pPr>
      <w:r>
        <w:rPr>
          <w:rFonts w:ascii="Calibri" w:cs="Calibri" w:eastAsia="Calibri" w:hAnsi="Calibri"/>
          <w:b/>
          <w:bCs/>
          <w:color w:val="17263F"/>
          <w:sz w:val="22"/>
          <w:szCs w:val="22"/>
        </w:rPr>
        <w:t xml:space="preserve">Why this problem matters</w:t>
      </w:r>
    </w:p>
    <w:p>
      <w:pPr>
        <w:spacing w:after="140" w:before="0" w:line="276"/>
        <w:jc w:val="both"/>
      </w:pPr>
      <w:r>
        <w:rPr>
          <w:rFonts w:ascii="Calibri" w:cs="Calibri" w:eastAsia="Calibri" w:hAnsi="Calibri"/>
          <w:color w:val="1F2A44"/>
          <w:sz w:val="22"/>
          <w:szCs w:val="22"/>
        </w:rPr>
        <w:t xml:space="preserve">Operational drag in an education network is not a back-office inconvenience. A delayed fee reconciliation affects a student's access to class. An unnoticed complaint about lab downtime becomes a batch-level satisfaction problem. A conflicting exam timetable is visible to every student and every parent on the day it fails. The cost of poor operations is paid in student experience, which is the thing the institution actually sells.</w:t>
      </w:r>
    </w:p>
    <w:p>
      <w:pPr>
        <w:pStyle w:val="Heading3"/>
        <w:spacing w:after="100" w:before="220" w:line="276"/>
        <w:jc w:val="left"/>
      </w:pPr>
      <w:r>
        <w:rPr>
          <w:rFonts w:ascii="Calibri" w:cs="Calibri" w:eastAsia="Calibri" w:hAnsi="Calibri"/>
          <w:b/>
          <w:bCs/>
          <w:color w:val="17263F"/>
          <w:sz w:val="22"/>
          <w:szCs w:val="22"/>
        </w:rPr>
        <w:t xml:space="preserve">Why current alternatives are weak</w:t>
      </w:r>
    </w:p>
    <w:p>
      <w:pPr>
        <w:pStyle w:val="ListParagraph"/>
        <w:numPr>
          <w:ilvl w:val="0"/>
          <w:numId w:val="2"/>
        </w:numPr>
        <w:spacing w:after="60" w:line="276"/>
        <w:jc w:val="both"/>
      </w:pPr>
      <w:r>
        <w:rPr>
          <w:rFonts w:ascii="Calibri" w:cs="Calibri" w:eastAsia="Calibri" w:hAnsi="Calibri"/>
          <w:color w:val="1F2A44"/>
          <w:sz w:val="22"/>
          <w:szCs w:val="22"/>
        </w:rPr>
        <w:t xml:space="preserve">Spreadsheets scale in file count, not in capability. Forty campuses produce forty versions of the truth and no audit trail.</w:t>
      </w:r>
    </w:p>
    <w:p>
      <w:pPr>
        <w:pStyle w:val="ListParagraph"/>
        <w:numPr>
          <w:ilvl w:val="0"/>
          <w:numId w:val="2"/>
        </w:numPr>
        <w:spacing w:after="60" w:line="276"/>
        <w:jc w:val="both"/>
      </w:pPr>
      <w:r>
        <w:rPr>
          <w:rFonts w:ascii="Calibri" w:cs="Calibri" w:eastAsia="Calibri" w:hAnsi="Calibri"/>
          <w:color w:val="1F2A44"/>
          <w:sz w:val="22"/>
          <w:szCs w:val="22"/>
        </w:rPr>
        <w:t xml:space="preserve">A conventional ERP or campus-management suite is built for records, not for a daily operating rhythm. Configuring one to match this network's workflow takes quarters, costs licence fees per user, and still cannot read a free-text report.</w:t>
      </w:r>
    </w:p>
    <w:p>
      <w:pPr>
        <w:pStyle w:val="ListParagraph"/>
        <w:numPr>
          <w:ilvl w:val="0"/>
          <w:numId w:val="2"/>
        </w:numPr>
        <w:spacing w:after="60" w:line="276"/>
        <w:jc w:val="both"/>
      </w:pPr>
      <w:r>
        <w:rPr>
          <w:rFonts w:ascii="Calibri" w:cs="Calibri" w:eastAsia="Calibri" w:hAnsi="Calibri"/>
          <w:color w:val="1F2A44"/>
          <w:sz w:val="22"/>
          <w:szCs w:val="22"/>
        </w:rPr>
        <w:t xml:space="preserve">Dashboards report what already went wrong. They are excellent for known numeric metrics and useless for the unstructured half of the day.</w:t>
      </w:r>
    </w:p>
    <w:p>
      <w:pPr>
        <w:pStyle w:val="ListParagraph"/>
        <w:numPr>
          <w:ilvl w:val="0"/>
          <w:numId w:val="2"/>
        </w:numPr>
        <w:spacing w:after="60" w:line="276"/>
        <w:jc w:val="both"/>
      </w:pPr>
      <w:r>
        <w:rPr>
          <w:rFonts w:ascii="Calibri" w:cs="Calibri" w:eastAsia="Calibri" w:hAnsi="Calibri"/>
          <w:color w:val="1F2A44"/>
          <w:sz w:val="22"/>
          <w:szCs w:val="22"/>
        </w:rPr>
        <w:t xml:space="preserve">Adding headcount to read reports scales cost linearly with campuses, which is precisely the economics the network is trying to escape.</w:t>
      </w:r>
    </w:p>
    <w:p>
      <w:pPr>
        <w:pStyle w:val="Heading3"/>
        <w:spacing w:after="100" w:before="220" w:line="276"/>
        <w:jc w:val="left"/>
      </w:pPr>
      <w:r>
        <w:rPr>
          <w:rFonts w:ascii="Calibri" w:cs="Calibri" w:eastAsia="Calibri" w:hAnsi="Calibri"/>
          <w:b/>
          <w:bCs/>
          <w:color w:val="17263F"/>
          <w:sz w:val="22"/>
          <w:szCs w:val="22"/>
        </w:rPr>
        <w:t xml:space="preserve">Why AI may help here</w:t>
      </w:r>
    </w:p>
    <w:p>
      <w:pPr>
        <w:spacing w:after="140" w:before="0" w:line="276"/>
        <w:jc w:val="both"/>
      </w:pPr>
      <w:r>
        <w:rPr>
          <w:rFonts w:ascii="Calibri" w:cs="Calibri" w:eastAsia="Calibri" w:hAnsi="Calibri"/>
          <w:color w:val="1F2A44"/>
          <w:sz w:val="22"/>
          <w:szCs w:val="22"/>
        </w:rPr>
        <w:t xml:space="preserve">The remaining work after the platform is text-heavy, repetitive and judgement-shaped: read, classify, rank, summarise, route. Modern language models are strong at exactly that shape of task and are available through an API at a per-item cost measured in fractions of a rupee. Crucially, the platform already provides the two things that make AI usable in an operational setting — structured context to ground the model in, and a human approval state machine to catch it when it is wrong.</w:t>
      </w:r>
    </w:p>
    <w:p>
      <w:pPr>
        <w:pStyle w:val="Heading2"/>
        <w:spacing w:after="120" w:before="280" w:line="276"/>
        <w:jc w:val="left"/>
      </w:pPr>
      <w:r>
        <w:rPr>
          <w:rFonts w:ascii="Calibri" w:cs="Calibri" w:eastAsia="Calibri" w:hAnsi="Calibri"/>
          <w:b/>
          <w:bCs/>
          <w:color w:val="0E7C86"/>
          <w:sz w:val="25"/>
          <w:szCs w:val="25"/>
        </w:rPr>
        <w:t xml:space="preserve">2.4 AI Opportunity Matrix</w:t>
      </w:r>
    </w:p>
    <w:p>
      <w:pPr>
        <w:spacing w:after="140" w:before="0" w:line="276"/>
        <w:jc w:val="both"/>
      </w:pPr>
      <w:r>
        <w:rPr>
          <w:rFonts w:ascii="Calibri" w:cs="Calibri" w:eastAsia="Calibri" w:hAnsi="Calibri"/>
          <w:color w:val="1F2A44"/>
          <w:sz w:val="22"/>
          <w:szCs w:val="22"/>
        </w:rPr>
        <w:t xml:space="preserve">Each candidate capability was scored on business value, technical feasibility and the cost of being wrong. Priority is the resulting judgement, not an arithmetic score.</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069"/>
        <w:gridCol w:w="1354"/>
        <w:gridCol w:w="1173"/>
        <w:gridCol w:w="1895"/>
        <w:gridCol w:w="1534"/>
      </w:tblGrid>
      <w:tr>
        <w:trPr>
          <w:tblHeader/>
        </w:trPr>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Candidate AI capability</w:t>
            </w:r>
          </w:p>
        </w:tc>
        <w:tc>
          <w:tcPr>
            <w:tcW w:type="dxa" w:w="135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Business value</w:t>
            </w:r>
          </w:p>
        </w:tc>
        <w:tc>
          <w:tcPr>
            <w:tcW w:type="dxa" w:w="1173"/>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Feasibility</w:t>
            </w:r>
          </w:p>
        </w:tc>
        <w:tc>
          <w:tcPr>
            <w:tcW w:type="dxa" w:w="1895"/>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Cost of error</w:t>
            </w:r>
          </w:p>
        </w:tc>
        <w:tc>
          <w:tcPr>
            <w:tcW w:type="dxa" w:w="153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Priority</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Daily operations triage and severity ranking</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17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 (human sign-off)</w:t>
            </w:r>
          </w:p>
        </w:tc>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 — MVP wedge</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Daily and weekly narrative summaries for leadership</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17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 — shipped</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Meeting intelligence (transcript to summary, actions, attendance)</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17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 — shipped</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Document intake via OCR (fee receipts, forms, letters)</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17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P2</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Natural-language querying of scoped operational data</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17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P2</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Exam paper generation assistance and equivalence checking</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17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P3 — assist only</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Examination classroom allocation and seating generation (constraint solving)</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17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 — in the Examinations module</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Budget proposal completeness and duplicate-spend checking</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17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P2</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Predictive fee-default and dropout risk scoring</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17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Very high (student impact)</w:t>
            </w:r>
          </w:p>
        </w:tc>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Deferred</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Automated staff performance scoring from operational logs</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117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Very high (fairness)</w:t>
            </w:r>
          </w:p>
        </w:tc>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Rejected</w:t>
            </w:r>
          </w:p>
        </w:tc>
      </w:tr>
    </w:tbl>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DECISIONS WORTH DEFENDING</w:t>
            </w:r>
          </w:p>
          <w:p>
            <w:pPr>
              <w:spacing w:after="0" w:before="0" w:line="276"/>
              <w:jc w:val="both"/>
            </w:pPr>
            <w:r>
              <w:rPr>
                <w:rFonts w:ascii="Calibri" w:cs="Calibri" w:eastAsia="Calibri" w:hAnsi="Calibri"/>
                <w:color w:val="1F2A44"/>
                <w:sz w:val="22"/>
                <w:szCs w:val="22"/>
              </w:rPr>
              <w:t xml:space="preserve">Two entries were deliberately pushed down or out. Predictive student-risk scoring is deferred because the training data available today reflects operational recording habits more than student behaviour, and a wrong prediction attaches to a named student. Automated staff scoring is rejected outright: it converts an operational tool into a surveillance instrument, which would destroy the trust the platform depends on for honest daily reporting.</w:t>
            </w:r>
          </w:p>
        </w:tc>
      </w:tr>
    </w:tbl>
    <w:p>
      <w:pPr>
        <w:pStyle w:val="Heading2"/>
        <w:spacing w:after="120" w:before="280" w:line="276"/>
        <w:jc w:val="left"/>
      </w:pPr>
      <w:r>
        <w:rPr>
          <w:rFonts w:ascii="Calibri" w:cs="Calibri" w:eastAsia="Calibri" w:hAnsi="Calibri"/>
          <w:b/>
          <w:bCs/>
          <w:color w:val="0E7C86"/>
          <w:sz w:val="25"/>
          <w:szCs w:val="25"/>
        </w:rPr>
        <w:t xml:space="preserve">2.5 Build vs Buy vs Partner / API</w:t>
      </w:r>
    </w:p>
    <w:p>
      <w:pPr>
        <w:spacing w:after="140" w:before="0" w:line="276"/>
        <w:jc w:val="both"/>
      </w:pPr>
      <w:r>
        <w:rPr>
          <w:rFonts w:ascii="Calibri" w:cs="Calibri" w:eastAsia="Calibri" w:hAnsi="Calibri"/>
          <w:color w:val="1F2A44"/>
          <w:sz w:val="22"/>
          <w:szCs w:val="22"/>
        </w:rPr>
        <w:t xml:space="preserve">The decision was taken layer by layer rather than as a single verdict, because the right answer differs at each layer.</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986"/>
        <w:gridCol w:w="1805"/>
        <w:gridCol w:w="5235"/>
      </w:tblGrid>
      <w:tr>
        <w:trPr>
          <w:tblHeader/>
        </w:trPr>
        <w:tc>
          <w:tcPr>
            <w:tcW w:type="dxa" w:w="198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Layer</w:t>
            </w:r>
          </w:p>
        </w:tc>
        <w:tc>
          <w:tcPr>
            <w:tcW w:type="dxa" w:w="1805"/>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Decision</w:t>
            </w:r>
          </w:p>
        </w:tc>
        <w:tc>
          <w:tcPr>
            <w:tcW w:type="dxa" w:w="5235"/>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Reasoning</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 inference</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API (Google Gemini)</w:t>
            </w:r>
          </w:p>
        </w:tc>
        <w:tc>
          <w:tcPr>
            <w:tcW w:type="dxa" w:w="523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Quality is adequate today, cost is per-call, and switching cost is low because prompts and evaluation live in our code, not in the vendor. Training a model would consume months to reach parity on a task where nothing proprietary is being learned.</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Document OCR</w:t>
            </w:r>
          </w:p>
        </w:tc>
        <w:tc>
          <w:tcPr>
            <w:tcW w:type="dxa" w:w="180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API (Google Vision)</w:t>
            </w:r>
          </w:p>
        </w:tc>
        <w:tc>
          <w:tcPr>
            <w:tcW w:type="dxa" w:w="523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commodity capability. Building it would be an expensive way to reach the same accuracy.</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Workflow, permissions, audit, state machines</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Build</w:t>
            </w:r>
          </w:p>
        </w:tc>
        <w:tc>
          <w:tcPr>
            <w:tcW w:type="dxa" w:w="523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This is the differentiation. No vendor knows this network's approval ladder, campus scoping rules or daily rhythm, and these are the parts that must be exactly correct.</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Database, hosting, queues</w:t>
            </w:r>
          </w:p>
        </w:tc>
        <w:tc>
          <w:tcPr>
            <w:tcW w:type="dxa" w:w="180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Buy (Supabase, Railway, Redis)</w:t>
            </w:r>
          </w:p>
        </w:tc>
        <w:tc>
          <w:tcPr>
            <w:tcW w:type="dxa" w:w="523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Managed infrastructure at a small fraction of the operational cost of self-hosting, with row-level security available at the database layer.</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Identity, mail, calendar, storage</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Partner (Google Workspace)</w:t>
            </w:r>
          </w:p>
        </w:tc>
        <w:tc>
          <w:tcPr>
            <w:tcW w:type="dxa" w:w="523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institution already runs on it; integrating is faster and safer than replacing.</w:t>
            </w:r>
          </w:p>
        </w:tc>
      </w:tr>
    </w:tbl>
    <w:p>
      <w:pPr>
        <w:pStyle w:val="Heading3"/>
        <w:spacing w:after="100" w:before="220" w:line="276"/>
        <w:jc w:val="left"/>
      </w:pPr>
      <w:r>
        <w:rPr>
          <w:rFonts w:ascii="Calibri" w:cs="Calibri" w:eastAsia="Calibri" w:hAnsi="Calibri"/>
          <w:b/>
          <w:bCs/>
          <w:color w:val="17263F"/>
          <w:sz w:val="22"/>
          <w:szCs w:val="22"/>
        </w:rPr>
        <w:t xml:space="preserve">Main trade-offs accepted</w:t>
      </w:r>
    </w:p>
    <w:p>
      <w:pPr>
        <w:pStyle w:val="ListParagraph"/>
        <w:numPr>
          <w:ilvl w:val="0"/>
          <w:numId w:val="2"/>
        </w:numPr>
        <w:spacing w:after="60" w:line="276"/>
        <w:jc w:val="both"/>
      </w:pPr>
      <w:r>
        <w:rPr>
          <w:rFonts w:ascii="Calibri" w:cs="Calibri" w:eastAsia="Calibri" w:hAnsi="Calibri"/>
          <w:color w:val="1F2A44"/>
          <w:sz w:val="22"/>
          <w:szCs w:val="22"/>
        </w:rPr>
        <w:t xml:space="preserve">Vendor dependency on a single model provider. Mitigated by keeping all prompts, evaluation sets and post-processing inside our codebase and behind one internal interface, so a provider swap is a configuration change and a re-run of the evaluation set.</w:t>
      </w:r>
    </w:p>
    <w:p>
      <w:pPr>
        <w:pStyle w:val="ListParagraph"/>
        <w:numPr>
          <w:ilvl w:val="0"/>
          <w:numId w:val="2"/>
        </w:numPr>
        <w:spacing w:after="60" w:line="276"/>
        <w:jc w:val="both"/>
      </w:pPr>
      <w:r>
        <w:rPr>
          <w:rFonts w:ascii="Calibri" w:cs="Calibri" w:eastAsia="Calibri" w:hAnsi="Calibri"/>
          <w:color w:val="1F2A44"/>
          <w:sz w:val="22"/>
          <w:szCs w:val="22"/>
        </w:rPr>
        <w:t xml:space="preserve">Per-call inference cost that grows with usage rather than a fixed licence. Accepted because it keeps the entry cost near zero and the cost is bounded by design (see Section 6.3).</w:t>
      </w:r>
    </w:p>
    <w:p>
      <w:pPr>
        <w:pStyle w:val="ListParagraph"/>
        <w:numPr>
          <w:ilvl w:val="0"/>
          <w:numId w:val="2"/>
        </w:numPr>
        <w:spacing w:after="60" w:line="276"/>
        <w:jc w:val="both"/>
      </w:pPr>
      <w:r>
        <w:rPr>
          <w:rFonts w:ascii="Calibri" w:cs="Calibri" w:eastAsia="Calibri" w:hAnsi="Calibri"/>
          <w:color w:val="1F2A44"/>
          <w:sz w:val="22"/>
          <w:szCs w:val="22"/>
        </w:rPr>
        <w:t xml:space="preserve">No proprietary model advantage. Accepted deliberately: the defensibility of this product is workflow depth, permission scoping and audit, not model weights.</w:t>
      </w:r>
    </w:p>
    <w:p>
      <w:pPr>
        <w:pStyle w:val="Heading2"/>
        <w:spacing w:after="120" w:before="280" w:line="276"/>
        <w:jc w:val="left"/>
      </w:pPr>
      <w:r>
        <w:rPr>
          <w:rFonts w:ascii="Calibri" w:cs="Calibri" w:eastAsia="Calibri" w:hAnsi="Calibri"/>
          <w:b/>
          <w:bCs/>
          <w:color w:val="0E7C86"/>
          <w:sz w:val="25"/>
          <w:szCs w:val="25"/>
        </w:rPr>
        <w:t xml:space="preserve">2.6 First Wedge</w:t>
      </w:r>
    </w:p>
    <w:p>
      <w:pPr>
        <w:spacing w:after="140" w:before="0" w:line="276"/>
        <w:jc w:val="both"/>
      </w:pPr>
      <w:r>
        <w:rPr>
          <w:rFonts w:ascii="Calibri" w:cs="Calibri" w:eastAsia="Calibri" w:hAnsi="Calibri"/>
          <w:color w:val="1F2A44"/>
          <w:sz w:val="22"/>
          <w:szCs w:val="22"/>
        </w:rPr>
        <w:t xml:space="preserve">The first wedge is Daily Operations Triage on the existing daily submission spine, restricted to five campuses in one cluster for one academic month. It was chosen because it sits on a workflow that already has a mandatory daily rhythm, an existing human approval step to act as the safety net, complete historical data to evaluate against, and a decision-maker (the reviewing manager) who feels the pain personally every evening. It is narrow enough to be honestly evaluated within a pilot and central enough that success matters.</w:t>
      </w:r>
    </w:p>
    <w:p>
      <w:pPr>
        <w:pStyle w:val="Heading2"/>
        <w:spacing w:after="120" w:before="280" w:line="276"/>
        <w:jc w:val="left"/>
      </w:pPr>
      <w:r>
        <w:rPr>
          <w:rFonts w:ascii="Calibri" w:cs="Calibri" w:eastAsia="Calibri" w:hAnsi="Calibri"/>
          <w:b/>
          <w:bCs/>
          <w:color w:val="0E7C86"/>
          <w:sz w:val="25"/>
          <w:szCs w:val="25"/>
        </w:rPr>
        <w:t xml:space="preserve">2.7 Platform or Feature?</w:t>
      </w:r>
    </w:p>
    <w:p>
      <w:pPr>
        <w:spacing w:after="140" w:before="0" w:line="276"/>
        <w:jc w:val="both"/>
      </w:pPr>
      <w:r>
        <w:rPr>
          <w:rFonts w:ascii="Calibri" w:cs="Calibri" w:eastAsia="Calibri" w:hAnsi="Calibri"/>
          <w:color w:val="1F2A44"/>
          <w:sz w:val="22"/>
          <w:szCs w:val="22"/>
        </w:rPr>
        <w:t xml:space="preserve">This question decides how the work is funded and how it is judged, so it is answered explicitly rather than left implied. UniConnect is a platform: one database, one permission model, one audit trail, with modules added on top of a shared operational spine. The Intelligence Layer, by contrast, is deliberately a feature — a thin capability sitting on that spine, not a separate product with its own data, its own screens or its own login.</w:t>
      </w:r>
    </w:p>
    <w:p>
      <w:pPr>
        <w:spacing w:after="140" w:before="0" w:line="276"/>
        <w:jc w:val="both"/>
      </w:pPr>
      <w:r>
        <w:rPr>
          <w:rFonts w:ascii="Calibri" w:cs="Calibri" w:eastAsia="Calibri" w:hAnsi="Calibri"/>
          <w:color w:val="1F2A44"/>
          <w:sz w:val="22"/>
          <w:szCs w:val="22"/>
        </w:rPr>
        <w:t xml:space="preserve">That framing carries consequences the team accepts. A feature must earn its place on an existing surface rather than build a new one, which is why triage appears inside the review flow reviewers already use rather than as an "AI assistant" tab. A feature must also be removable: switching the layer off returns the product to the platform the network already runs on, and nothing breaks. If the layer were built as a platform in its own right — its own data store, its own interface, its own notion of a campus — the network would be running two systems of record, which is the exact problem the platform was built to end.</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Platform where the data, permissions and audit live. Feature where the AI lives. The moment an AI capability starts wanting its own database or its own screen away from the workflow, that is the signal it has been scoped wrongly.</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3. PM Artifact Pack</w:t>
      </w:r>
    </w:p>
    <w:p>
      <w:pPr>
        <w:pStyle w:val="Heading2"/>
        <w:spacing w:after="120" w:before="280" w:line="276"/>
        <w:jc w:val="left"/>
      </w:pPr>
      <w:r>
        <w:rPr>
          <w:rFonts w:ascii="Calibri" w:cs="Calibri" w:eastAsia="Calibri" w:hAnsi="Calibri"/>
          <w:b/>
          <w:bCs/>
          <w:color w:val="0E7C86"/>
          <w:sz w:val="25"/>
          <w:szCs w:val="25"/>
        </w:rPr>
        <w:t xml:space="preserve">3.1 Problem Statement</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Reviewing managers receive around 40 free-text daily campus reports plus their attached operational numbers every working day. They must decide, within a short evening window, which reports can be signed off and which hide a problem that needs action tonight. Today that decision is made by reading everything at speed, which means the decision quality falls as the network grows, serious issues surface a day or more late, and the reviewer has no consistent record of why one report was escalated and another was not.</w:t>
            </w:r>
          </w:p>
        </w:tc>
      </w:tr>
    </w:tbl>
    <w:p>
      <w:pPr>
        <w:pStyle w:val="Heading2"/>
        <w:spacing w:after="120" w:before="280" w:line="276"/>
        <w:jc w:val="left"/>
      </w:pPr>
      <w:r>
        <w:rPr>
          <w:rFonts w:ascii="Calibri" w:cs="Calibri" w:eastAsia="Calibri" w:hAnsi="Calibri"/>
          <w:b/>
          <w:bCs/>
          <w:color w:val="0E7C86"/>
          <w:sz w:val="25"/>
          <w:szCs w:val="25"/>
        </w:rPr>
        <w:t xml:space="preserve">3.2 Product Vision for the Intelligence Layer</w:t>
      </w:r>
    </w:p>
    <w:p>
      <w:pPr>
        <w:spacing w:after="140" w:before="0" w:line="276"/>
        <w:jc w:val="both"/>
      </w:pPr>
      <w:r>
        <w:rPr>
          <w:rFonts w:ascii="Calibri" w:cs="Calibri" w:eastAsia="Calibri" w:hAnsi="Calibri"/>
          <w:color w:val="1F2A44"/>
          <w:sz w:val="22"/>
          <w:szCs w:val="22"/>
        </w:rPr>
        <w:t xml:space="preserve">A reviewer opens one queue instead of forty documents. Each item carries a short factual summary, an explicit severity with the sentence that caused it, a confidence level, and a recommended action. The reviewer agrees, edits or overrides in one click, and every one of those choices becomes both an audit record and a training signal. The reviewer's job changes from reading to deciding — and never from deciding to trusting.</w:t>
      </w:r>
    </w:p>
    <w:p>
      <w:pPr>
        <w:pStyle w:val="Heading2"/>
        <w:spacing w:after="120" w:before="280" w:line="276"/>
        <w:jc w:val="left"/>
      </w:pPr>
      <w:r>
        <w:rPr>
          <w:rFonts w:ascii="Calibri" w:cs="Calibri" w:eastAsia="Calibri" w:hAnsi="Calibri"/>
          <w:b/>
          <w:bCs/>
          <w:color w:val="0E7C86"/>
          <w:sz w:val="25"/>
          <w:szCs w:val="25"/>
        </w:rPr>
        <w:t xml:space="preserve">3.3 PRD Summary (PRD-lite): Daily Operations Triage</w:t>
      </w:r>
    </w:p>
    <w:p>
      <w:pPr>
        <w:pStyle w:val="Heading3"/>
        <w:spacing w:after="100" w:before="220" w:line="276"/>
        <w:jc w:val="left"/>
      </w:pPr>
      <w:r>
        <w:rPr>
          <w:rFonts w:ascii="Calibri" w:cs="Calibri" w:eastAsia="Calibri" w:hAnsi="Calibri"/>
          <w:b/>
          <w:bCs/>
          <w:color w:val="17263F"/>
          <w:sz w:val="22"/>
          <w:szCs w:val="22"/>
        </w:rPr>
        <w:t xml:space="preserve">User problem</w:t>
      </w:r>
    </w:p>
    <w:p>
      <w:pPr>
        <w:spacing w:after="140" w:before="0" w:line="276"/>
        <w:jc w:val="both"/>
      </w:pPr>
      <w:r>
        <w:rPr>
          <w:rFonts w:ascii="Calibri" w:cs="Calibri" w:eastAsia="Calibri" w:hAnsi="Calibri"/>
          <w:color w:val="1F2A44"/>
          <w:sz w:val="22"/>
          <w:szCs w:val="22"/>
        </w:rPr>
        <w:t xml:space="preserve">The reviewing manager cannot read 40 reports carefully in the evening window available, so severity is discovered late and inconsistently.</w:t>
      </w:r>
    </w:p>
    <w:p>
      <w:pPr>
        <w:pStyle w:val="Heading3"/>
        <w:spacing w:after="100" w:before="220" w:line="276"/>
        <w:jc w:val="left"/>
      </w:pPr>
      <w:r>
        <w:rPr>
          <w:rFonts w:ascii="Calibri" w:cs="Calibri" w:eastAsia="Calibri" w:hAnsi="Calibri"/>
          <w:b/>
          <w:bCs/>
          <w:color w:val="17263F"/>
          <w:sz w:val="22"/>
          <w:szCs w:val="22"/>
        </w:rPr>
        <w:t xml:space="preserve">Core workflow</w:t>
      </w:r>
    </w:p>
    <w:p>
      <w:pPr>
        <w:pStyle w:val="ListParagraph"/>
        <w:numPr>
          <w:ilvl w:val="0"/>
          <w:numId w:val="3"/>
        </w:numPr>
        <w:spacing w:after="60" w:line="276"/>
        <w:jc w:val="both"/>
      </w:pPr>
      <w:r>
        <w:rPr>
          <w:rFonts w:ascii="Calibri" w:cs="Calibri" w:eastAsia="Calibri" w:hAnsi="Calibri"/>
          <w:color w:val="1F2A44"/>
          <w:sz w:val="22"/>
          <w:szCs w:val="22"/>
        </w:rPr>
        <w:t xml:space="preserve">The Business Operations Associate submits the daily operational report before the 16:00 cut-off, as they do today.</w:t>
      </w:r>
    </w:p>
    <w:p>
      <w:pPr>
        <w:pStyle w:val="ListParagraph"/>
        <w:numPr>
          <w:ilvl w:val="0"/>
          <w:numId w:val="3"/>
        </w:numPr>
        <w:spacing w:after="60" w:line="276"/>
        <w:jc w:val="both"/>
      </w:pPr>
      <w:r>
        <w:rPr>
          <w:rFonts w:ascii="Calibri" w:cs="Calibri" w:eastAsia="Calibri" w:hAnsi="Calibri"/>
          <w:color w:val="1F2A44"/>
          <w:sz w:val="22"/>
          <w:szCs w:val="22"/>
        </w:rPr>
        <w:t xml:space="preserve">On submission, the platform assembles a grounded context package: the report text, the campus's numeric series for the day (fee movement, attendance, open tasks, pending budget approvals), and the last seven days of that campus's history.</w:t>
      </w:r>
    </w:p>
    <w:p>
      <w:pPr>
        <w:pStyle w:val="ListParagraph"/>
        <w:numPr>
          <w:ilvl w:val="0"/>
          <w:numId w:val="3"/>
        </w:numPr>
        <w:spacing w:after="60" w:line="276"/>
        <w:jc w:val="both"/>
      </w:pPr>
      <w:r>
        <w:rPr>
          <w:rFonts w:ascii="Calibri" w:cs="Calibri" w:eastAsia="Calibri" w:hAnsi="Calibri"/>
          <w:color w:val="1F2A44"/>
          <w:sz w:val="22"/>
          <w:szCs w:val="22"/>
        </w:rPr>
        <w:t xml:space="preserve">The model extracts discrete issues from the text, classifies each by type and severity, and produces a two-to-three sentence summary that cites the source sentence for every claim it makes.</w:t>
      </w:r>
    </w:p>
    <w:p>
      <w:pPr>
        <w:pStyle w:val="ListParagraph"/>
        <w:numPr>
          <w:ilvl w:val="0"/>
          <w:numId w:val="3"/>
        </w:numPr>
        <w:spacing w:after="60" w:line="276"/>
        <w:jc w:val="both"/>
      </w:pPr>
      <w:r>
        <w:rPr>
          <w:rFonts w:ascii="Calibri" w:cs="Calibri" w:eastAsia="Calibri" w:hAnsi="Calibri"/>
          <w:color w:val="1F2A44"/>
          <w:sz w:val="22"/>
          <w:szCs w:val="22"/>
        </w:rPr>
        <w:t xml:space="preserve">Deterministic rules run in parallel and can only raise severity, never lower it. A numeric breach always surfaces regardless of what the model concluded.</w:t>
      </w:r>
    </w:p>
    <w:p>
      <w:pPr>
        <w:pStyle w:val="ListParagraph"/>
        <w:numPr>
          <w:ilvl w:val="0"/>
          <w:numId w:val="3"/>
        </w:numPr>
        <w:spacing w:after="60" w:line="276"/>
        <w:jc w:val="both"/>
      </w:pPr>
      <w:r>
        <w:rPr>
          <w:rFonts w:ascii="Calibri" w:cs="Calibri" w:eastAsia="Calibri" w:hAnsi="Calibri"/>
          <w:color w:val="1F2A44"/>
          <w:sz w:val="22"/>
          <w:szCs w:val="22"/>
        </w:rPr>
        <w:t xml:space="preserve">Each report enters the reviewer's queue ranked by severity and confidence, with the evidence attached.</w:t>
      </w:r>
    </w:p>
    <w:p>
      <w:pPr>
        <w:pStyle w:val="ListParagraph"/>
        <w:numPr>
          <w:ilvl w:val="0"/>
          <w:numId w:val="3"/>
        </w:numPr>
        <w:spacing w:after="60" w:line="276"/>
        <w:jc w:val="both"/>
      </w:pPr>
      <w:r>
        <w:rPr>
          <w:rFonts w:ascii="Calibri" w:cs="Calibri" w:eastAsia="Calibri" w:hAnsi="Calibri"/>
          <w:color w:val="1F2A44"/>
          <w:sz w:val="22"/>
          <w:szCs w:val="22"/>
        </w:rPr>
        <w:t xml:space="preserve">The reviewer signs off, sends back, or escalates. Overrides require a one-line reason chosen from a short list plus optional free text.</w:t>
      </w:r>
    </w:p>
    <w:p>
      <w:pPr>
        <w:pStyle w:val="ListParagraph"/>
        <w:numPr>
          <w:ilvl w:val="0"/>
          <w:numId w:val="3"/>
        </w:numPr>
        <w:spacing w:after="60" w:line="276"/>
        <w:jc w:val="both"/>
      </w:pPr>
      <w:r>
        <w:rPr>
          <w:rFonts w:ascii="Calibri" w:cs="Calibri" w:eastAsia="Calibri" w:hAnsi="Calibri"/>
          <w:color w:val="1F2A44"/>
          <w:sz w:val="22"/>
          <w:szCs w:val="22"/>
        </w:rPr>
        <w:t xml:space="preserve">The decision, the model output, the prompt version and the reviewer's reason are written immutably to the audit log.</w:t>
      </w:r>
    </w:p>
    <w:p>
      <w:pPr>
        <w:pStyle w:val="Heading3"/>
        <w:spacing w:after="100" w:before="220" w:line="276"/>
        <w:jc w:val="left"/>
      </w:pPr>
      <w:r>
        <w:rPr>
          <w:rFonts w:ascii="Calibri" w:cs="Calibri" w:eastAsia="Calibri" w:hAnsi="Calibri"/>
          <w:b/>
          <w:bCs/>
          <w:color w:val="17263F"/>
          <w:sz w:val="22"/>
          <w:szCs w:val="22"/>
        </w:rPr>
        <w:t xml:space="preserve">Where AI creates the value</w:t>
      </w:r>
    </w:p>
    <w:p>
      <w:pPr>
        <w:spacing w:after="140" w:before="0" w:line="276"/>
        <w:jc w:val="both"/>
      </w:pPr>
      <w:r>
        <w:rPr>
          <w:rFonts w:ascii="Calibri" w:cs="Calibri" w:eastAsia="Calibri" w:hAnsi="Calibri"/>
          <w:color w:val="1F2A44"/>
          <w:sz w:val="22"/>
          <w:szCs w:val="22"/>
        </w:rPr>
        <w:t xml:space="preserve">AI does exactly three things: it reads unstructured text, it proposes a severity with cited evidence, and it drafts a summary. It does not compute numbers, does not decide approvals, does not send anything to anyone, and does not write to any record other than its own suggestion row.</w:t>
      </w:r>
    </w:p>
    <w:p>
      <w:pPr>
        <w:pStyle w:val="Heading3"/>
        <w:spacing w:after="100" w:before="220" w:line="276"/>
        <w:jc w:val="left"/>
      </w:pPr>
      <w:r>
        <w:rPr>
          <w:rFonts w:ascii="Calibri" w:cs="Calibri" w:eastAsia="Calibri" w:hAnsi="Calibri"/>
          <w:b/>
          <w:bCs/>
          <w:color w:val="17263F"/>
          <w:sz w:val="22"/>
          <w:szCs w:val="22"/>
        </w:rPr>
        <w:t xml:space="preserve">Risks and fallback logic</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069"/>
        <w:gridCol w:w="5957"/>
      </w:tblGrid>
      <w:tr>
        <w:trPr>
          <w:tblHeader/>
        </w:trPr>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Failure mode</w:t>
            </w:r>
          </w:p>
        </w:tc>
        <w:tc>
          <w:tcPr>
            <w:tcW w:type="dxa" w:w="595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Fallback behaviour</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API unavailable or times out</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Queue falls back to rules-plus-chronological ordering, with a visible banner saying AI assistance is unavailable. The workflow never blocks on the model.</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returns low confidence</w:t>
            </w:r>
          </w:p>
        </w:tc>
        <w:tc>
          <w:tcPr>
            <w:tcW w:type="dxa" w:w="595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Item is marked "needs full read", the summary is collapsed by default, and the reviewer sees the raw report first.</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output fails schema validation</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Output is discarded, the item is treated as unprocessed, and the failure is logged to the evaluation table.</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misses an issue the rules caught</w:t>
            </w:r>
          </w:p>
        </w:tc>
        <w:tc>
          <w:tcPr>
            <w:tcW w:type="dxa" w:w="595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Rule severity wins. The mismatch is flagged into the weekly review sample as a training signal.</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disagrees with severity</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One-click override with reason. Overrides above a weekly threshold trigger a prompt and threshold review.</w:t>
            </w:r>
          </w:p>
        </w:tc>
      </w:tr>
    </w:tbl>
    <w:p>
      <w:pPr>
        <w:pStyle w:val="Heading2"/>
        <w:spacing w:after="120" w:before="280" w:line="276"/>
        <w:jc w:val="left"/>
      </w:pPr>
      <w:r>
        <w:rPr>
          <w:rFonts w:ascii="Calibri" w:cs="Calibri" w:eastAsia="Calibri" w:hAnsi="Calibri"/>
          <w:b/>
          <w:bCs/>
          <w:color w:val="0E7C86"/>
          <w:sz w:val="25"/>
          <w:szCs w:val="25"/>
        </w:rPr>
        <w:t xml:space="preserve">3.4 Feature Prioritisation</w:t>
      </w:r>
    </w:p>
    <w:p>
      <w:pPr>
        <w:spacing w:after="140" w:before="0" w:line="276"/>
        <w:jc w:val="both"/>
      </w:pPr>
      <w:r>
        <w:rPr>
          <w:rFonts w:ascii="Calibri" w:cs="Calibri" w:eastAsia="Calibri" w:hAnsi="Calibri"/>
          <w:color w:val="1F2A44"/>
          <w:sz w:val="22"/>
          <w:szCs w:val="22"/>
        </w:rPr>
        <w:t xml:space="preserve">The scoring below is a RICE-style judgement adapted for an AI product. Reach is deliberately constant across these features — every one of them touches the same daily review of the same 40 campuses — so it carries no discriminating information and is left out. Impact and confidence are kept, effort is expressed in developer-weeks for a single developer, and confidence reflects how sure we are that the feature delivers the stated value rather than how sure we are that it can be built. Cost of error, which conventional RICE has no slot for, is carried separately in the opportunity matrix in Section 2.4 and is what moved two high-value ideas out of the plan entirely.</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610"/>
        <w:gridCol w:w="1354"/>
        <w:gridCol w:w="1264"/>
        <w:gridCol w:w="1444"/>
        <w:gridCol w:w="1354"/>
      </w:tblGrid>
      <w:tr>
        <w:trPr>
          <w:tblHeader/>
        </w:trPr>
        <w:tc>
          <w:tcPr>
            <w:tcW w:type="dxa" w:w="361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Feature</w:t>
            </w:r>
          </w:p>
        </w:tc>
        <w:tc>
          <w:tcPr>
            <w:tcW w:type="dxa" w:w="135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User value</w:t>
            </w:r>
          </w:p>
        </w:tc>
        <w:tc>
          <w:tcPr>
            <w:tcW w:type="dxa" w:w="126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Effort</w:t>
            </w:r>
          </w:p>
        </w:tc>
        <w:tc>
          <w:tcPr>
            <w:tcW w:type="dxa" w:w="144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Confidence</w:t>
            </w:r>
          </w:p>
        </w:tc>
        <w:tc>
          <w:tcPr>
            <w:tcW w:type="dxa" w:w="135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Priority</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Grounded daily report summary with source citation</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 (2w)</w:t>
            </w:r>
          </w:p>
        </w:tc>
        <w:tc>
          <w:tcPr>
            <w:tcW w:type="dxa" w:w="144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Issue extraction and severity classification</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 (3w)</w:t>
            </w:r>
          </w:p>
        </w:tc>
        <w:tc>
          <w:tcPr>
            <w:tcW w:type="dxa" w:w="144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Confidence-based queue ranking and routing</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 (2w)</w:t>
            </w:r>
          </w:p>
        </w:tc>
        <w:tc>
          <w:tcPr>
            <w:tcW w:type="dxa" w:w="144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Override capture with structured reasons</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 (1w)</w:t>
            </w:r>
          </w:p>
        </w:tc>
        <w:tc>
          <w:tcPr>
            <w:tcW w:type="dxa" w:w="144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Evaluation harness and weekly sample review</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 (2w)</w:t>
            </w:r>
          </w:p>
        </w:tc>
        <w:tc>
          <w:tcPr>
            <w:tcW w:type="dxa" w:w="144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Rule-and-model reconciliation layer</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26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 (1w)</w:t>
            </w:r>
          </w:p>
        </w:tc>
        <w:tc>
          <w:tcPr>
            <w:tcW w:type="dxa" w:w="144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Cross-campus pattern detection across a week</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 (4w)</w:t>
            </w:r>
          </w:p>
        </w:tc>
        <w:tc>
          <w:tcPr>
            <w:tcW w:type="dxa" w:w="144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P2</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Natural-language query over scoped operational data</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26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 (4w)</w:t>
            </w:r>
          </w:p>
        </w:tc>
        <w:tc>
          <w:tcPr>
            <w:tcW w:type="dxa" w:w="144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P2</w:t>
            </w:r>
          </w:p>
        </w:tc>
      </w:tr>
      <w:tr>
        <w:trPr>
          <w:cantSplit/>
        </w:trPr>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Document OCR intake for receipts and forms</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26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 (3w)</w:t>
            </w:r>
          </w:p>
        </w:tc>
        <w:tc>
          <w:tcPr>
            <w:tcW w:type="dxa" w:w="144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P2</w:t>
            </w:r>
          </w:p>
        </w:tc>
      </w:tr>
      <w:tr>
        <w:trPr>
          <w:cantSplit/>
        </w:trPr>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Exam paper equivalence assistance</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126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 (6w)</w:t>
            </w:r>
          </w:p>
        </w:tc>
        <w:tc>
          <w:tcPr>
            <w:tcW w:type="dxa" w:w="144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P3</w:t>
            </w:r>
          </w:p>
        </w:tc>
      </w:tr>
    </w:tbl>
    <w:p>
      <w:pPr>
        <w:pStyle w:val="Heading2"/>
        <w:spacing w:after="120" w:before="280" w:line="276"/>
        <w:jc w:val="left"/>
      </w:pPr>
      <w:r>
        <w:rPr>
          <w:rFonts w:ascii="Calibri" w:cs="Calibri" w:eastAsia="Calibri" w:hAnsi="Calibri"/>
          <w:b/>
          <w:bCs/>
          <w:color w:val="0E7C86"/>
          <w:sz w:val="25"/>
          <w:szCs w:val="25"/>
        </w:rPr>
        <w:t xml:space="preserve">3.5 MVP Definition</w:t>
      </w:r>
    </w:p>
    <w:p>
      <w:pPr>
        <w:spacing w:after="140" w:before="0" w:line="276"/>
        <w:jc w:val="both"/>
      </w:pPr>
      <w:r>
        <w:rPr>
          <w:rFonts w:ascii="Calibri" w:cs="Calibri" w:eastAsia="Calibri" w:hAnsi="Calibri"/>
          <w:color w:val="1F2A44"/>
          <w:sz w:val="22"/>
          <w:szCs w:val="22"/>
        </w:rPr>
        <w:t xml:space="preserve">The MVP is the smallest version that can tell us something we genuinely do not know today. It is five campuses, one cluster, one academic month, assist-only.</w:t>
      </w:r>
    </w:p>
    <w:p>
      <w:pPr>
        <w:spacing w:after="140" w:before="0" w:line="276"/>
        <w:jc w:val="both"/>
      </w:pPr>
      <w:r>
        <w:rPr>
          <w:rFonts w:ascii="Calibri" w:cs="Calibri" w:eastAsia="Calibri" w:hAnsi="Calibri"/>
          <w:b/>
          <w:bCs/>
          <w:color w:val="1F2A44"/>
          <w:sz w:val="22"/>
          <w:szCs w:val="22"/>
        </w:rPr>
        <w:t xml:space="preserve">In scope: </w:t>
      </w:r>
      <w:r>
        <w:rPr>
          <w:rFonts w:ascii="Calibri" w:cs="Calibri" w:eastAsia="Calibri" w:hAnsi="Calibri"/>
          <w:color w:val="1F2A44"/>
          <w:sz w:val="22"/>
          <w:szCs w:val="22"/>
        </w:rPr>
        <w:t xml:space="preserve">summary generation with citation, issue extraction, severity classification, confidence-based ranking, override capture with reasons, the reconciliation layer with existing numeric rules, the audit trail, and the evaluation harness with a weekly manually reviewed sample.</w:t>
      </w:r>
    </w:p>
    <w:p>
      <w:pPr>
        <w:spacing w:after="140" w:before="0" w:line="276"/>
        <w:jc w:val="both"/>
      </w:pPr>
      <w:r>
        <w:rPr>
          <w:rFonts w:ascii="Calibri" w:cs="Calibri" w:eastAsia="Calibri" w:hAnsi="Calibri"/>
          <w:b/>
          <w:bCs/>
          <w:color w:val="1F2A44"/>
          <w:sz w:val="22"/>
          <w:szCs w:val="22"/>
        </w:rPr>
        <w:t xml:space="preserve">Out of scope: </w:t>
      </w:r>
      <w:r>
        <w:rPr>
          <w:rFonts w:ascii="Calibri" w:cs="Calibri" w:eastAsia="Calibri" w:hAnsi="Calibri"/>
          <w:color w:val="1F2A44"/>
          <w:sz w:val="22"/>
          <w:szCs w:val="22"/>
        </w:rPr>
        <w:t xml:space="preserve">any automatic approval, any student-facing or parent-facing message, any predictive scoring attached to a named student or staff member, exam paper decisions, and any write access by the model to production operational tables.</w:t>
      </w:r>
    </w:p>
    <w:p>
      <w:pPr>
        <w:spacing w:after="140" w:before="0" w:line="276"/>
        <w:jc w:val="both"/>
      </w:pPr>
      <w:r>
        <w:rPr>
          <w:rFonts w:ascii="Calibri" w:cs="Calibri" w:eastAsia="Calibri" w:hAnsi="Calibri"/>
          <w:b/>
          <w:bCs/>
          <w:color w:val="1F2A44"/>
          <w:sz w:val="22"/>
          <w:szCs w:val="22"/>
        </w:rPr>
        <w:t xml:space="preserve">The MVP succeeds if: </w:t>
      </w:r>
      <w:r>
        <w:rPr>
          <w:rFonts w:ascii="Calibri" w:cs="Calibri" w:eastAsia="Calibri" w:hAnsi="Calibri"/>
          <w:color w:val="1F2A44"/>
          <w:sz w:val="22"/>
          <w:szCs w:val="22"/>
        </w:rPr>
        <w:t xml:space="preserve">reviewers report that the queue changed the order in which they worked; severity classification reaches the recall threshold on serious issues; the summary factual-error rate stays inside the threshold on the weekly sample; and no serious issue reached leadership later than it would have without the layer.</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The MVP is intentionally narrow because the real risk is trust and workflow fit, not model capability. A wider MVP would produce a more impressive demonstration and a less trustworthy answer.</w:t>
            </w:r>
          </w:p>
        </w:tc>
      </w:tr>
    </w:tbl>
    <w:p>
      <w:pPr>
        <w:pStyle w:val="Heading2"/>
        <w:spacing w:after="120" w:before="280" w:line="276"/>
        <w:jc w:val="left"/>
      </w:pPr>
      <w:r>
        <w:rPr>
          <w:rFonts w:ascii="Calibri" w:cs="Calibri" w:eastAsia="Calibri" w:hAnsi="Calibri"/>
          <w:b/>
          <w:bCs/>
          <w:color w:val="0E7C86"/>
          <w:sz w:val="25"/>
          <w:szCs w:val="25"/>
        </w:rPr>
        <w:t xml:space="preserve">3.6 Roadmap</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166"/>
        <w:gridCol w:w="3610"/>
        <w:gridCol w:w="3249"/>
      </w:tblGrid>
      <w:tr>
        <w:trPr>
          <w:tblHeader/>
        </w:trPr>
        <w:tc>
          <w:tcPr>
            <w:tcW w:type="dxa" w:w="216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Phase</w:t>
            </w:r>
          </w:p>
        </w:tc>
        <w:tc>
          <w:tcPr>
            <w:tcW w:type="dxa" w:w="361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Focus</w:t>
            </w:r>
          </w:p>
        </w:tc>
        <w:tc>
          <w:tcPr>
            <w:tcW w:type="dxa" w:w="324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Proof gate before proceeding</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Phase 0 — done</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Deterministic platform: submission spine, fees, tasks, approvals, campaigns, exams, audit. Gemini narrative summaries and meeting intelligence live.</w:t>
            </w:r>
          </w:p>
        </w:tc>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Platform adopted as the daily system of record; daily submission compliance stable.</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Phase 1 — MVP pilot (1 month, 5 campuses)</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Daily operations triage in assist-only mode with full evaluation harness.</w:t>
            </w:r>
          </w:p>
        </w:tc>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Severity recall, summary error rate, override rate and reviewer trust thresholds all met (Section 5.7).</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Phase 2 — controlled expansion (1 quarter)</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All 40 campuses; cross-campus weekly pattern detection; OCR document intake; budget-proposal completeness checking; scoped natural-language query.</w:t>
            </w:r>
          </w:p>
        </w:tc>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Cost per campus per month within the modelled ceiling; no campus-scoping breach; sustained reviewer agreement rate.</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Phase 3 — assisted exam operations</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Paper equivalence assistance and portion-completion inference feeding the examinations flow, with mandatory faculty approval.</w:t>
            </w:r>
          </w:p>
        </w:tc>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Zero AI-only paper approvals; faculty acceptance measured; academic governance sign-off obtained.</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Phase 4 — evaluate productisation</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Assess whether the platform is offered to peer institutions as a product.</w:t>
            </w:r>
          </w:p>
        </w:tc>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Two consecutive quarters of stable internal operation and a defensible support model.</w:t>
            </w:r>
          </w:p>
        </w:tc>
      </w:tr>
    </w:tbl>
    <w:p>
      <w:pPr>
        <w:spacing w:after="140" w:before="0" w:line="276"/>
        <w:jc w:val="both"/>
      </w:pPr>
      <w:r>
        <w:rPr>
          <w:rFonts w:ascii="Calibri" w:cs="Calibri" w:eastAsia="Calibri" w:hAnsi="Calibri"/>
          <w:i/>
          <w:iCs/>
          <w:color w:val="1F2A44"/>
          <w:sz w:val="22"/>
          <w:szCs w:val="22"/>
        </w:rPr>
        <w:t xml:space="preserve">The examination classroom allocation described in Section 9 runs on its own track with its own proof gate, because it is a different kind of AI with a different failure mode. It is not sequenced behind the triage pilot, and neither one blocks the other.</w:t>
      </w:r>
    </w:p>
    <w:p>
      <w:pPr>
        <w:pStyle w:val="Heading2"/>
        <w:spacing w:after="120" w:before="280" w:line="276"/>
        <w:jc w:val="left"/>
      </w:pPr>
      <w:r>
        <w:rPr>
          <w:rFonts w:ascii="Calibri" w:cs="Calibri" w:eastAsia="Calibri" w:hAnsi="Calibri"/>
          <w:b/>
          <w:bCs/>
          <w:color w:val="0E7C86"/>
          <w:sz w:val="25"/>
          <w:szCs w:val="25"/>
        </w:rPr>
        <w:t xml:space="preserve">3.7 Success Metrics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534"/>
        <w:gridCol w:w="4513"/>
        <w:gridCol w:w="2979"/>
      </w:tblGrid>
      <w:tr>
        <w:trPr>
          <w:tblHeader/>
        </w:trPr>
        <w:tc>
          <w:tcPr>
            <w:tcW w:type="dxa" w:w="153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Metric type</w:t>
            </w:r>
          </w:p>
        </w:tc>
        <w:tc>
          <w:tcPr>
            <w:tcW w:type="dxa" w:w="4513"/>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Metric</w:t>
            </w:r>
          </w:p>
        </w:tc>
        <w:tc>
          <w:tcPr>
            <w:tcW w:type="dxa" w:w="297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Target for pilot</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Product</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Share of daily reports where the reviewer accepted the AI severity without change</w:t>
            </w:r>
          </w:p>
        </w:tc>
        <w:tc>
          <w:tcPr>
            <w:tcW w:type="dxa" w:w="29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70%</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Product</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Median reviewer time spent per campus report</w:t>
            </w:r>
          </w:p>
        </w:tc>
        <w:tc>
          <w:tcPr>
            <w:tcW w:type="dxa" w:w="29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40% below the pre-pilot baseline</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Median time from a serious issue being written down to it being escalated</w:t>
            </w:r>
          </w:p>
        </w:tc>
        <w:tc>
          <w:tcPr>
            <w:tcW w:type="dxa" w:w="29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Same working day, versus a baseline of one to two days</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Reports sent back for missing information</w:t>
            </w:r>
          </w:p>
        </w:tc>
        <w:tc>
          <w:tcPr>
            <w:tcW w:type="dxa" w:w="29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30% reduction</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Severity recall on serious (P1) issues in the weekly sample</w:t>
            </w:r>
          </w:p>
        </w:tc>
        <w:tc>
          <w:tcPr>
            <w:tcW w:type="dxa" w:w="29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0.90</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Summary statements not supported by the source report</w:t>
            </w:r>
          </w:p>
        </w:tc>
        <w:tc>
          <w:tcPr>
            <w:tcW w:type="dxa" w:w="29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2% of sampled statements</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override rate</w:t>
            </w:r>
          </w:p>
        </w:tc>
        <w:tc>
          <w:tcPr>
            <w:tcW w:type="dxa" w:w="29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Between 10% and 25% — below 10% suggests rubber-stamping, above 25% suggests the model is not useful</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Cross-campus data exposure incidents</w:t>
            </w:r>
          </w:p>
        </w:tc>
        <w:tc>
          <w:tcPr>
            <w:tcW w:type="dxa" w:w="29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Zero, non-negotiable</w:t>
            </w:r>
          </w:p>
        </w:tc>
      </w:tr>
    </w:tbl>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A METRIC THAT CAN FAIL UPWARDS</w:t>
            </w:r>
          </w:p>
          <w:p>
            <w:pPr>
              <w:spacing w:after="0" w:before="0" w:line="276"/>
              <w:jc w:val="both"/>
            </w:pPr>
            <w:r>
              <w:rPr>
                <w:rFonts w:ascii="Calibri" w:cs="Calibri" w:eastAsia="Calibri" w:hAnsi="Calibri"/>
                <w:color w:val="1F2A44"/>
                <w:sz w:val="22"/>
                <w:szCs w:val="22"/>
              </w:rPr>
              <w:t xml:space="preserve">The override band is deliberately two-sided. A very low override rate is not a success signal; it is the most likely early symptom of automation complacency, which is the specific failure this design is most afraid of.</w:t>
            </w:r>
          </w:p>
        </w:tc>
      </w:tr>
    </w:tbl>
    <w:p>
      <w:pPr>
        <w:pStyle w:val="Heading2"/>
        <w:spacing w:after="120" w:before="280" w:line="276"/>
        <w:jc w:val="left"/>
      </w:pPr>
      <w:r>
        <w:rPr>
          <w:rFonts w:ascii="Calibri" w:cs="Calibri" w:eastAsia="Calibri" w:hAnsi="Calibri"/>
          <w:b/>
          <w:bCs/>
          <w:color w:val="0E7C86"/>
          <w:sz w:val="25"/>
          <w:szCs w:val="25"/>
        </w:rPr>
        <w:t xml:space="preserve">3.8 How These PM Artifacts Changed Because the Product Is AI-Powered</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166"/>
        <w:gridCol w:w="6860"/>
      </w:tblGrid>
      <w:tr>
        <w:trPr>
          <w:tblHeader/>
        </w:trPr>
        <w:tc>
          <w:tcPr>
            <w:tcW w:type="dxa" w:w="216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Standard artifact</w:t>
            </w:r>
          </w:p>
        </w:tc>
        <w:tc>
          <w:tcPr>
            <w:tcW w:type="dxa" w:w="686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What changed in this product</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Problem statement</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Had to name the repeated decision being improved ("which report needs me tonight"), not the feature being built. The unit of value is a decision, not a screen.</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Persona and user story</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Every story carries an error cost. The reviewer story explicitly states what happens when the suggestion is wrong, because that path is not an exception here — it is a normal branch.</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PRD</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Gained three sections a conventional PRD does not have: data assumptions and grounding sources, fallback logic for every failure mode, and prompt or model versioning as a first-class change.</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Prioritisation</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Cost of error was added as a scoring dimension alongside value and effort. It is what moved predictive student-risk scoring out of the MVP despite high value.</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Roadmap</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Phases end at proof gates rather than at ship dates. Phase 2 cannot start because Phase 1 finished; it starts because Phase 1 met measured thresholds.</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Metrics</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metrics alone are meaningless to operations, so each technical metric is paired with the business outcome it is supposed to move, plus a guardrail metric that can veto a launch.</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Launch checklist</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Now includes prompt version pinning, rollback to rules-only in a single configuration flag, an evaluation set run before release, and an escalation owner named for the first week.</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Pricing / cost note</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Cost per unit of work is now variable and usage-linked, so the cost model is built per report and per campus rather than per seat.</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 memo</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Separates what the system does today from what a demonstration suggests it could do, because the gap between those two is where AI projects usually lose credibility.</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4. UX, Workflow and Trust Design</w:t>
      </w:r>
    </w:p>
    <w:p>
      <w:pPr>
        <w:pStyle w:val="Heading2"/>
        <w:spacing w:after="120" w:before="280" w:line="276"/>
        <w:jc w:val="left"/>
      </w:pPr>
      <w:r>
        <w:rPr>
          <w:rFonts w:ascii="Calibri" w:cs="Calibri" w:eastAsia="Calibri" w:hAnsi="Calibri"/>
          <w:b/>
          <w:bCs/>
          <w:color w:val="0E7C86"/>
          <w:sz w:val="25"/>
          <w:szCs w:val="25"/>
        </w:rPr>
        <w:t xml:space="preserve">4.1 Design Principle</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The system behaves like a well-prepared assistant who has read everything and is briefing you, not like a manager who has already decided. Every AI output is visibly a suggestion, is attached to its evidence, and is one click away from being overruled.</w:t>
            </w:r>
          </w:p>
        </w:tc>
      </w:tr>
    </w:tbl>
    <w:p>
      <w:pPr>
        <w:pStyle w:val="Heading2"/>
        <w:spacing w:after="120" w:before="280" w:line="276"/>
        <w:jc w:val="left"/>
      </w:pPr>
      <w:r>
        <w:rPr>
          <w:rFonts w:ascii="Calibri" w:cs="Calibri" w:eastAsia="Calibri" w:hAnsi="Calibri"/>
          <w:b/>
          <w:bCs/>
          <w:color w:val="0E7C86"/>
          <w:sz w:val="25"/>
          <w:szCs w:val="25"/>
        </w:rPr>
        <w:t xml:space="preserve">4.2 Main Workflow</w:t>
      </w:r>
    </w:p>
    <w:p>
      <w:pPr>
        <w:spacing w:after="140" w:before="0" w:line="276"/>
        <w:jc w:val="both"/>
      </w:pPr>
      <w:r>
        <w:rPr>
          <w:rFonts w:ascii="Calibri" w:cs="Calibri" w:eastAsia="Calibri" w:hAnsi="Calibri"/>
          <w:color w:val="1F2A44"/>
          <w:sz w:val="22"/>
          <w:szCs w:val="22"/>
        </w:rPr>
        <w:t xml:space="preserve">The journey below is the reviewer's evening, which is the moment the product is designed around.</w:t>
      </w:r>
    </w:p>
    <w:p>
      <w:pPr>
        <w:pStyle w:val="ListParagraph"/>
        <w:numPr>
          <w:ilvl w:val="0"/>
          <w:numId w:val="4"/>
        </w:numPr>
        <w:spacing w:after="60" w:line="276"/>
        <w:jc w:val="both"/>
      </w:pPr>
      <w:r>
        <w:rPr>
          <w:rFonts w:ascii="Calibri" w:cs="Calibri" w:eastAsia="Calibri" w:hAnsi="Calibri"/>
          <w:color w:val="1F2A44"/>
          <w:sz w:val="22"/>
          <w:szCs w:val="22"/>
        </w:rPr>
        <w:t xml:space="preserve">The reviewer opens the Review Queue. Items are grouped into three bands: "needs you tonight", "review normally" and "ready to sign off".</w:t>
      </w:r>
    </w:p>
    <w:p>
      <w:pPr>
        <w:pStyle w:val="ListParagraph"/>
        <w:numPr>
          <w:ilvl w:val="0"/>
          <w:numId w:val="4"/>
        </w:numPr>
        <w:spacing w:after="60" w:line="276"/>
        <w:jc w:val="both"/>
      </w:pPr>
      <w:r>
        <w:rPr>
          <w:rFonts w:ascii="Calibri" w:cs="Calibri" w:eastAsia="Calibri" w:hAnsi="Calibri"/>
          <w:color w:val="1F2A44"/>
          <w:sz w:val="22"/>
          <w:szCs w:val="22"/>
        </w:rPr>
        <w:t xml:space="preserve">Each card shows the campus, a one-line summary, the severity chip, the confidence indicator and the number of extracted issues.</w:t>
      </w:r>
    </w:p>
    <w:p>
      <w:pPr>
        <w:pStyle w:val="ListParagraph"/>
        <w:numPr>
          <w:ilvl w:val="0"/>
          <w:numId w:val="4"/>
        </w:numPr>
        <w:spacing w:after="60" w:line="276"/>
        <w:jc w:val="both"/>
      </w:pPr>
      <w:r>
        <w:rPr>
          <w:rFonts w:ascii="Calibri" w:cs="Calibri" w:eastAsia="Calibri" w:hAnsi="Calibri"/>
          <w:color w:val="1F2A44"/>
          <w:sz w:val="22"/>
          <w:szCs w:val="22"/>
        </w:rPr>
        <w:t xml:space="preserve">Opening a card shows the AI summary on the left and the original report on the right, with the sentences that generated each issue highlighted in the original text.</w:t>
      </w:r>
    </w:p>
    <w:p>
      <w:pPr>
        <w:pStyle w:val="ListParagraph"/>
        <w:numPr>
          <w:ilvl w:val="0"/>
          <w:numId w:val="4"/>
        </w:numPr>
        <w:spacing w:after="60" w:line="276"/>
        <w:jc w:val="both"/>
      </w:pPr>
      <w:r>
        <w:rPr>
          <w:rFonts w:ascii="Calibri" w:cs="Calibri" w:eastAsia="Calibri" w:hAnsi="Calibri"/>
          <w:color w:val="1F2A44"/>
          <w:sz w:val="22"/>
          <w:szCs w:val="22"/>
        </w:rPr>
        <w:t xml:space="preserve">Numeric context sits beneath: today's fee movement, attendance, open tasks and pending budget approvals for that campus, with the seven-day trend.</w:t>
      </w:r>
    </w:p>
    <w:p>
      <w:pPr>
        <w:pStyle w:val="ListParagraph"/>
        <w:numPr>
          <w:ilvl w:val="0"/>
          <w:numId w:val="4"/>
        </w:numPr>
        <w:spacing w:after="60" w:line="276"/>
        <w:jc w:val="both"/>
      </w:pPr>
      <w:r>
        <w:rPr>
          <w:rFonts w:ascii="Calibri" w:cs="Calibri" w:eastAsia="Calibri" w:hAnsi="Calibri"/>
          <w:color w:val="1F2A44"/>
          <w:sz w:val="22"/>
          <w:szCs w:val="22"/>
        </w:rPr>
        <w:t xml:space="preserve">The reviewer chooses sign off, send back with a note, or escalate. Escalation pre-fills a task or communication draft that the reviewer must edit and confirm before it goes anywhere.</w:t>
      </w:r>
    </w:p>
    <w:p>
      <w:pPr>
        <w:pStyle w:val="ListParagraph"/>
        <w:numPr>
          <w:ilvl w:val="0"/>
          <w:numId w:val="4"/>
        </w:numPr>
        <w:spacing w:after="60" w:line="276"/>
        <w:jc w:val="both"/>
      </w:pPr>
      <w:r>
        <w:rPr>
          <w:rFonts w:ascii="Calibri" w:cs="Calibri" w:eastAsia="Calibri" w:hAnsi="Calibri"/>
          <w:color w:val="1F2A44"/>
          <w:sz w:val="22"/>
          <w:szCs w:val="22"/>
        </w:rPr>
        <w:t xml:space="preserve">Every action writes to the audit trail with the model output and prompt version recorded alongside the human decision.</w:t>
      </w:r>
    </w:p>
    <w:p>
      <w:pPr>
        <w:pStyle w:val="Heading2"/>
        <w:spacing w:after="120" w:before="280" w:line="276"/>
        <w:jc w:val="left"/>
      </w:pPr>
      <w:r>
        <w:rPr>
          <w:rFonts w:ascii="Calibri" w:cs="Calibri" w:eastAsia="Calibri" w:hAnsi="Calibri"/>
          <w:b/>
          <w:bCs/>
          <w:color w:val="0E7C86"/>
          <w:sz w:val="25"/>
          <w:szCs w:val="25"/>
        </w:rPr>
        <w:t xml:space="preserve">4.3 Key Screens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437"/>
        <w:gridCol w:w="6589"/>
      </w:tblGrid>
      <w:tr>
        <w:trPr>
          <w:tblHeader/>
        </w:trPr>
        <w:tc>
          <w:tcPr>
            <w:tcW w:type="dxa" w:w="243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Screen</w:t>
            </w:r>
          </w:p>
        </w:tc>
        <w:tc>
          <w:tcPr>
            <w:tcW w:type="dxa" w:w="658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What it must make obvious</w:t>
            </w:r>
          </w:p>
        </w:tc>
      </w:tr>
      <w:tr>
        <w:trPr>
          <w:cantSplit/>
        </w:trPr>
        <w:tc>
          <w:tcPr>
            <w:tcW w:type="dxa" w:w="243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 Queue</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Which campuses need attention first, and that the ordering came from a suggestion the reviewer can re-sort or ignore.</w:t>
            </w:r>
          </w:p>
        </w:tc>
      </w:tr>
      <w:tr>
        <w:trPr>
          <w:cantSplit/>
        </w:trPr>
        <w:tc>
          <w:tcPr>
            <w:tcW w:type="dxa" w:w="243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Report Detail (split view)</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That every AI sentence traces to a real sentence in the submitted report. Nothing is asserted without a visible source.</w:t>
            </w:r>
          </w:p>
        </w:tc>
      </w:tr>
      <w:tr>
        <w:trPr>
          <w:cantSplit/>
        </w:trPr>
        <w:tc>
          <w:tcPr>
            <w:tcW w:type="dxa" w:w="243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Issue Panel</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Issue type, severity, confidence, the cited evidence, and a one-click "not an issue" or "more serious than this" control.</w:t>
            </w:r>
          </w:p>
        </w:tc>
      </w:tr>
      <w:tr>
        <w:trPr>
          <w:cantSplit/>
        </w:trPr>
        <w:tc>
          <w:tcPr>
            <w:tcW w:type="dxa" w:w="243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Numeric Context Strip</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That numbers come from the deterministic system, not from the model — visually distinct from AI-generated text.</w:t>
            </w:r>
          </w:p>
        </w:tc>
      </w:tr>
      <w:tr>
        <w:trPr>
          <w:cantSplit/>
        </w:trPr>
        <w:tc>
          <w:tcPr>
            <w:tcW w:type="dxa" w:w="243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Override Dialogue</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That the reason is required, short to give, and will be read by a human during the weekly review.</w:t>
            </w:r>
          </w:p>
        </w:tc>
      </w:tr>
      <w:tr>
        <w:trPr>
          <w:cantSplit/>
        </w:trPr>
        <w:tc>
          <w:tcPr>
            <w:tcW w:type="dxa" w:w="243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Weekly Evaluation View (internal)</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How the model performed against the sampled ground truth, so the team argues with data rather than impressions.</w:t>
            </w:r>
          </w:p>
        </w:tc>
      </w:tr>
    </w:tbl>
    <w:p>
      <w:pPr>
        <w:spacing w:after="140" w:before="0" w:line="276"/>
        <w:jc w:val="both"/>
      </w:pPr>
      <w:r>
        <w:rPr>
          <w:rFonts w:ascii="Calibri" w:cs="Calibri" w:eastAsia="Calibri" w:hAnsi="Calibri"/>
          <w:i/>
          <w:iCs/>
          <w:color w:val="5A6B85"/>
          <w:sz w:val="20"/>
          <w:szCs w:val="20"/>
        </w:rPr>
        <w:t xml:space="preserve">Screenshots of the live production screens and the pilot wireframes are supplied in the Appendix folder referenced in Section 8.6.</w:t>
      </w:r>
    </w:p>
    <w:p>
      <w:pPr>
        <w:pStyle w:val="Heading2"/>
        <w:spacing w:after="120" w:before="280" w:line="276"/>
        <w:jc w:val="left"/>
      </w:pPr>
      <w:r>
        <w:rPr>
          <w:rFonts w:ascii="Calibri" w:cs="Calibri" w:eastAsia="Calibri" w:hAnsi="Calibri"/>
          <w:b/>
          <w:bCs/>
          <w:color w:val="0E7C86"/>
          <w:sz w:val="25"/>
          <w:szCs w:val="25"/>
        </w:rPr>
        <w:t xml:space="preserve">4.4 Trust and Explainability</w:t>
      </w:r>
    </w:p>
    <w:p>
      <w:pPr>
        <w:pStyle w:val="Heading3"/>
        <w:spacing w:after="100" w:before="220" w:line="276"/>
        <w:jc w:val="left"/>
      </w:pPr>
      <w:r>
        <w:rPr>
          <w:rFonts w:ascii="Calibri" w:cs="Calibri" w:eastAsia="Calibri" w:hAnsi="Calibri"/>
          <w:b/>
          <w:bCs/>
          <w:color w:val="17263F"/>
          <w:sz w:val="22"/>
          <w:szCs w:val="22"/>
        </w:rPr>
        <w:t xml:space="preserve">What the user must be able to see</w:t>
      </w:r>
    </w:p>
    <w:p>
      <w:pPr>
        <w:pStyle w:val="ListParagraph"/>
        <w:numPr>
          <w:ilvl w:val="0"/>
          <w:numId w:val="2"/>
        </w:numPr>
        <w:spacing w:after="60" w:line="276"/>
        <w:jc w:val="both"/>
      </w:pPr>
      <w:r>
        <w:rPr>
          <w:rFonts w:ascii="Calibri" w:cs="Calibri" w:eastAsia="Calibri" w:hAnsi="Calibri"/>
          <w:color w:val="1F2A44"/>
          <w:sz w:val="22"/>
          <w:szCs w:val="22"/>
        </w:rPr>
        <w:t xml:space="preserve">The exact source sentence behind every extracted issue.</w:t>
      </w:r>
    </w:p>
    <w:p>
      <w:pPr>
        <w:pStyle w:val="ListParagraph"/>
        <w:numPr>
          <w:ilvl w:val="0"/>
          <w:numId w:val="2"/>
        </w:numPr>
        <w:spacing w:after="60" w:line="276"/>
        <w:jc w:val="both"/>
      </w:pPr>
      <w:r>
        <w:rPr>
          <w:rFonts w:ascii="Calibri" w:cs="Calibri" w:eastAsia="Calibri" w:hAnsi="Calibri"/>
          <w:color w:val="1F2A44"/>
          <w:sz w:val="22"/>
          <w:szCs w:val="22"/>
        </w:rPr>
        <w:t xml:space="preserve">A plain-language confidence statement — "high confidence", "worth checking", "read this one fully" — rather than a raw probability, which operators consistently misread.</w:t>
      </w:r>
    </w:p>
    <w:p>
      <w:pPr>
        <w:pStyle w:val="ListParagraph"/>
        <w:numPr>
          <w:ilvl w:val="0"/>
          <w:numId w:val="2"/>
        </w:numPr>
        <w:spacing w:after="60" w:line="276"/>
        <w:jc w:val="both"/>
      </w:pPr>
      <w:r>
        <w:rPr>
          <w:rFonts w:ascii="Calibri" w:cs="Calibri" w:eastAsia="Calibri" w:hAnsi="Calibri"/>
          <w:color w:val="1F2A44"/>
          <w:sz w:val="22"/>
          <w:szCs w:val="22"/>
        </w:rPr>
        <w:t xml:space="preserve">A visual distinction between deterministic facts (numbers from the database) and generated text (summaries, severities).</w:t>
      </w:r>
    </w:p>
    <w:p>
      <w:pPr>
        <w:pStyle w:val="ListParagraph"/>
        <w:numPr>
          <w:ilvl w:val="0"/>
          <w:numId w:val="2"/>
        </w:numPr>
        <w:spacing w:after="60" w:line="276"/>
        <w:jc w:val="both"/>
      </w:pPr>
      <w:r>
        <w:rPr>
          <w:rFonts w:ascii="Calibri" w:cs="Calibri" w:eastAsia="Calibri" w:hAnsi="Calibri"/>
          <w:color w:val="1F2A44"/>
          <w:sz w:val="22"/>
          <w:szCs w:val="22"/>
        </w:rPr>
        <w:t xml:space="preserve">The fact that the item has not been actioned by anyone else, and who else has viewed it.</w:t>
      </w:r>
    </w:p>
    <w:p>
      <w:pPr>
        <w:pStyle w:val="Heading3"/>
        <w:spacing w:after="100" w:before="220" w:line="276"/>
        <w:jc w:val="left"/>
      </w:pPr>
      <w:r>
        <w:rPr>
          <w:rFonts w:ascii="Calibri" w:cs="Calibri" w:eastAsia="Calibri" w:hAnsi="Calibri"/>
          <w:b/>
          <w:bCs/>
          <w:color w:val="17263F"/>
          <w:sz w:val="22"/>
          <w:szCs w:val="22"/>
        </w:rPr>
        <w:t xml:space="preserve">What is deliberately hidden</w:t>
      </w:r>
    </w:p>
    <w:p>
      <w:pPr>
        <w:pStyle w:val="ListParagraph"/>
        <w:numPr>
          <w:ilvl w:val="0"/>
          <w:numId w:val="2"/>
        </w:numPr>
        <w:spacing w:after="60" w:line="276"/>
        <w:jc w:val="both"/>
      </w:pPr>
      <w:r>
        <w:rPr>
          <w:rFonts w:ascii="Calibri" w:cs="Calibri" w:eastAsia="Calibri" w:hAnsi="Calibri"/>
          <w:color w:val="1F2A44"/>
          <w:sz w:val="22"/>
          <w:szCs w:val="22"/>
        </w:rPr>
        <w:t xml:space="preserve">Raw model scores and internal probabilities, which invite false precision.</w:t>
      </w:r>
    </w:p>
    <w:p>
      <w:pPr>
        <w:pStyle w:val="ListParagraph"/>
        <w:numPr>
          <w:ilvl w:val="0"/>
          <w:numId w:val="2"/>
        </w:numPr>
        <w:spacing w:after="60" w:line="276"/>
        <w:jc w:val="both"/>
      </w:pPr>
      <w:r>
        <w:rPr>
          <w:rFonts w:ascii="Calibri" w:cs="Calibri" w:eastAsia="Calibri" w:hAnsi="Calibri"/>
          <w:color w:val="1F2A44"/>
          <w:sz w:val="22"/>
          <w:szCs w:val="22"/>
        </w:rPr>
        <w:t xml:space="preserve">The prompt itself, which is a maintenance artifact rather than user information, though the prompt version identifier is recorded in the audit log and available to the product team.</w:t>
      </w:r>
    </w:p>
    <w:p>
      <w:pPr>
        <w:pStyle w:val="ListParagraph"/>
        <w:numPr>
          <w:ilvl w:val="0"/>
          <w:numId w:val="2"/>
        </w:numPr>
        <w:spacing w:after="60" w:line="276"/>
        <w:jc w:val="both"/>
      </w:pPr>
      <w:r>
        <w:rPr>
          <w:rFonts w:ascii="Calibri" w:cs="Calibri" w:eastAsia="Calibri" w:hAnsi="Calibri"/>
          <w:color w:val="1F2A44"/>
          <w:sz w:val="22"/>
          <w:szCs w:val="22"/>
        </w:rPr>
        <w:t xml:space="preserve">Any suggestion at all when confidence is below the floor — a bad suggestion is worse than no suggestion, because it anchors the reviewer.</w:t>
      </w:r>
    </w:p>
    <w:p>
      <w:pPr>
        <w:pStyle w:val="Heading2"/>
        <w:spacing w:after="120" w:before="280" w:line="276"/>
        <w:jc w:val="left"/>
      </w:pPr>
      <w:r>
        <w:rPr>
          <w:rFonts w:ascii="Calibri" w:cs="Calibri" w:eastAsia="Calibri" w:hAnsi="Calibri"/>
          <w:b/>
          <w:bCs/>
          <w:color w:val="0E7C86"/>
          <w:sz w:val="25"/>
          <w:szCs w:val="25"/>
        </w:rPr>
        <w:t xml:space="preserve">4.5 Uncertainty Handling</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076"/>
        <w:gridCol w:w="6950"/>
      </w:tblGrid>
      <w:tr>
        <w:trPr>
          <w:tblHeader/>
        </w:trPr>
        <w:tc>
          <w:tcPr>
            <w:tcW w:type="dxa" w:w="207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Confidence band</w:t>
            </w:r>
          </w:p>
        </w:tc>
        <w:tc>
          <w:tcPr>
            <w:tcW w:type="dxa" w:w="695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System behaviour</w:t>
            </w:r>
          </w:p>
        </w:tc>
      </w:tr>
      <w:tr>
        <w:trPr>
          <w:cantSplit/>
        </w:trPr>
        <w:tc>
          <w:tcPr>
            <w:tcW w:type="dxa" w:w="207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c>
          <w:tcPr>
            <w:tcW w:type="dxa" w:w="695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Summary shown expanded, severity chip shown, item placed in the recommended band. Sign-off is a single action, and the original report is still one click away.</w:t>
            </w:r>
          </w:p>
        </w:tc>
      </w:tr>
      <w:tr>
        <w:trPr>
          <w:cantSplit/>
        </w:trPr>
        <w:tc>
          <w:tcPr>
            <w:tcW w:type="dxa" w:w="207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c>
          <w:tcPr>
            <w:tcW w:type="dxa" w:w="695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Summary shown with a "verify before acting" marker. The recommended action is shown as a question rather than a statement. Item cannot be bulk-signed-off.</w:t>
            </w:r>
          </w:p>
        </w:tc>
      </w:tr>
      <w:tr>
        <w:trPr>
          <w:cantSplit/>
        </w:trPr>
        <w:tc>
          <w:tcPr>
            <w:tcW w:type="dxa" w:w="207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Low</w:t>
            </w:r>
          </w:p>
        </w:tc>
        <w:tc>
          <w:tcPr>
            <w:tcW w:type="dxa" w:w="695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No summary shown by default. Item is labelled "needs full read", ordered by rules and recency, and the original report opens first.</w:t>
            </w:r>
          </w:p>
        </w:tc>
      </w:tr>
      <w:tr>
        <w:trPr>
          <w:cantSplit/>
        </w:trPr>
        <w:tc>
          <w:tcPr>
            <w:tcW w:type="dxa" w:w="207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Failure or no response</w:t>
            </w:r>
          </w:p>
        </w:tc>
        <w:tc>
          <w:tcPr>
            <w:tcW w:type="dxa" w:w="695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Rules-only mode with a visible banner. The reviewer's workflow is unchanged from the pre-AI experience, which is the definition of a safe failure here.</w:t>
            </w:r>
          </w:p>
        </w:tc>
      </w:tr>
    </w:tbl>
    <w:p>
      <w:pPr>
        <w:pStyle w:val="Heading2"/>
        <w:spacing w:after="120" w:before="280" w:line="276"/>
        <w:jc w:val="left"/>
      </w:pPr>
      <w:r>
        <w:rPr>
          <w:rFonts w:ascii="Calibri" w:cs="Calibri" w:eastAsia="Calibri" w:hAnsi="Calibri"/>
          <w:b/>
          <w:bCs/>
          <w:color w:val="0E7C86"/>
          <w:sz w:val="25"/>
          <w:szCs w:val="25"/>
        </w:rPr>
        <w:t xml:space="preserve">4.6 Human in the Loop</w:t>
      </w:r>
    </w:p>
    <w:p>
      <w:pPr>
        <w:spacing w:after="140" w:before="0" w:line="276"/>
        <w:jc w:val="both"/>
      </w:pPr>
      <w:r>
        <w:rPr>
          <w:rFonts w:ascii="Calibri" w:cs="Calibri" w:eastAsia="Calibri" w:hAnsi="Calibri"/>
          <w:color w:val="1F2A44"/>
          <w:sz w:val="22"/>
          <w:szCs w:val="22"/>
        </w:rPr>
        <w:t xml:space="preserve">The human review point is not a new control invented for the AI feature. It is the approval step that already existed in the daily submission state machine, which is why this wedge was chosen first: the safety net was already load-bearing and already trusted.</w:t>
      </w:r>
    </w:p>
    <w:p>
      <w:pPr>
        <w:pStyle w:val="ListParagraph"/>
        <w:numPr>
          <w:ilvl w:val="0"/>
          <w:numId w:val="2"/>
        </w:numPr>
        <w:spacing w:after="60" w:line="276"/>
        <w:jc w:val="both"/>
      </w:pPr>
      <w:r>
        <w:rPr>
          <w:rFonts w:ascii="Calibri" w:cs="Calibri" w:eastAsia="Calibri" w:hAnsi="Calibri"/>
          <w:color w:val="1F2A44"/>
          <w:sz w:val="22"/>
          <w:szCs w:val="22"/>
        </w:rPr>
        <w:t xml:space="preserve">No report changes state without a human action. The model can order the queue; it cannot advance the state machine.</w:t>
      </w:r>
    </w:p>
    <w:p>
      <w:pPr>
        <w:pStyle w:val="ListParagraph"/>
        <w:numPr>
          <w:ilvl w:val="0"/>
          <w:numId w:val="2"/>
        </w:numPr>
        <w:spacing w:after="60" w:line="276"/>
        <w:jc w:val="both"/>
      </w:pPr>
      <w:r>
        <w:rPr>
          <w:rFonts w:ascii="Calibri" w:cs="Calibri" w:eastAsia="Calibri" w:hAnsi="Calibri"/>
          <w:color w:val="1F2A44"/>
          <w:sz w:val="22"/>
          <w:szCs w:val="22"/>
        </w:rPr>
        <w:t xml:space="preserve">Escalations and outbound messages are drafts until a human edits and confirms them.</w:t>
      </w:r>
    </w:p>
    <w:p>
      <w:pPr>
        <w:pStyle w:val="ListParagraph"/>
        <w:numPr>
          <w:ilvl w:val="0"/>
          <w:numId w:val="2"/>
        </w:numPr>
        <w:spacing w:after="60" w:line="276"/>
        <w:jc w:val="both"/>
      </w:pPr>
      <w:r>
        <w:rPr>
          <w:rFonts w:ascii="Calibri" w:cs="Calibri" w:eastAsia="Calibri" w:hAnsi="Calibri"/>
          <w:color w:val="1F2A44"/>
          <w:sz w:val="22"/>
          <w:szCs w:val="22"/>
        </w:rPr>
        <w:t xml:space="preserve">Overrides capture a structured reason, and those reasons are read every week — both as a quality signal and as a check on whether reviewers are engaging or rubber-stamping.</w:t>
      </w:r>
    </w:p>
    <w:p>
      <w:pPr>
        <w:pStyle w:val="ListParagraph"/>
        <w:numPr>
          <w:ilvl w:val="0"/>
          <w:numId w:val="2"/>
        </w:numPr>
        <w:spacing w:after="60" w:line="276"/>
        <w:jc w:val="both"/>
      </w:pPr>
      <w:r>
        <w:rPr>
          <w:rFonts w:ascii="Calibri" w:cs="Calibri" w:eastAsia="Calibri" w:hAnsi="Calibri"/>
          <w:color w:val="1F2A44"/>
          <w:sz w:val="22"/>
          <w:szCs w:val="22"/>
        </w:rPr>
        <w:t xml:space="preserve">Auto-sign-off, which exists in the platform for reports left unreviewed past the deadline, is disabled for any report the layer marked as serious. A serious item must be seen by a person.</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5. Data, Model and Evaluation Strategy</w:t>
      </w:r>
    </w:p>
    <w:p>
      <w:pPr>
        <w:pStyle w:val="Heading2"/>
        <w:spacing w:after="120" w:before="280" w:line="276"/>
        <w:jc w:val="left"/>
      </w:pPr>
      <w:r>
        <w:rPr>
          <w:rFonts w:ascii="Calibri" w:cs="Calibri" w:eastAsia="Calibri" w:hAnsi="Calibri"/>
          <w:b/>
          <w:bCs/>
          <w:color w:val="0E7C86"/>
          <w:sz w:val="25"/>
          <w:szCs w:val="25"/>
        </w:rPr>
        <w:t xml:space="preserve">5.1 The Problem Expressed as AI Tasks</w:t>
      </w:r>
    </w:p>
    <w:p>
      <w:pPr>
        <w:spacing w:after="140" w:before="0" w:line="276"/>
        <w:jc w:val="both"/>
      </w:pPr>
      <w:r>
        <w:rPr>
          <w:rFonts w:ascii="Calibri" w:cs="Calibri" w:eastAsia="Calibri" w:hAnsi="Calibri"/>
          <w:color w:val="1F2A44"/>
          <w:sz w:val="22"/>
          <w:szCs w:val="22"/>
        </w:rPr>
        <w:t xml:space="preserve">"Triage" is not one machine-learning task. Decomposing it honestly is what makes the evaluation possible, because each component fails differently and needs its own metric.</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166"/>
        <w:gridCol w:w="2347"/>
        <w:gridCol w:w="4513"/>
      </w:tblGrid>
      <w:tr>
        <w:trPr>
          <w:tblHeader/>
        </w:trPr>
        <w:tc>
          <w:tcPr>
            <w:tcW w:type="dxa" w:w="216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Component</w:t>
            </w:r>
          </w:p>
        </w:tc>
        <w:tc>
          <w:tcPr>
            <w:tcW w:type="dxa" w:w="234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Task type</w:t>
            </w:r>
          </w:p>
        </w:tc>
        <w:tc>
          <w:tcPr>
            <w:tcW w:type="dxa" w:w="4513"/>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Approach</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Issue extraction</w:t>
            </w:r>
          </w:p>
        </w:tc>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Information extraction from free text</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LLM with a strict output schema and mandatory source-sentence citation</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Severity classification</w:t>
            </w:r>
          </w:p>
        </w:tc>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Multi-class classification</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LLM with a written rubric, reconciled with deterministic numeric rules</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Summarisation</w:t>
            </w:r>
          </w:p>
        </w:tc>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Grounded abstractive summarisation</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LLM constrained to the supplied report and numeric context only</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Numeric anomaly detection</w:t>
            </w:r>
          </w:p>
        </w:tc>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Time-series outlier detection</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Deterministic statistics on the seven-day campus series — no model involved</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Queue ranking</w:t>
            </w:r>
          </w:p>
        </w:tc>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Ranking</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Deterministic function of severity, confidence, campus history and age</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Document intake (Phase 2)</w:t>
            </w:r>
          </w:p>
        </w:tc>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OCR plus field extraction</w:t>
            </w:r>
          </w:p>
        </w:tc>
        <w:tc>
          <w:tcPr>
            <w:tcW w:type="dxa" w:w="451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Vision API followed by schema-validated extraction</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Natural-language query (Phase 2)</w:t>
            </w:r>
          </w:p>
        </w:tc>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Text to structured query</w:t>
            </w:r>
          </w:p>
        </w:tc>
        <w:tc>
          <w:tcPr>
            <w:tcW w:type="dxa" w:w="451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Constrained generation over pre-approved, permission-scoped views only</w:t>
            </w:r>
          </w:p>
        </w:tc>
      </w:tr>
    </w:tbl>
    <w:p>
      <w:pPr>
        <w:pStyle w:val="Heading2"/>
        <w:spacing w:after="120" w:before="280" w:line="276"/>
        <w:jc w:val="left"/>
      </w:pPr>
      <w:r>
        <w:rPr>
          <w:rFonts w:ascii="Calibri" w:cs="Calibri" w:eastAsia="Calibri" w:hAnsi="Calibri"/>
          <w:b/>
          <w:bCs/>
          <w:color w:val="0E7C86"/>
          <w:sz w:val="25"/>
          <w:szCs w:val="25"/>
        </w:rPr>
        <w:t xml:space="preserve">5.2 Data Sources</w:t>
      </w:r>
    </w:p>
    <w:p>
      <w:pPr>
        <w:pStyle w:val="ListParagraph"/>
        <w:numPr>
          <w:ilvl w:val="0"/>
          <w:numId w:val="2"/>
        </w:numPr>
        <w:spacing w:after="60" w:line="276"/>
        <w:jc w:val="both"/>
      </w:pPr>
      <w:r>
        <w:rPr>
          <w:rFonts w:ascii="Calibri" w:cs="Calibri" w:eastAsia="Calibri" w:hAnsi="Calibri"/>
          <w:color w:val="1F2A44"/>
          <w:sz w:val="22"/>
          <w:szCs w:val="22"/>
        </w:rPr>
        <w:t xml:space="preserve">Internal, primary: submitted daily reports, task records, fee movement, attendance records, approval history, communication logs and the immutable audit trail — all held in the platform's own event-sourced Postgres database.</w:t>
      </w:r>
    </w:p>
    <w:p>
      <w:pPr>
        <w:pStyle w:val="ListParagraph"/>
        <w:numPr>
          <w:ilvl w:val="0"/>
          <w:numId w:val="2"/>
        </w:numPr>
        <w:spacing w:after="60" w:line="276"/>
        <w:jc w:val="both"/>
      </w:pPr>
      <w:r>
        <w:rPr>
          <w:rFonts w:ascii="Calibri" w:cs="Calibri" w:eastAsia="Calibri" w:hAnsi="Calibri"/>
          <w:color w:val="1F2A44"/>
          <w:sz w:val="22"/>
          <w:szCs w:val="22"/>
        </w:rPr>
        <w:t xml:space="preserve">Internal, secondary: fee data synchronised from institutional Google Sheets, and meeting transcripts pulled from Drive for the meeting-intelligence capability.</w:t>
      </w:r>
    </w:p>
    <w:p>
      <w:pPr>
        <w:pStyle w:val="ListParagraph"/>
        <w:numPr>
          <w:ilvl w:val="0"/>
          <w:numId w:val="2"/>
        </w:numPr>
        <w:spacing w:after="60" w:line="276"/>
        <w:jc w:val="both"/>
      </w:pPr>
      <w:r>
        <w:rPr>
          <w:rFonts w:ascii="Calibri" w:cs="Calibri" w:eastAsia="Calibri" w:hAnsi="Calibri"/>
          <w:color w:val="1F2A44"/>
          <w:sz w:val="22"/>
          <w:szCs w:val="22"/>
        </w:rPr>
        <w:t xml:space="preserve">User-generated: reviewer overrides and their structured reasons, which are the most valuable dataset the product creates because they are ground truth produced as a by-product of normal work.</w:t>
      </w:r>
    </w:p>
    <w:p>
      <w:pPr>
        <w:pStyle w:val="ListParagraph"/>
        <w:numPr>
          <w:ilvl w:val="0"/>
          <w:numId w:val="2"/>
        </w:numPr>
        <w:spacing w:after="60" w:line="276"/>
        <w:jc w:val="both"/>
      </w:pPr>
      <w:r>
        <w:rPr>
          <w:rFonts w:ascii="Calibri" w:cs="Calibri" w:eastAsia="Calibri" w:hAnsi="Calibri"/>
          <w:color w:val="1F2A44"/>
          <w:sz w:val="22"/>
          <w:szCs w:val="22"/>
        </w:rPr>
        <w:t xml:space="preserve">External: none. No third-party data is used, and no operational data leaves the institution's systems other than the API call to the model provider, which is covered in Section 7.</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ASSUMPTION WORTH STATING OUT LOUD</w:t>
            </w:r>
          </w:p>
          <w:p>
            <w:pPr>
              <w:spacing w:after="0" w:before="0" w:line="276"/>
              <w:jc w:val="both"/>
            </w:pPr>
            <w:r>
              <w:rPr>
                <w:rFonts w:ascii="Calibri" w:cs="Calibri" w:eastAsia="Calibri" w:hAnsi="Calibri"/>
                <w:color w:val="1F2A44"/>
                <w:sz w:val="22"/>
                <w:szCs w:val="22"/>
              </w:rPr>
              <w:t xml:space="preserve">Known data-quality risk: the fee figures originate in a spreadsheet maintained by people, and spreadsheet accuracy is the single largest data-quality exposure in the whole platform. Any AI capability that consumes those figures inherits that exposure, which is why the numeric layer stays deterministic and visibly separated from generated text.</w:t>
            </w:r>
          </w:p>
        </w:tc>
      </w:tr>
    </w:tbl>
    <w:p>
      <w:pPr>
        <w:pStyle w:val="Heading2"/>
        <w:spacing w:after="120" w:before="280" w:line="276"/>
        <w:jc w:val="left"/>
      </w:pPr>
      <w:r>
        <w:rPr>
          <w:rFonts w:ascii="Calibri" w:cs="Calibri" w:eastAsia="Calibri" w:hAnsi="Calibri"/>
          <w:b/>
          <w:bCs/>
          <w:color w:val="0E7C86"/>
          <w:sz w:val="25"/>
          <w:szCs w:val="25"/>
        </w:rPr>
        <w:t xml:space="preserve">5.3 Labelling and Ground Truth</w:t>
      </w:r>
    </w:p>
    <w:p>
      <w:pPr>
        <w:spacing w:after="140" w:before="0" w:line="276"/>
        <w:jc w:val="both"/>
      </w:pPr>
      <w:r>
        <w:rPr>
          <w:rFonts w:ascii="Calibri" w:cs="Calibri" w:eastAsia="Calibri" w:hAnsi="Calibri"/>
          <w:color w:val="1F2A44"/>
          <w:sz w:val="22"/>
          <w:szCs w:val="22"/>
        </w:rPr>
        <w:t xml:space="preserve">There is no pre-existing labelled dataset for "was this campus report serious?", and inventing one would be the fastest way to build a system that scores well and helps nobody. Ground truth is therefore constructed in three layers.</w:t>
      </w:r>
    </w:p>
    <w:p>
      <w:pPr>
        <w:pStyle w:val="ListParagraph"/>
        <w:numPr>
          <w:ilvl w:val="0"/>
          <w:numId w:val="5"/>
        </w:numPr>
        <w:spacing w:after="60" w:line="276"/>
        <w:jc w:val="both"/>
      </w:pPr>
      <w:r>
        <w:rPr>
          <w:rFonts w:ascii="Calibri" w:cs="Calibri" w:eastAsia="Calibri" w:hAnsi="Calibri"/>
          <w:color w:val="1F2A44"/>
          <w:sz w:val="22"/>
          <w:szCs w:val="22"/>
        </w:rPr>
        <w:t xml:space="preserve">Implicit labels: every reviewer decision — signed off, sent back, escalated — is a label attached to a report, generated for free by work that would happen anyway.</w:t>
      </w:r>
    </w:p>
    <w:p>
      <w:pPr>
        <w:pStyle w:val="ListParagraph"/>
        <w:numPr>
          <w:ilvl w:val="0"/>
          <w:numId w:val="5"/>
        </w:numPr>
        <w:spacing w:after="60" w:line="276"/>
        <w:jc w:val="both"/>
      </w:pPr>
      <w:r>
        <w:rPr>
          <w:rFonts w:ascii="Calibri" w:cs="Calibri" w:eastAsia="Calibri" w:hAnsi="Calibri"/>
          <w:color w:val="1F2A44"/>
          <w:sz w:val="22"/>
          <w:szCs w:val="22"/>
        </w:rPr>
        <w:t xml:space="preserve">Explicit labels: a stratified sample of 30 reports per week is labelled independently by an experienced reviewer using the same written severity rubric given to the model, before seeing the model output. This is the evaluation set of record.</w:t>
      </w:r>
    </w:p>
    <w:p>
      <w:pPr>
        <w:pStyle w:val="ListParagraph"/>
        <w:numPr>
          <w:ilvl w:val="0"/>
          <w:numId w:val="5"/>
        </w:numPr>
        <w:spacing w:after="60" w:line="276"/>
        <w:jc w:val="both"/>
      </w:pPr>
      <w:r>
        <w:rPr>
          <w:rFonts w:ascii="Calibri" w:cs="Calibri" w:eastAsia="Calibri" w:hAnsi="Calibri"/>
          <w:color w:val="1F2A44"/>
          <w:sz w:val="22"/>
          <w:szCs w:val="22"/>
        </w:rPr>
        <w:t xml:space="preserve">Correction labels: every override with its reason, which is where the model's systematic mistakes become visible as patterns rather than anecdotes.</w:t>
      </w:r>
    </w:p>
    <w:p>
      <w:pPr>
        <w:spacing w:after="140" w:before="0" w:line="276"/>
        <w:jc w:val="both"/>
      </w:pPr>
      <w:r>
        <w:rPr>
          <w:rFonts w:ascii="Calibri" w:cs="Calibri" w:eastAsia="Calibri" w:hAnsi="Calibri"/>
          <w:color w:val="1F2A44"/>
          <w:sz w:val="22"/>
          <w:szCs w:val="22"/>
        </w:rPr>
        <w:t xml:space="preserve">The lesson taken from the iMerit case is that labelling quality, rubric clarity and labeller agreement matter more than labelling volume. Practically, that means the rubric is versioned in the same repository as the prompt, the weekly labeller and the model see the same rubric text, and a disagreement between two human labellers is treated as a rubric defect to be fixed rather than noise to be averaged away.</w:t>
      </w:r>
    </w:p>
    <w:p>
      <w:pPr>
        <w:pStyle w:val="Heading2"/>
        <w:spacing w:after="120" w:before="280" w:line="276"/>
        <w:jc w:val="left"/>
      </w:pPr>
      <w:r>
        <w:rPr>
          <w:rFonts w:ascii="Calibri" w:cs="Calibri" w:eastAsia="Calibri" w:hAnsi="Calibri"/>
          <w:b/>
          <w:bCs/>
          <w:color w:val="0E7C86"/>
          <w:sz w:val="25"/>
          <w:szCs w:val="25"/>
        </w:rPr>
        <w:t xml:space="preserve">5.4 Baseline</w:t>
      </w:r>
    </w:p>
    <w:p>
      <w:pPr>
        <w:spacing w:after="140" w:before="0" w:line="276"/>
        <w:jc w:val="both"/>
      </w:pPr>
      <w:r>
        <w:rPr>
          <w:rFonts w:ascii="Calibri" w:cs="Calibri" w:eastAsia="Calibri" w:hAnsi="Calibri"/>
          <w:color w:val="1F2A44"/>
          <w:sz w:val="22"/>
          <w:szCs w:val="22"/>
        </w:rPr>
        <w:t xml:space="preserve">The model is not compared against nothing, and not against a hypothetical perfect reviewer. It is compared against two concrete alternatives that could be implemented for far less money.</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986"/>
        <w:gridCol w:w="3069"/>
        <w:gridCol w:w="3971"/>
      </w:tblGrid>
      <w:tr>
        <w:trPr>
          <w:tblHeader/>
        </w:trPr>
        <w:tc>
          <w:tcPr>
            <w:tcW w:type="dxa" w:w="198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Baseline</w:t>
            </w:r>
          </w:p>
        </w:tc>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What it represents</w:t>
            </w:r>
          </w:p>
        </w:tc>
        <w:tc>
          <w:tcPr>
            <w:tcW w:type="dxa" w:w="3971"/>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Why the comparison matters</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Chronological queue</w:t>
            </w:r>
          </w:p>
        </w:tc>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Today's behaviour — read reports in the order they arrive</w:t>
            </w:r>
          </w:p>
        </w:tc>
        <w:tc>
          <w:tcPr>
            <w:tcW w:type="dxa" w:w="397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If AI ordering does not beat arrival order, the feature has no reason to exist</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Rules-only ordering</w:t>
            </w:r>
          </w:p>
        </w:tc>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Numeric thresholds and keyword flags, buildable in about a week</w:t>
            </w:r>
          </w:p>
        </w:tc>
        <w:tc>
          <w:tcPr>
            <w:tcW w:type="dxa" w:w="397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This is the honest bar. AI must add value beyond what a simple rule set already catches, specifically on issues that are only expressed in prose</w:t>
            </w:r>
          </w:p>
        </w:tc>
      </w:tr>
    </w:tbl>
    <w:p>
      <w:pPr>
        <w:spacing w:after="140" w:before="0" w:line="276"/>
        <w:jc w:val="both"/>
      </w:pPr>
      <w:r>
        <w:rPr>
          <w:rFonts w:ascii="Calibri" w:cs="Calibri" w:eastAsia="Calibri" w:hAnsi="Calibri"/>
          <w:color w:val="1F2A44"/>
          <w:sz w:val="22"/>
          <w:szCs w:val="22"/>
        </w:rPr>
        <w:t xml:space="preserve">The pilot runs the rules-only baseline in parallel on the same reports throughout, so the comparison is measured rather than argued.</w:t>
      </w:r>
    </w:p>
    <w:p>
      <w:pPr>
        <w:pStyle w:val="Heading2"/>
        <w:spacing w:after="120" w:before="280" w:line="276"/>
        <w:jc w:val="left"/>
      </w:pPr>
      <w:r>
        <w:rPr>
          <w:rFonts w:ascii="Calibri" w:cs="Calibri" w:eastAsia="Calibri" w:hAnsi="Calibri"/>
          <w:b/>
          <w:bCs/>
          <w:color w:val="0E7C86"/>
          <w:sz w:val="25"/>
          <w:szCs w:val="25"/>
        </w:rPr>
        <w:t xml:space="preserve">5.5 Model and API Choice</w:t>
      </w:r>
    </w:p>
    <w:p>
      <w:pPr>
        <w:spacing w:after="140" w:before="0" w:line="276"/>
        <w:jc w:val="both"/>
      </w:pPr>
      <w:r>
        <w:rPr>
          <w:rFonts w:ascii="Calibri" w:cs="Calibri" w:eastAsia="Calibri" w:hAnsi="Calibri"/>
          <w:color w:val="1F2A44"/>
          <w:sz w:val="22"/>
          <w:szCs w:val="22"/>
        </w:rPr>
        <w:t xml:space="preserve">Google Gemini is used through its API, for four reasons. It is already integrated into the platform and covered by the institution's existing Google Workspace relationship, which materially simplifies the data-handling conversation. Its quality on grounded summarisation and extraction is sufficient for an assist-only workflow. Its cost per report is small enough that the economics work at 40 campuses. And the work required to move to another provider is limited to one internal interface plus a re-run of the evaluation set.</w:t>
      </w:r>
    </w:p>
    <w:p>
      <w:pPr>
        <w:spacing w:after="140" w:before="0" w:line="276"/>
        <w:jc w:val="both"/>
      </w:pPr>
      <w:r>
        <w:rPr>
          <w:rFonts w:ascii="Calibri" w:cs="Calibri" w:eastAsia="Calibri" w:hAnsi="Calibri"/>
          <w:color w:val="1F2A44"/>
          <w:sz w:val="22"/>
          <w:szCs w:val="22"/>
        </w:rPr>
        <w:t xml:space="preserve">Fine-tuning was considered and rejected for the MVP. There is not yet enough labelled data to fine-tune responsibly, a fine-tuned model would freeze a rubric that is still being refined, and the current failure modes look like prompt, rubric and grounding problems rather than capability problems. Fine-tuning is revisited only if the evaluation set shows a persistent gap that better prompting and grounding cannot close.</w:t>
      </w:r>
    </w:p>
    <w:p>
      <w:pPr>
        <w:pStyle w:val="Heading2"/>
        <w:spacing w:after="120" w:before="280" w:line="276"/>
        <w:jc w:val="left"/>
      </w:pPr>
      <w:r>
        <w:rPr>
          <w:rFonts w:ascii="Calibri" w:cs="Calibri" w:eastAsia="Calibri" w:hAnsi="Calibri"/>
          <w:b/>
          <w:bCs/>
          <w:color w:val="0E7C86"/>
          <w:sz w:val="25"/>
          <w:szCs w:val="25"/>
        </w:rPr>
        <w:t xml:space="preserve">5.6 Evaluation Framework</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534"/>
        <w:gridCol w:w="3610"/>
        <w:gridCol w:w="3881"/>
      </w:tblGrid>
      <w:tr>
        <w:trPr>
          <w:tblHeader/>
        </w:trPr>
        <w:tc>
          <w:tcPr>
            <w:tcW w:type="dxa" w:w="153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Metric type</w:t>
            </w:r>
          </w:p>
        </w:tc>
        <w:tc>
          <w:tcPr>
            <w:tcW w:type="dxa" w:w="361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Metric</w:t>
            </w:r>
          </w:p>
        </w:tc>
        <w:tc>
          <w:tcPr>
            <w:tcW w:type="dxa" w:w="3881"/>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Why it matters</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Technical</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Severity classification recall on P1 issues</w:t>
            </w:r>
          </w:p>
        </w:tc>
        <w:tc>
          <w:tcPr>
            <w:tcW w:type="dxa" w:w="388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Missing a serious issue is the failure that actually hurts; recall is prioritised over precision here</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Technical</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Severity classification precision overall</w:t>
            </w:r>
          </w:p>
        </w:tc>
        <w:tc>
          <w:tcPr>
            <w:tcW w:type="dxa" w:w="388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Too many false alarms and reviewers stop trusting the ordering entirely</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Technical</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Issue extraction F1 against the weekly labelled sample</w:t>
            </w:r>
          </w:p>
        </w:tc>
        <w:tc>
          <w:tcPr>
            <w:tcW w:type="dxa" w:w="388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Measures whether the layer sees what a careful human reader sees</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Technical</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Groundedness — share of summary statements traceable to a source sentence</w:t>
            </w:r>
          </w:p>
        </w:tc>
        <w:tc>
          <w:tcPr>
            <w:tcW w:type="dxa" w:w="388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direct measure of hallucination in this product</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Technical</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Schema validation failure rate and median latency</w:t>
            </w:r>
          </w:p>
        </w:tc>
        <w:tc>
          <w:tcPr>
            <w:tcW w:type="dxa" w:w="388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Operational reliability; the queue must be ready when the reviewer opens it</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minutes per campus report</w:t>
            </w:r>
          </w:p>
        </w:tc>
        <w:tc>
          <w:tcPr>
            <w:tcW w:type="dxa" w:w="388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efficiency claim, measured rather than asserted</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Time from issue written to issue escalated</w:t>
            </w:r>
          </w:p>
        </w:tc>
        <w:tc>
          <w:tcPr>
            <w:tcW w:type="dxa" w:w="388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outcome the institution actually cares about</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Send-back rate for incomplete reports</w:t>
            </w:r>
          </w:p>
        </w:tc>
        <w:tc>
          <w:tcPr>
            <w:tcW w:type="dxa" w:w="388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Indicates upstream quality improvement, not just downstream speed</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Override rate, within a two-sided band</w:t>
            </w:r>
          </w:p>
        </w:tc>
        <w:tc>
          <w:tcPr>
            <w:tcW w:type="dxa" w:w="388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Detects both an unhelpful model and a disengaged reviewer</w:t>
            </w:r>
          </w:p>
        </w:tc>
      </w:tr>
      <w:tr>
        <w:trPr>
          <w:cantSplit/>
        </w:trPr>
        <w:tc>
          <w:tcPr>
            <w:tcW w:type="dxa" w:w="153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Serious issues surfaced only by rules and missed by the model</w:t>
            </w:r>
          </w:p>
        </w:tc>
        <w:tc>
          <w:tcPr>
            <w:tcW w:type="dxa" w:w="388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clearest early-warning signal of model drift</w:t>
            </w:r>
          </w:p>
        </w:tc>
      </w:tr>
      <w:tr>
        <w:trPr>
          <w:cantSplit/>
        </w:trPr>
        <w:tc>
          <w:tcPr>
            <w:tcW w:type="dxa" w:w="153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Trust / guardrail</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Campus-scoping violations detected in output</w:t>
            </w:r>
          </w:p>
        </w:tc>
        <w:tc>
          <w:tcPr>
            <w:tcW w:type="dxa" w:w="388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single breach is a launch blocker, not a metric to optimise</w:t>
            </w:r>
          </w:p>
        </w:tc>
      </w:tr>
    </w:tbl>
    <w:p>
      <w:pPr>
        <w:pStyle w:val="Heading2"/>
        <w:spacing w:after="120" w:before="280" w:line="276"/>
        <w:jc w:val="left"/>
      </w:pPr>
      <w:r>
        <w:rPr>
          <w:rFonts w:ascii="Calibri" w:cs="Calibri" w:eastAsia="Calibri" w:hAnsi="Calibri"/>
          <w:b/>
          <w:bCs/>
          <w:color w:val="0E7C86"/>
          <w:sz w:val="25"/>
          <w:szCs w:val="25"/>
        </w:rPr>
        <w:t xml:space="preserve">5.7 Launch Thresholds — Go / No-Go</w:t>
      </w:r>
    </w:p>
    <w:p>
      <w:pPr>
        <w:spacing w:after="140" w:before="0" w:line="276"/>
        <w:jc w:val="both"/>
      </w:pPr>
      <w:r>
        <w:rPr>
          <w:rFonts w:ascii="Calibri" w:cs="Calibri" w:eastAsia="Calibri" w:hAnsi="Calibri"/>
          <w:color w:val="1F2A44"/>
          <w:sz w:val="22"/>
          <w:szCs w:val="22"/>
        </w:rPr>
        <w:t xml:space="preserve">These thresholds were set before the pilot, which is the only time thresholds can be set honestly.</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069"/>
        <w:gridCol w:w="2708"/>
        <w:gridCol w:w="3249"/>
      </w:tblGrid>
      <w:tr>
        <w:trPr>
          <w:tblHeader/>
        </w:trPr>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Condition</w:t>
            </w:r>
          </w:p>
        </w:tc>
        <w:tc>
          <w:tcPr>
            <w:tcW w:type="dxa" w:w="270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Threshold</w:t>
            </w:r>
          </w:p>
        </w:tc>
        <w:tc>
          <w:tcPr>
            <w:tcW w:type="dxa" w:w="324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If not met</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 severity recall on the weekly labelled sample</w:t>
            </w:r>
          </w:p>
        </w:tc>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0.90 sustained over four weeks</w:t>
            </w:r>
          </w:p>
        </w:tc>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 not expand. Improve rubric and grounding, re-run.</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Ungrounded summary statements</w:t>
            </w:r>
          </w:p>
        </w:tc>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 2% of sampled statements</w:t>
            </w:r>
          </w:p>
        </w:tc>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Tighten grounding constraints; suspend summaries if above 5%.</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override rate</w:t>
            </w:r>
          </w:p>
        </w:tc>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Between 10% and 25%</w:t>
            </w:r>
          </w:p>
        </w:tc>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Below 10%: investigate complacency directly with reviewers. Above 25%: the model is not adding value yet.</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Campus-scoping or permission violations</w:t>
            </w:r>
          </w:p>
        </w:tc>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Exactly zero</w:t>
            </w:r>
          </w:p>
        </w:tc>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Immediate stop. This is an absolute launch blocker.</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Inference cost per campus per month</w:t>
            </w:r>
          </w:p>
        </w:tc>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Within the modelled ceiling in Section 6.4</w:t>
            </w:r>
          </w:p>
        </w:tc>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Reduce context size and batch, or restrict the capability to serious items only.</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confidence (structured feedback)</w:t>
            </w:r>
          </w:p>
        </w:tc>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Majority state the queue changed their working order for the better</w:t>
            </w:r>
          </w:p>
        </w:tc>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Treat as a workflow-fit failure rather than a model failure, and redesign the surface.</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6. Business, Economics and Scaling View</w:t>
      </w:r>
    </w:p>
    <w:p>
      <w:pPr>
        <w:pStyle w:val="Heading2"/>
        <w:spacing w:after="120" w:before="280" w:line="276"/>
        <w:jc w:val="left"/>
      </w:pPr>
      <w:r>
        <w:rPr>
          <w:rFonts w:ascii="Calibri" w:cs="Calibri" w:eastAsia="Calibri" w:hAnsi="Calibri"/>
          <w:b/>
          <w:bCs/>
          <w:color w:val="0E7C86"/>
          <w:sz w:val="25"/>
          <w:szCs w:val="25"/>
        </w:rPr>
        <w:t xml:space="preserve">6.1 Monetisation Model</w:t>
      </w:r>
    </w:p>
    <w:p>
      <w:pPr>
        <w:spacing w:after="140" w:before="0" w:line="276"/>
        <w:jc w:val="both"/>
      </w:pPr>
      <w:r>
        <w:rPr>
          <w:rFonts w:ascii="Calibri" w:cs="Calibri" w:eastAsia="Calibri" w:hAnsi="Calibri"/>
          <w:color w:val="1F2A44"/>
          <w:sz w:val="22"/>
          <w:szCs w:val="22"/>
        </w:rPr>
        <w:t xml:space="preserve">The platform is an internal product, so the primary monetisation model is an internal value case: it must return more in avoided cost and avoided failure than it consumes in infrastructure, inference and engineering time. This is a stricter test than an external product faces, because there is no revenue line to hide behind and no customer willing to pay for a feature that does not work.</w:t>
      </w:r>
    </w:p>
    <w:p>
      <w:pPr>
        <w:spacing w:after="140" w:before="0" w:line="276"/>
        <w:jc w:val="both"/>
      </w:pPr>
      <w:r>
        <w:rPr>
          <w:rFonts w:ascii="Calibri" w:cs="Calibri" w:eastAsia="Calibri" w:hAnsi="Calibri"/>
          <w:color w:val="1F2A44"/>
          <w:sz w:val="22"/>
          <w:szCs w:val="22"/>
        </w:rPr>
        <w:t xml:space="preserve">A secondary path exists and is deliberately deferred to Phase 4. Peer institutions running multi-campus programmes have the same workflow problem, and the platform is already multi-tenant by construction — the university is the scoping key on almost every table, and permissions are enforced at the database layer. If it were offered externally, the model would be a per-campus annual subscription with tiered inclusion of the Intelligence Layer, plus a usage allowance for inference. That path is not recommended now: a product with one expert operator and a single builder is not yet supportable for external customers, and saying so is more useful than pretending otherwise.</w:t>
      </w:r>
    </w:p>
    <w:p>
      <w:pPr>
        <w:pStyle w:val="Heading2"/>
        <w:spacing w:after="120" w:before="280" w:line="276"/>
        <w:jc w:val="left"/>
      </w:pPr>
      <w:r>
        <w:rPr>
          <w:rFonts w:ascii="Calibri" w:cs="Calibri" w:eastAsia="Calibri" w:hAnsi="Calibri"/>
          <w:b/>
          <w:bCs/>
          <w:color w:val="0E7C86"/>
          <w:sz w:val="25"/>
          <w:szCs w:val="25"/>
        </w:rPr>
        <w:t xml:space="preserve">6.2 Value Logic</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347"/>
        <w:gridCol w:w="6679"/>
      </w:tblGrid>
      <w:tr>
        <w:trPr>
          <w:tblHeader/>
        </w:trPr>
        <w:tc>
          <w:tcPr>
            <w:tcW w:type="dxa" w:w="234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Value source</w:t>
            </w:r>
          </w:p>
        </w:tc>
        <w:tc>
          <w:tcPr>
            <w:tcW w:type="dxa" w:w="667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How it materialises</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 time recovered</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Managers spend evening hours deciding rather than reading, and the hours saved do not scale up with campus count.</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Earlier problem detection</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Issues surface on the day they are written rather than one to two days later, which converts escalations into routine fixes.</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Fewer round trips</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Better first-time report quality reduces send-backs and the follow-up messages they generate.</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Auditability</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Every decision is reconstructable, which reduces the cost of disputes and reviews and is worth real money in a regulated academic setting.</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Replaced tool sprawl</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One platform instead of many spreadsheets, mail threads and side files, removing coordination cost that never appeared in any budget line.</w:t>
            </w:r>
          </w:p>
        </w:tc>
      </w:tr>
    </w:tbl>
    <w:p>
      <w:pPr>
        <w:pStyle w:val="Heading2"/>
        <w:spacing w:after="120" w:before="280" w:line="276"/>
        <w:jc w:val="left"/>
      </w:pPr>
      <w:r>
        <w:rPr>
          <w:rFonts w:ascii="Calibri" w:cs="Calibri" w:eastAsia="Calibri" w:hAnsi="Calibri"/>
          <w:b/>
          <w:bCs/>
          <w:color w:val="0E7C86"/>
          <w:sz w:val="25"/>
          <w:szCs w:val="25"/>
        </w:rPr>
        <w:t xml:space="preserve">6.3 Cost Drivers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708"/>
        <w:gridCol w:w="6318"/>
      </w:tblGrid>
      <w:tr>
        <w:trPr>
          <w:tblHeader/>
        </w:trPr>
        <w:tc>
          <w:tcPr>
            <w:tcW w:type="dxa" w:w="270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Cost driver</w:t>
            </w:r>
          </w:p>
        </w:tc>
        <w:tc>
          <w:tcPr>
            <w:tcW w:type="dxa" w:w="631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Behaviour as the network grows</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inference (Gemini API)</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Linear in reports processed and in context size. The largest AI-specific variable cost and the one that needs a ceiling.</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OCR (Vision API), Phase 2</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Linear in documents processed; bounded by document volume, which is predictable.</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Managed infrastructure (database, hosting, Redis, queues)</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Steps up in tiers rather than growing smoothly; predictable and small relative to staff cost.</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Engineering and maintenance</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dominant true cost. Currently concentrated in one person, which is a risk as much as a cost — see Section 6.6.</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Human review time</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Does not disappear and must not. It is the safety mechanism, and the design intent is to make it shorter, not to remove it.</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Evaluation overhead</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Roughly two to three hours of experienced-reviewer time each week for the labelled sample. Cheap, and non-negotiable.</w:t>
            </w:r>
          </w:p>
        </w:tc>
      </w:tr>
    </w:tbl>
    <w:p>
      <w:pPr>
        <w:pStyle w:val="Heading2"/>
        <w:spacing w:after="120" w:before="280" w:line="276"/>
        <w:jc w:val="left"/>
      </w:pPr>
      <w:r>
        <w:rPr>
          <w:rFonts w:ascii="Calibri" w:cs="Calibri" w:eastAsia="Calibri" w:hAnsi="Calibri"/>
          <w:b/>
          <w:bCs/>
          <w:color w:val="0E7C86"/>
          <w:sz w:val="25"/>
          <w:szCs w:val="25"/>
        </w:rPr>
        <w:t xml:space="preserve">6.4 Unit Economics View</w:t>
      </w:r>
    </w:p>
    <w:p>
      <w:pPr>
        <w:spacing w:after="140" w:before="0" w:line="276"/>
        <w:jc w:val="both"/>
      </w:pPr>
      <w:r>
        <w:rPr>
          <w:rFonts w:ascii="Calibri" w:cs="Calibri" w:eastAsia="Calibri" w:hAnsi="Calibri"/>
          <w:color w:val="1F2A44"/>
          <w:sz w:val="22"/>
          <w:szCs w:val="22"/>
        </w:rPr>
        <w:t xml:space="preserve">The unit is one campus for one month. The test the product must pass is stated as an inequality rather than a forecast, because the inputs on the left are measurable during the pilot and the inputs on the right are already known.</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Monthly inference and infrastructure cost attributable to one campus, plus the amortised engineering cost of maintaining the layer, must remain materially below the loaded cost of the reviewer and associate hours it removes, at every campus count between five and forty.</w:t>
            </w:r>
          </w:p>
        </w:tc>
      </w:tr>
    </w:tbl>
    <w:p>
      <w:pPr>
        <w:spacing w:after="140" w:before="0" w:line="276"/>
        <w:jc w:val="both"/>
      </w:pPr>
      <w:r>
        <w:rPr>
          <w:rFonts w:ascii="Calibri" w:cs="Calibri" w:eastAsia="Calibri" w:hAnsi="Calibri"/>
          <w:color w:val="1F2A44"/>
          <w:sz w:val="22"/>
          <w:szCs w:val="22"/>
        </w:rPr>
        <w:t xml:space="preserve">Three structural properties make that inequality likely to hold, and each is testable during the pilot. First, the input is small: a daily report plus a compact numeric context is a modest amount of text, and roughly twenty-two working days per campus per month bounds the call volume tightly. Second, the expensive human hours being displaced are managerial rather than clerical. Third, infrastructure cost is shared across all 40 campuses rather than duplicated per campus.</w:t>
      </w:r>
    </w:p>
    <w:p>
      <w:pPr>
        <w:spacing w:after="140" w:before="0" w:line="276"/>
        <w:jc w:val="both"/>
      </w:pPr>
      <w:r>
        <w:rPr>
          <w:rFonts w:ascii="Calibri" w:cs="Calibri" w:eastAsia="Calibri" w:hAnsi="Calibri"/>
          <w:color w:val="1F2A44"/>
          <w:sz w:val="22"/>
          <w:szCs w:val="22"/>
        </w:rPr>
        <w:t xml:space="preserve">Two properties could break it, and both are controlled by design decisions rather than hope. If context size grows — for instance by including thirty days of history instead of seven — cost grows with it, so context size is a deliberately pinned configuration value. And if the layer is extended to high-volume, low-value item types, the call count could rise by an order of magnitude while the value per call falls; this is why expansion is gated on measured value per capability rather than on enthusiasm.</w:t>
      </w:r>
    </w:p>
    <w:p>
      <w:pPr>
        <w:spacing w:after="140" w:before="0" w:line="276"/>
        <w:jc w:val="both"/>
      </w:pPr>
      <w:r>
        <w:rPr>
          <w:rFonts w:ascii="Calibri" w:cs="Calibri" w:eastAsia="Calibri" w:hAnsi="Calibri"/>
          <w:i/>
          <w:iCs/>
          <w:color w:val="1F2A44"/>
          <w:sz w:val="22"/>
          <w:szCs w:val="22"/>
        </w:rPr>
        <w:t xml:space="preserve">The actual rupee figures are computed from measured pilot volumes and current API pricing rather than presented here as an estimate, because a fabricated cost table would be exactly the kind of unverified claim this course warns against. The cost model and its live inputs are maintained alongside the evaluation harness.</w:t>
      </w:r>
    </w:p>
    <w:p>
      <w:pPr>
        <w:pStyle w:val="Heading2"/>
        <w:spacing w:after="120" w:before="280" w:line="276"/>
        <w:jc w:val="left"/>
      </w:pPr>
      <w:r>
        <w:rPr>
          <w:rFonts w:ascii="Calibri" w:cs="Calibri" w:eastAsia="Calibri" w:hAnsi="Calibri"/>
          <w:b/>
          <w:bCs/>
          <w:color w:val="0E7C86"/>
          <w:sz w:val="25"/>
          <w:szCs w:val="25"/>
        </w:rPr>
        <w:t xml:space="preserve">6.5 Scaling Risks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625"/>
        <w:gridCol w:w="3701"/>
        <w:gridCol w:w="3701"/>
      </w:tblGrid>
      <w:tr>
        <w:trPr>
          <w:tblHeader/>
        </w:trPr>
        <w:tc>
          <w:tcPr>
            <w:tcW w:type="dxa" w:w="1625"/>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Risk</w:t>
            </w:r>
          </w:p>
        </w:tc>
        <w:tc>
          <w:tcPr>
            <w:tcW w:type="dxa" w:w="3701"/>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Why it bites at scale</w:t>
            </w:r>
          </w:p>
        </w:tc>
        <w:tc>
          <w:tcPr>
            <w:tcW w:type="dxa" w:w="3701"/>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Control</w:t>
            </w:r>
          </w:p>
        </w:tc>
      </w:tr>
      <w:tr>
        <w:trPr>
          <w:cantSplit/>
        </w:trPr>
        <w:tc>
          <w:tcPr>
            <w:tcW w:type="dxa" w:w="162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Latency</w:t>
            </w:r>
          </w:p>
        </w:tc>
        <w:tc>
          <w:tcPr>
            <w:tcW w:type="dxa" w:w="370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Forty reports arriving near a 16:00 cut-off create a burst, and a slow queue at 18:00 is a useless queue</w:t>
            </w:r>
          </w:p>
        </w:tc>
        <w:tc>
          <w:tcPr>
            <w:tcW w:type="dxa" w:w="370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Asynchronous processing on the existing background worker and queue infrastructure, with results ready before the review window opens</w:t>
            </w:r>
          </w:p>
        </w:tc>
      </w:tr>
      <w:tr>
        <w:trPr>
          <w:cantSplit/>
        </w:trPr>
        <w:tc>
          <w:tcPr>
            <w:tcW w:type="dxa" w:w="162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Cost growth</w:t>
            </w:r>
          </w:p>
        </w:tc>
        <w:tc>
          <w:tcPr>
            <w:tcW w:type="dxa" w:w="370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Linear per-call cost is invisible at five campuses and material at forty</w:t>
            </w:r>
          </w:p>
        </w:tc>
        <w:tc>
          <w:tcPr>
            <w:tcW w:type="dxa" w:w="370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Pinned context size, batching, a monthly spend alarm, and capability-level cost attribution</w:t>
            </w:r>
          </w:p>
        </w:tc>
      </w:tr>
      <w:tr>
        <w:trPr>
          <w:cantSplit/>
        </w:trPr>
        <w:tc>
          <w:tcPr>
            <w:tcW w:type="dxa" w:w="162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Workflow complexity</w:t>
            </w:r>
          </w:p>
        </w:tc>
        <w:tc>
          <w:tcPr>
            <w:tcW w:type="dxa" w:w="370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Every campus wants its own exception, and exceptions accumulate into an unmaintainable rule set</w:t>
            </w:r>
          </w:p>
        </w:tc>
        <w:tc>
          <w:tcPr>
            <w:tcW w:type="dxa" w:w="370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Rules live as configuration data scoped by university rather than as branching code</w:t>
            </w:r>
          </w:p>
        </w:tc>
      </w:tr>
      <w:tr>
        <w:trPr>
          <w:cantSplit/>
        </w:trPr>
        <w:tc>
          <w:tcPr>
            <w:tcW w:type="dxa" w:w="162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Governance burden</w:t>
            </w:r>
          </w:p>
        </w:tc>
        <w:tc>
          <w:tcPr>
            <w:tcW w:type="dxa" w:w="370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More AI surfaces mean more prompts, more evaluation sets and more review overhead</w:t>
            </w:r>
          </w:p>
        </w:tc>
        <w:tc>
          <w:tcPr>
            <w:tcW w:type="dxa" w:w="370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hard rule that a capability does not ship without an evaluation set and a named owner</w:t>
            </w:r>
          </w:p>
        </w:tc>
      </w:tr>
      <w:tr>
        <w:trPr>
          <w:cantSplit/>
        </w:trPr>
        <w:tc>
          <w:tcPr>
            <w:tcW w:type="dxa" w:w="162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Data-quality drift</w:t>
            </w:r>
          </w:p>
        </w:tc>
        <w:tc>
          <w:tcPr>
            <w:tcW w:type="dxa" w:w="370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Upstream spreadsheet habits change and silently degrade inputs</w:t>
            </w:r>
          </w:p>
        </w:tc>
        <w:tc>
          <w:tcPr>
            <w:tcW w:type="dxa" w:w="370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Deterministic validation before the model sees anything, plus drift monitoring on the weekly sample</w:t>
            </w:r>
          </w:p>
        </w:tc>
      </w:tr>
      <w:tr>
        <w:trPr>
          <w:cantSplit/>
        </w:trPr>
        <w:tc>
          <w:tcPr>
            <w:tcW w:type="dxa" w:w="162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 or provider change</w:t>
            </w:r>
          </w:p>
        </w:tc>
        <w:tc>
          <w:tcPr>
            <w:tcW w:type="dxa" w:w="370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provider updates a model and behaviour shifts without warning</w:t>
            </w:r>
          </w:p>
        </w:tc>
        <w:tc>
          <w:tcPr>
            <w:tcW w:type="dxa" w:w="370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Pinned model versions, the evaluation set re-run before adopting any new version, one-flag rollback to rules-only</w:t>
            </w:r>
          </w:p>
        </w:tc>
      </w:tr>
    </w:tbl>
    <w:p>
      <w:pPr>
        <w:pStyle w:val="Heading2"/>
        <w:spacing w:after="120" w:before="280" w:line="276"/>
        <w:jc w:val="left"/>
      </w:pPr>
      <w:r>
        <w:rPr>
          <w:rFonts w:ascii="Calibri" w:cs="Calibri" w:eastAsia="Calibri" w:hAnsi="Calibri"/>
          <w:b/>
          <w:bCs/>
          <w:color w:val="0E7C86"/>
          <w:sz w:val="25"/>
          <w:szCs w:val="25"/>
        </w:rPr>
        <w:t xml:space="preserve">6.6 Operations Implications</w:t>
      </w:r>
    </w:p>
    <w:p>
      <w:pPr>
        <w:pStyle w:val="ListParagraph"/>
        <w:numPr>
          <w:ilvl w:val="0"/>
          <w:numId w:val="2"/>
        </w:numPr>
        <w:spacing w:after="60" w:line="276"/>
        <w:jc w:val="both"/>
      </w:pPr>
      <w:r>
        <w:rPr>
          <w:rFonts w:ascii="Calibri" w:cs="Calibri" w:eastAsia="Calibri" w:hAnsi="Calibri"/>
          <w:color w:val="1F2A44"/>
          <w:sz w:val="22"/>
          <w:szCs w:val="22"/>
        </w:rPr>
        <w:t xml:space="preserve">Support model: the platform currently has one builder and owner. That is the most serious operational risk in this entire submission, and it is a people risk rather than a technical one. Documentation, a second engineer and a written runbook are prerequisites for Phase 2, not nice-to-haves.</w:t>
      </w:r>
    </w:p>
    <w:p>
      <w:pPr>
        <w:pStyle w:val="ListParagraph"/>
        <w:numPr>
          <w:ilvl w:val="0"/>
          <w:numId w:val="2"/>
        </w:numPr>
        <w:spacing w:after="60" w:line="276"/>
        <w:jc w:val="both"/>
      </w:pPr>
      <w:r>
        <w:rPr>
          <w:rFonts w:ascii="Calibri" w:cs="Calibri" w:eastAsia="Calibri" w:hAnsi="Calibri"/>
          <w:color w:val="1F2A44"/>
          <w:sz w:val="22"/>
          <w:szCs w:val="22"/>
        </w:rPr>
        <w:t xml:space="preserve">Release discipline: schema migrations, prompt versions and rubric versions are all versioned artifacts, and a release is not clean until the evaluation set has been run against the version being shipped.</w:t>
      </w:r>
    </w:p>
    <w:p>
      <w:pPr>
        <w:pStyle w:val="ListParagraph"/>
        <w:numPr>
          <w:ilvl w:val="0"/>
          <w:numId w:val="2"/>
        </w:numPr>
        <w:spacing w:after="60" w:line="276"/>
        <w:jc w:val="both"/>
      </w:pPr>
      <w:r>
        <w:rPr>
          <w:rFonts w:ascii="Calibri" w:cs="Calibri" w:eastAsia="Calibri" w:hAnsi="Calibri"/>
          <w:color w:val="1F2A44"/>
          <w:sz w:val="22"/>
          <w:szCs w:val="22"/>
        </w:rPr>
        <w:t xml:space="preserve">Change management: reviewers need to be told plainly what the layer does and does not do. The failure mode of an over-sold AI feature is not disappointment; it is misplaced trust.</w:t>
      </w:r>
    </w:p>
    <w:p>
      <w:pPr>
        <w:pStyle w:val="ListParagraph"/>
        <w:numPr>
          <w:ilvl w:val="0"/>
          <w:numId w:val="2"/>
        </w:numPr>
        <w:spacing w:after="60" w:line="276"/>
        <w:jc w:val="both"/>
      </w:pPr>
      <w:r>
        <w:rPr>
          <w:rFonts w:ascii="Calibri" w:cs="Calibri" w:eastAsia="Calibri" w:hAnsi="Calibri"/>
          <w:color w:val="1F2A44"/>
          <w:sz w:val="22"/>
          <w:szCs w:val="22"/>
        </w:rPr>
        <w:t xml:space="preserve">Training: fifteen minutes of onboarding per reviewer, focused almost entirely on when to distrust the suggestion.</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7. Ethics, Governance and Risk Note</w:t>
      </w:r>
    </w:p>
    <w:p>
      <w:pPr>
        <w:pStyle w:val="Heading2"/>
        <w:spacing w:after="120" w:before="280" w:line="276"/>
        <w:jc w:val="left"/>
      </w:pPr>
      <w:r>
        <w:rPr>
          <w:rFonts w:ascii="Calibri" w:cs="Calibri" w:eastAsia="Calibri" w:hAnsi="Calibri"/>
          <w:b/>
          <w:bCs/>
          <w:color w:val="0E7C86"/>
          <w:sz w:val="25"/>
          <w:szCs w:val="25"/>
        </w:rPr>
        <w:t xml:space="preserve">7.1 Main Risks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632"/>
        <w:gridCol w:w="6589"/>
        <w:gridCol w:w="1805"/>
      </w:tblGrid>
      <w:tr>
        <w:trPr>
          <w:tblHeader/>
        </w:trPr>
        <w:tc>
          <w:tcPr>
            <w:tcW w:type="dxa" w:w="632"/>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t>
            </w:r>
          </w:p>
        </w:tc>
        <w:tc>
          <w:tcPr>
            <w:tcW w:type="dxa" w:w="658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Risk</w:t>
            </w:r>
          </w:p>
        </w:tc>
        <w:tc>
          <w:tcPr>
            <w:tcW w:type="dxa" w:w="1805"/>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Severity</w:t>
            </w:r>
          </w:p>
        </w:tc>
      </w:tr>
      <w:tr>
        <w:trPr>
          <w:cantSplit/>
        </w:trPr>
        <w:tc>
          <w:tcPr>
            <w:tcW w:type="dxa" w:w="6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R1</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Hallucinated or unsupported statements in a summary lead a reviewer to act on something that was never reported</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r>
        <w:trPr>
          <w:cantSplit/>
        </w:trPr>
        <w:tc>
          <w:tcPr>
            <w:tcW w:type="dxa" w:w="6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R2</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Automation complacency — reviewers stop reading the original reports and the oversight step becomes ceremonial</w:t>
            </w:r>
          </w:p>
        </w:tc>
        <w:tc>
          <w:tcPr>
            <w:tcW w:type="dxa" w:w="180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r>
        <w:trPr>
          <w:cantSplit/>
        </w:trPr>
        <w:tc>
          <w:tcPr>
            <w:tcW w:type="dxa" w:w="6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R3</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serious issue is ranked low, is signed off routinely, and surfaces days later as an escalation</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r>
        <w:trPr>
          <w:cantSplit/>
        </w:trPr>
        <w:tc>
          <w:tcPr>
            <w:tcW w:type="dxa" w:w="6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R4</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Campus or role scoping failure exposes one campus's operational data to another</w:t>
            </w:r>
          </w:p>
        </w:tc>
        <w:tc>
          <w:tcPr>
            <w:tcW w:type="dxa" w:w="180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Critical</w:t>
            </w:r>
          </w:p>
        </w:tc>
      </w:tr>
      <w:tr>
        <w:trPr>
          <w:cantSplit/>
        </w:trPr>
        <w:tc>
          <w:tcPr>
            <w:tcW w:type="dxa" w:w="6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R5</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Personal data of students or staff is sent to a third-party model API without a clear basis</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r>
        <w:trPr>
          <w:cantSplit/>
        </w:trPr>
        <w:tc>
          <w:tcPr>
            <w:tcW w:type="dxa" w:w="6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R6</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Systematic bias against particular campuses, associates or writing styles — for example, associates writing in less fluent English being flagged more often</w:t>
            </w:r>
          </w:p>
        </w:tc>
        <w:tc>
          <w:tcPr>
            <w:tcW w:type="dxa" w:w="180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r>
        <w:trPr>
          <w:cantSplit/>
        </w:trPr>
        <w:tc>
          <w:tcPr>
            <w:tcW w:type="dxa" w:w="6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R7</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Function creep — the layer is quietly repurposed for staff performance evaluation</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r>
        <w:trPr>
          <w:cantSplit/>
        </w:trPr>
        <w:tc>
          <w:tcPr>
            <w:tcW w:type="dxa" w:w="6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R8</w:t>
            </w:r>
          </w:p>
        </w:tc>
        <w:tc>
          <w:tcPr>
            <w:tcW w:type="dxa" w:w="658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Over-claiming in internal communication creates expectations the system cannot meet</w:t>
            </w:r>
          </w:p>
        </w:tc>
        <w:tc>
          <w:tcPr>
            <w:tcW w:type="dxa" w:w="180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Medium</w:t>
            </w:r>
          </w:p>
        </w:tc>
      </w:tr>
      <w:tr>
        <w:trPr>
          <w:cantSplit/>
        </w:trPr>
        <w:tc>
          <w:tcPr>
            <w:tcW w:type="dxa" w:w="6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R9</w:t>
            </w:r>
          </w:p>
        </w:tc>
        <w:tc>
          <w:tcPr>
            <w:tcW w:type="dxa" w:w="658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Key-person dependency on a single builder and owner</w:t>
            </w:r>
          </w:p>
        </w:tc>
        <w:tc>
          <w:tcPr>
            <w:tcW w:type="dxa" w:w="180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High</w:t>
            </w:r>
          </w:p>
        </w:tc>
      </w:tr>
    </w:tbl>
    <w:p>
      <w:pPr>
        <w:pStyle w:val="Heading2"/>
        <w:spacing w:after="120" w:before="280" w:line="276"/>
        <w:jc w:val="left"/>
      </w:pPr>
      <w:r>
        <w:rPr>
          <w:rFonts w:ascii="Calibri" w:cs="Calibri" w:eastAsia="Calibri" w:hAnsi="Calibri"/>
          <w:b/>
          <w:bCs/>
          <w:color w:val="0E7C86"/>
          <w:sz w:val="25"/>
          <w:szCs w:val="25"/>
        </w:rPr>
        <w:t xml:space="preserve">7.2 Harm Scenarios</w:t>
      </w:r>
    </w:p>
    <w:p>
      <w:pPr>
        <w:spacing w:after="140" w:before="0" w:line="276"/>
        <w:jc w:val="both"/>
      </w:pPr>
      <w:r>
        <w:rPr>
          <w:rFonts w:ascii="Calibri" w:cs="Calibri" w:eastAsia="Calibri" w:hAnsi="Calibri"/>
          <w:color w:val="1F2A44"/>
          <w:sz w:val="22"/>
          <w:szCs w:val="22"/>
        </w:rPr>
        <w:t xml:space="preserve">Naming who gets hurt, specifically, is what turns a risk register into a governance document.</w:t>
      </w:r>
    </w:p>
    <w:p>
      <w:pPr>
        <w:pStyle w:val="ListParagraph"/>
        <w:numPr>
          <w:ilvl w:val="0"/>
          <w:numId w:val="2"/>
        </w:numPr>
        <w:spacing w:after="60" w:line="276"/>
        <w:jc w:val="both"/>
      </w:pPr>
      <w:r>
        <w:rPr>
          <w:rFonts w:ascii="Calibri" w:cs="Calibri" w:eastAsia="Calibri" w:hAnsi="Calibri"/>
          <w:color w:val="1F2A44"/>
          <w:sz w:val="22"/>
          <w:szCs w:val="22"/>
        </w:rPr>
        <w:t xml:space="preserve">A Business Operations Associate honestly reports a genuine problem in plain, non-fluent English. The model rates it low because it lacks urgent phrasing. The problem persists for a week, students are affected, and the associate learns that reporting honestly achieved nothing — which quietly degrades the quality of every future report.</w:t>
      </w:r>
    </w:p>
    <w:p>
      <w:pPr>
        <w:pStyle w:val="ListParagraph"/>
        <w:numPr>
          <w:ilvl w:val="0"/>
          <w:numId w:val="2"/>
        </w:numPr>
        <w:spacing w:after="60" w:line="276"/>
        <w:jc w:val="both"/>
      </w:pPr>
      <w:r>
        <w:rPr>
          <w:rFonts w:ascii="Calibri" w:cs="Calibri" w:eastAsia="Calibri" w:hAnsi="Calibri"/>
          <w:color w:val="1F2A44"/>
          <w:sz w:val="22"/>
          <w:szCs w:val="22"/>
        </w:rPr>
        <w:t xml:space="preserve">A summary states that a fee issue was "resolved" when the report said it was "being resolved". The reviewer signs off, and a student is blocked from class the next day.</w:t>
      </w:r>
    </w:p>
    <w:p>
      <w:pPr>
        <w:pStyle w:val="ListParagraph"/>
        <w:numPr>
          <w:ilvl w:val="0"/>
          <w:numId w:val="2"/>
        </w:numPr>
        <w:spacing w:after="60" w:line="276"/>
        <w:jc w:val="both"/>
      </w:pPr>
      <w:r>
        <w:rPr>
          <w:rFonts w:ascii="Calibri" w:cs="Calibri" w:eastAsia="Calibri" w:hAnsi="Calibri"/>
          <w:color w:val="1F2A44"/>
          <w:sz w:val="22"/>
          <w:szCs w:val="22"/>
        </w:rPr>
        <w:t xml:space="preserve">Operational text that includes a named student's personal circumstances is sent to an external API without a considered basis, and the institution has no answer when asked where that data went.</w:t>
      </w:r>
    </w:p>
    <w:p>
      <w:pPr>
        <w:pStyle w:val="ListParagraph"/>
        <w:numPr>
          <w:ilvl w:val="0"/>
          <w:numId w:val="2"/>
        </w:numPr>
        <w:spacing w:after="60" w:line="276"/>
        <w:jc w:val="both"/>
      </w:pPr>
      <w:r>
        <w:rPr>
          <w:rFonts w:ascii="Calibri" w:cs="Calibri" w:eastAsia="Calibri" w:hAnsi="Calibri"/>
          <w:color w:val="1F2A44"/>
          <w:sz w:val="22"/>
          <w:szCs w:val="22"/>
        </w:rPr>
        <w:t xml:space="preserve">A manager begins using severity distributions as an informal ranking of associates. Associates learn to write reports that score well rather than reports that are true. The platform has then made the institution less informed while appearing more informed.</w:t>
      </w:r>
    </w:p>
    <w:p>
      <w:pPr>
        <w:pStyle w:val="Heading2"/>
        <w:spacing w:after="120" w:before="280" w:line="276"/>
        <w:jc w:val="left"/>
      </w:pPr>
      <w:r>
        <w:rPr>
          <w:rFonts w:ascii="Calibri" w:cs="Calibri" w:eastAsia="Calibri" w:hAnsi="Calibri"/>
          <w:b/>
          <w:bCs/>
          <w:color w:val="0E7C86"/>
          <w:sz w:val="25"/>
          <w:szCs w:val="25"/>
        </w:rPr>
        <w:t xml:space="preserve">7.3 Controls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340"/>
        <w:gridCol w:w="1354"/>
        <w:gridCol w:w="4332"/>
      </w:tblGrid>
      <w:tr>
        <w:trPr>
          <w:tblHeader/>
        </w:trPr>
        <w:tc>
          <w:tcPr>
            <w:tcW w:type="dxa" w:w="334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Control</w:t>
            </w:r>
          </w:p>
        </w:tc>
        <w:tc>
          <w:tcPr>
            <w:tcW w:type="dxa" w:w="135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Addresses</w:t>
            </w:r>
          </w:p>
        </w:tc>
        <w:tc>
          <w:tcPr>
            <w:tcW w:type="dxa" w:w="4332"/>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Implementation status</w:t>
            </w:r>
          </w:p>
        </w:tc>
      </w:tr>
      <w:tr>
        <w:trPr>
          <w:cantSplit/>
        </w:trPr>
        <w:tc>
          <w:tcPr>
            <w:tcW w:type="dxa" w:w="33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No autonomy — AI cannot advance any state or send any message</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R1, R2, R3</w:t>
            </w:r>
          </w:p>
        </w:tc>
        <w:tc>
          <w:tcPr>
            <w:tcW w:type="dxa" w:w="43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Enforced by the existing state machine; the model writes only to its own suggestion table</w:t>
            </w:r>
          </w:p>
        </w:tc>
      </w:tr>
      <w:tr>
        <w:trPr>
          <w:cantSplit/>
        </w:trPr>
        <w:tc>
          <w:tcPr>
            <w:tcW w:type="dxa" w:w="33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Mandatory source citation for every generated claim, shown in the interface</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R1</w:t>
            </w:r>
          </w:p>
        </w:tc>
        <w:tc>
          <w:tcPr>
            <w:tcW w:type="dxa" w:w="43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Designed for the pilot</w:t>
            </w:r>
          </w:p>
        </w:tc>
      </w:tr>
      <w:tr>
        <w:trPr>
          <w:cantSplit/>
        </w:trPr>
        <w:tc>
          <w:tcPr>
            <w:tcW w:type="dxa" w:w="33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Rules can raise severity but never lower it</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R3</w:t>
            </w:r>
          </w:p>
        </w:tc>
        <w:tc>
          <w:tcPr>
            <w:tcW w:type="dxa" w:w="43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Designed for the pilot</w:t>
            </w:r>
          </w:p>
        </w:tc>
      </w:tr>
      <w:tr>
        <w:trPr>
          <w:cantSplit/>
        </w:trPr>
        <w:tc>
          <w:tcPr>
            <w:tcW w:type="dxa" w:w="33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Auto-sign-off disabled for any item marked serious</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R2, R3</w:t>
            </w:r>
          </w:p>
        </w:tc>
        <w:tc>
          <w:tcPr>
            <w:tcW w:type="dxa" w:w="43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Configuration change to an existing platform behaviour</w:t>
            </w:r>
          </w:p>
        </w:tc>
      </w:tr>
      <w:tr>
        <w:trPr>
          <w:cantSplit/>
        </w:trPr>
        <w:tc>
          <w:tcPr>
            <w:tcW w:type="dxa" w:w="33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Two-sided override band monitored weekly with reasons read by a human</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R2</w:t>
            </w:r>
          </w:p>
        </w:tc>
        <w:tc>
          <w:tcPr>
            <w:tcW w:type="dxa" w:w="43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Part of the evaluation harness</w:t>
            </w:r>
          </w:p>
        </w:tc>
      </w:tr>
      <w:tr>
        <w:trPr>
          <w:cantSplit/>
        </w:trPr>
        <w:tc>
          <w:tcPr>
            <w:tcW w:type="dxa" w:w="33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Row-level security enforcing campus scoping at the database, not only in application code</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R4</w:t>
            </w:r>
          </w:p>
        </w:tc>
        <w:tc>
          <w:tcPr>
            <w:tcW w:type="dxa" w:w="43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Live in production today</w:t>
            </w:r>
          </w:p>
        </w:tc>
      </w:tr>
      <w:tr>
        <w:trPr>
          <w:cantSplit/>
        </w:trPr>
        <w:tc>
          <w:tcPr>
            <w:tcW w:type="dxa" w:w="33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Data minimisation — personal identifiers redacted from text before the API call wherever the task does not need them</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R5</w:t>
            </w:r>
          </w:p>
        </w:tc>
        <w:tc>
          <w:tcPr>
            <w:tcW w:type="dxa" w:w="43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Designed for the pilot; a launch prerequisite</w:t>
            </w:r>
          </w:p>
        </w:tc>
      </w:tr>
      <w:tr>
        <w:trPr>
          <w:cantSplit/>
        </w:trPr>
        <w:tc>
          <w:tcPr>
            <w:tcW w:type="dxa" w:w="33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Bias audit on the weekly sample, comparing severity distributions across campuses and report authors</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R6</w:t>
            </w:r>
          </w:p>
        </w:tc>
        <w:tc>
          <w:tcPr>
            <w:tcW w:type="dxa" w:w="43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Part of the evaluation harness</w:t>
            </w:r>
          </w:p>
        </w:tc>
      </w:tr>
      <w:tr>
        <w:trPr>
          <w:cantSplit/>
        </w:trPr>
        <w:tc>
          <w:tcPr>
            <w:tcW w:type="dxa" w:w="33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Written policy that AI outputs are never used in staff performance assessment, communicated to all users</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R7</w:t>
            </w:r>
          </w:p>
        </w:tc>
        <w:tc>
          <w:tcPr>
            <w:tcW w:type="dxa" w:w="43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Governance commitment, to be signed off before the pilot</w:t>
            </w:r>
          </w:p>
        </w:tc>
      </w:tr>
      <w:tr>
        <w:trPr>
          <w:cantSplit/>
        </w:trPr>
        <w:tc>
          <w:tcPr>
            <w:tcW w:type="dxa" w:w="33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Immutable audit log capturing model output, prompt version and the human decision together</w:t>
            </w:r>
          </w:p>
        </w:tc>
        <w:tc>
          <w:tcPr>
            <w:tcW w:type="dxa" w:w="135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R1–R7</w:t>
            </w:r>
          </w:p>
        </w:tc>
        <w:tc>
          <w:tcPr>
            <w:tcW w:type="dxa" w:w="433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Live in production today</w:t>
            </w:r>
          </w:p>
        </w:tc>
      </w:tr>
      <w:tr>
        <w:trPr>
          <w:cantSplit/>
        </w:trPr>
        <w:tc>
          <w:tcPr>
            <w:tcW w:type="dxa" w:w="33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Documentation, runbook and a second engineer before Phase 2</w:t>
            </w:r>
          </w:p>
        </w:tc>
        <w:tc>
          <w:tcPr>
            <w:tcW w:type="dxa" w:w="135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R9</w:t>
            </w:r>
          </w:p>
        </w:tc>
        <w:tc>
          <w:tcPr>
            <w:tcW w:type="dxa" w:w="433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Open — explicitly a gate on expansion</w:t>
            </w:r>
          </w:p>
        </w:tc>
      </w:tr>
    </w:tbl>
    <w:p>
      <w:pPr>
        <w:pStyle w:val="Heading2"/>
        <w:spacing w:after="120" w:before="280" w:line="276"/>
        <w:jc w:val="left"/>
      </w:pPr>
      <w:r>
        <w:rPr>
          <w:rFonts w:ascii="Calibri" w:cs="Calibri" w:eastAsia="Calibri" w:hAnsi="Calibri"/>
          <w:b/>
          <w:bCs/>
          <w:color w:val="0E7C86"/>
          <w:sz w:val="25"/>
          <w:szCs w:val="25"/>
        </w:rPr>
        <w:t xml:space="preserve">7.4 Privacy Position</w:t>
      </w:r>
    </w:p>
    <w:p>
      <w:pPr>
        <w:spacing w:after="140" w:before="0" w:line="276"/>
        <w:jc w:val="both"/>
      </w:pPr>
      <w:r>
        <w:rPr>
          <w:rFonts w:ascii="Calibri" w:cs="Calibri" w:eastAsia="Calibri" w:hAnsi="Calibri"/>
          <w:color w:val="1F2A44"/>
          <w:sz w:val="22"/>
          <w:szCs w:val="22"/>
        </w:rPr>
        <w:t xml:space="preserve">Operational text can incidentally contain personal information about students and staff. The position taken is data minimisation before capability: identifiers are stripped from text sent to the model wherever the task does not require them, because severity classification of an operational issue almost never depends on knowing which named student was involved. Where an identifier is genuinely needed, the reference stays inside the platform and the model receives a placeholder. Retention of model inputs and outputs follows the platform's existing retention policy, and the audit log records what was sent for every call. Alignment with the institution's data-protection obligations, including India's Digital Personal Data Protection Act, is treated as a prerequisite for the pilot rather than a follow-up action.</w:t>
      </w:r>
    </w:p>
    <w:p>
      <w:pPr>
        <w:pStyle w:val="Heading2"/>
        <w:spacing w:after="120" w:before="280" w:line="276"/>
        <w:jc w:val="left"/>
      </w:pPr>
      <w:r>
        <w:rPr>
          <w:rFonts w:ascii="Calibri" w:cs="Calibri" w:eastAsia="Calibri" w:hAnsi="Calibri"/>
          <w:b/>
          <w:bCs/>
          <w:color w:val="0E7C86"/>
          <w:sz w:val="25"/>
          <w:szCs w:val="25"/>
        </w:rPr>
        <w:t xml:space="preserve">7.5 Launch Blockers</w:t>
      </w:r>
    </w:p>
    <w:p>
      <w:pPr>
        <w:spacing w:after="140" w:before="0" w:line="276"/>
        <w:jc w:val="both"/>
      </w:pPr>
      <w:r>
        <w:rPr>
          <w:rFonts w:ascii="Calibri" w:cs="Calibri" w:eastAsia="Calibri" w:hAnsi="Calibri"/>
          <w:color w:val="1F2A44"/>
          <w:sz w:val="22"/>
          <w:szCs w:val="22"/>
        </w:rPr>
        <w:t xml:space="preserve">Any one of the following stops the launch. They are stated as absolutes deliberately: a blocker that can be negotiated under delivery pressure is not a blocker.</w:t>
      </w:r>
    </w:p>
    <w:p>
      <w:pPr>
        <w:pStyle w:val="ListParagraph"/>
        <w:numPr>
          <w:ilvl w:val="0"/>
          <w:numId w:val="2"/>
        </w:numPr>
        <w:spacing w:after="60" w:line="276"/>
        <w:jc w:val="both"/>
      </w:pPr>
      <w:r>
        <w:rPr>
          <w:rFonts w:ascii="Calibri" w:cs="Calibri" w:eastAsia="Calibri" w:hAnsi="Calibri"/>
          <w:color w:val="1F2A44"/>
          <w:sz w:val="22"/>
          <w:szCs w:val="22"/>
        </w:rPr>
        <w:t xml:space="preserve">Any cross-campus or cross-role data exposure, even once, even in a test.</w:t>
      </w:r>
    </w:p>
    <w:p>
      <w:pPr>
        <w:pStyle w:val="ListParagraph"/>
        <w:numPr>
          <w:ilvl w:val="0"/>
          <w:numId w:val="2"/>
        </w:numPr>
        <w:spacing w:after="60" w:line="276"/>
        <w:jc w:val="both"/>
      </w:pPr>
      <w:r>
        <w:rPr>
          <w:rFonts w:ascii="Calibri" w:cs="Calibri" w:eastAsia="Calibri" w:hAnsi="Calibri"/>
          <w:color w:val="1F2A44"/>
          <w:sz w:val="22"/>
          <w:szCs w:val="22"/>
        </w:rPr>
        <w:t xml:space="preserve">Ungrounded statements above five per cent of sampled summary statements.</w:t>
      </w:r>
    </w:p>
    <w:p>
      <w:pPr>
        <w:pStyle w:val="ListParagraph"/>
        <w:numPr>
          <w:ilvl w:val="0"/>
          <w:numId w:val="2"/>
        </w:numPr>
        <w:spacing w:after="60" w:line="276"/>
        <w:jc w:val="both"/>
      </w:pPr>
      <w:r>
        <w:rPr>
          <w:rFonts w:ascii="Calibri" w:cs="Calibri" w:eastAsia="Calibri" w:hAnsi="Calibri"/>
          <w:color w:val="1F2A44"/>
          <w:sz w:val="22"/>
          <w:szCs w:val="22"/>
        </w:rPr>
        <w:t xml:space="preserve">P1 severity recall below 0.90 on the labelled weekly sample.</w:t>
      </w:r>
    </w:p>
    <w:p>
      <w:pPr>
        <w:pStyle w:val="ListParagraph"/>
        <w:numPr>
          <w:ilvl w:val="0"/>
          <w:numId w:val="2"/>
        </w:numPr>
        <w:spacing w:after="60" w:line="276"/>
        <w:jc w:val="both"/>
      </w:pPr>
      <w:r>
        <w:rPr>
          <w:rFonts w:ascii="Calibri" w:cs="Calibri" w:eastAsia="Calibri" w:hAnsi="Calibri"/>
          <w:color w:val="1F2A44"/>
          <w:sz w:val="22"/>
          <w:szCs w:val="22"/>
        </w:rPr>
        <w:t xml:space="preserve">No data-minimisation step in place before text is sent to the model API.</w:t>
      </w:r>
    </w:p>
    <w:p>
      <w:pPr>
        <w:pStyle w:val="ListParagraph"/>
        <w:numPr>
          <w:ilvl w:val="0"/>
          <w:numId w:val="2"/>
        </w:numPr>
        <w:spacing w:after="60" w:line="276"/>
        <w:jc w:val="both"/>
      </w:pPr>
      <w:r>
        <w:rPr>
          <w:rFonts w:ascii="Calibri" w:cs="Calibri" w:eastAsia="Calibri" w:hAnsi="Calibri"/>
          <w:color w:val="1F2A44"/>
          <w:sz w:val="22"/>
          <w:szCs w:val="22"/>
        </w:rPr>
        <w:t xml:space="preserve">Absence of a working single-flag rollback to rules-only ordering.</w:t>
      </w:r>
    </w:p>
    <w:p>
      <w:pPr>
        <w:pStyle w:val="ListParagraph"/>
        <w:numPr>
          <w:ilvl w:val="0"/>
          <w:numId w:val="2"/>
        </w:numPr>
        <w:spacing w:after="60" w:line="276"/>
        <w:jc w:val="both"/>
      </w:pPr>
      <w:r>
        <w:rPr>
          <w:rFonts w:ascii="Calibri" w:cs="Calibri" w:eastAsia="Calibri" w:hAnsi="Calibri"/>
          <w:color w:val="1F2A44"/>
          <w:sz w:val="22"/>
          <w:szCs w:val="22"/>
        </w:rPr>
        <w:t xml:space="preserve">Any proposal to use the layer for staff performance evaluation.</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8. Prototype and MVP</w:t>
      </w:r>
    </w:p>
    <w:p>
      <w:pPr>
        <w:pStyle w:val="Heading2"/>
        <w:spacing w:after="120" w:before="280" w:line="276"/>
        <w:jc w:val="left"/>
      </w:pPr>
      <w:r>
        <w:rPr>
          <w:rFonts w:ascii="Calibri" w:cs="Calibri" w:eastAsia="Calibri" w:hAnsi="Calibri"/>
          <w:b/>
          <w:bCs/>
          <w:color w:val="0E7C86"/>
          <w:sz w:val="25"/>
          <w:szCs w:val="25"/>
        </w:rPr>
        <w:t xml:space="preserve">8.1 Prototype Type</w:t>
      </w:r>
    </w:p>
    <w:p>
      <w:pPr>
        <w:spacing w:after="140" w:before="0" w:line="276"/>
        <w:jc w:val="both"/>
      </w:pPr>
      <w:r>
        <w:rPr>
          <w:rFonts w:ascii="Calibri" w:cs="Calibri" w:eastAsia="Calibri" w:hAnsi="Calibri"/>
          <w:color w:val="1F2A44"/>
          <w:sz w:val="22"/>
          <w:szCs w:val="22"/>
        </w:rPr>
        <w:t xml:space="preserve">The prototype is not a mock-up. It is a working, production web application that the campus network uses to run its day, with the Intelligence Layer implemented on top of it in two states: capabilities already shipped, and the pilot wedge built for evaluation. This is a meaningful advantage for a capstone, because the usual weakness of a prototype — that it proves nothing about real workflow fit — is partly answered here by real users doing real work. It also carries an obligation to be precise about which parts are live and which are designed, and Section 8.5 does exactly that.</w:t>
      </w:r>
    </w:p>
    <w:p>
      <w:pPr>
        <w:pStyle w:val="Heading2"/>
        <w:spacing w:after="120" w:before="280" w:line="276"/>
        <w:jc w:val="left"/>
      </w:pPr>
      <w:r>
        <w:rPr>
          <w:rFonts w:ascii="Calibri" w:cs="Calibri" w:eastAsia="Calibri" w:hAnsi="Calibri"/>
          <w:b/>
          <w:bCs/>
          <w:color w:val="0E7C86"/>
          <w:sz w:val="25"/>
          <w:szCs w:val="25"/>
        </w:rPr>
        <w:t xml:space="preserve">8.2 Modules in the Platform</w:t>
      </w:r>
    </w:p>
    <w:p>
      <w:pPr>
        <w:spacing w:after="140" w:before="0" w:line="276"/>
        <w:jc w:val="both"/>
      </w:pPr>
      <w:r>
        <w:rPr>
          <w:rFonts w:ascii="Calibri" w:cs="Calibri" w:eastAsia="Calibri" w:hAnsi="Calibri"/>
          <w:color w:val="1F2A44"/>
          <w:sz w:val="22"/>
          <w:szCs w:val="22"/>
        </w:rPr>
        <w:t xml:space="preserve">The Intelligence Layer is only credible because it sits on a platform that already runs the operational day. The modules below are live in production. Each one is deterministic, none of them hands a decision to a model, and each one produces the structured context that the triage layer is grounded in.</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708"/>
        <w:gridCol w:w="6318"/>
      </w:tblGrid>
      <w:tr>
        <w:trPr>
          <w:tblHeader/>
        </w:trPr>
        <w:tc>
          <w:tcPr>
            <w:tcW w:type="dxa" w:w="270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Module</w:t>
            </w:r>
          </w:p>
        </w:tc>
        <w:tc>
          <w:tcPr>
            <w:tcW w:type="dxa" w:w="631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What it does today</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Fee Collection</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Semester-window fee tracking synchronised from institutional sheets on a short cycle, twice-daily snapshot reporting, per-batch and per-coach rollups, dropout tracking</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Daily Operations Submission Spine</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One daily report per campus by the 16:00 cut-off and sign-off by 18:30, on a strict state machine (draft, submitted, in review, signed off, sent back, locked), with reminders, auto-sign-off and immutability once locked</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Task Centre</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Assignable tasks with multiple assignees, checklists and a view log, so it is clear who saw what and when</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Budget Proposals and Petty Cash</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Multi-stage approval workflow for campus spend, with a two-level approval path, event completion and post-event report submission closing the loop, and an approval webhook into the facilities system. Described in detail in 8.2.1</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Email Campaigns and Mailboxes</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Per-university mailboxes, mail-merge templates, bulk send with per-recipient open and acknowledgement tracking, and a full mail audit log</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Assessments and Exam Papers</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Question bank, per-university paper templates, generation of multiple distinct but equivalent paper sets, and import from document and spreadsheet formats</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Faculty and Success Coach Tracking</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Faculty profiles and subject mappings that drive scheduling, daily attendance, instructor logs and success-coach call targets</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Communication Tasks</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Multi-channel staff outreach with an escalation ladder and push notification</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Meeting Intelligence</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Discovers scheduled meetings, pulls the transcript, and produces a summary, action items and attendance</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Schedule Events</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Holidays, exams, events and curricular items, with checklists, procedure documents and calendar freezes</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Academic Operations Hub</w:t>
            </w:r>
          </w:p>
        </w:tc>
        <w:tc>
          <w:tcPr>
            <w:tcW w:type="dxa" w:w="631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per-university command centre: examinations, faculty operations, student operations and setup</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Notifications</w:t>
            </w:r>
          </w:p>
        </w:tc>
        <w:tc>
          <w:tcPr>
            <w:tcW w:type="dxa" w:w="631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Unified in-app, email and push notification with deduplication and delivery tracking</w:t>
            </w:r>
          </w:p>
        </w:tc>
      </w:tr>
    </w:tbl>
    <w:p>
      <w:pPr>
        <w:pStyle w:val="Heading3"/>
        <w:spacing w:after="100" w:before="220" w:line="276"/>
        <w:jc w:val="left"/>
      </w:pPr>
      <w:r>
        <w:rPr>
          <w:rFonts w:ascii="Calibri" w:cs="Calibri" w:eastAsia="Calibri" w:hAnsi="Calibri"/>
          <w:b/>
          <w:bCs/>
          <w:color w:val="17263F"/>
          <w:sz w:val="22"/>
          <w:szCs w:val="22"/>
        </w:rPr>
        <w:t xml:space="preserve">8.2.1 Budget Proposals — the worked example of where AI is deliberately absent</w:t>
      </w:r>
    </w:p>
    <w:p>
      <w:pPr>
        <w:spacing w:after="140" w:before="0" w:line="276"/>
        <w:jc w:val="both"/>
      </w:pPr>
      <w:r>
        <w:rPr>
          <w:rFonts w:ascii="Calibri" w:cs="Calibri" w:eastAsia="Calibri" w:hAnsi="Calibri"/>
          <w:color w:val="1F2A44"/>
          <w:sz w:val="22"/>
          <w:szCs w:val="22"/>
        </w:rPr>
        <w:t xml:space="preserve">Budget proposals deserve describing in detail, because they are the clearest illustration of the product judgement in this submission. A campus raises a proposal for spend: an event, a repair, a purchase. It moves through a fixed approval workflow — drafted at the campus, submitted for review, reviewed, approved at the first level, approved finally, and then, once the money is spent, marked as event completed, with a report of actuals submitted before the proposal is closed. Proposals above a defined value threshold require an additional administrative approval, and a final approval fires a webhook into the facilities system so that fulfilment starts without anyone re-typing anything. Petty cash is tracked against the same spine.</w:t>
      </w:r>
    </w:p>
    <w:p>
      <w:pPr>
        <w:spacing w:after="140" w:before="0" w:line="276"/>
        <w:jc w:val="both"/>
      </w:pPr>
      <w:r>
        <w:rPr>
          <w:rFonts w:ascii="Calibri" w:cs="Calibri" w:eastAsia="Calibri" w:hAnsi="Calibri"/>
          <w:color w:val="1F2A44"/>
          <w:sz w:val="22"/>
          <w:szCs w:val="22"/>
        </w:rPr>
        <w:t xml:space="preserve">Every step of that is deterministic code. There is no model anywhere in the money path, and there will not be one. Approval authority, spend thresholds, state transitions and the audit record have to be exactly correct and defensible to an auditor, and a probabilistic system cannot offer that guarantee. This is the concrete answer to the question of where AI is not the right lever.</w:t>
      </w:r>
    </w:p>
    <w:p>
      <w:pPr>
        <w:spacing w:after="140" w:before="0" w:line="276"/>
        <w:jc w:val="both"/>
      </w:pPr>
      <w:r>
        <w:rPr>
          <w:rFonts w:ascii="Calibri" w:cs="Calibri" w:eastAsia="Calibri" w:hAnsi="Calibri"/>
          <w:color w:val="1F2A44"/>
          <w:sz w:val="22"/>
          <w:szCs w:val="22"/>
        </w:rPr>
        <w:t xml:space="preserve">There is still a genuine AI opportunity beside that path rather than inside it, and it is scoped as P2 in the opportunity matrix. Proposals routinely arrive incomplete — a missing quote, a vague justification, a cost line that does not match the narrative — and the reviewer discovers this only after opening the proposal, which sends it back and adds days. A completeness check would read the proposal text and its attachments before submission, tell the submitter what is missing, and flag proposals that look like duplicates of spend already approved for the same campus in the same window. That is drafting help and pattern spotting, and both fail safely: the worst case is a wrong suggestion shown to a person who is about to press submit anyway. Pending budget approvals also appear as one of the numeric signals in the daily triage context, so a campus sitting on a stalled approval becomes visible in the evening review instead of surfacing as a complaint a week later.</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THE LINE THAT DOES NOT MOVE</w:t>
            </w:r>
          </w:p>
          <w:p>
            <w:pPr>
              <w:spacing w:after="0" w:before="0" w:line="276"/>
              <w:jc w:val="both"/>
            </w:pPr>
            <w:r>
              <w:rPr>
                <w:rFonts w:ascii="Calibri" w:cs="Calibri" w:eastAsia="Calibri" w:hAnsi="Calibri"/>
                <w:color w:val="1F2A44"/>
                <w:sz w:val="22"/>
                <w:szCs w:val="22"/>
              </w:rPr>
              <w:t xml:space="preserve">The rule the platform follows: AI reads, drafts and ranks. Money, permissions, approvals and audit records stay deterministic. Every module listed above respects that line.</w:t>
            </w:r>
          </w:p>
        </w:tc>
      </w:tr>
    </w:tbl>
    <w:p>
      <w:pPr>
        <w:pStyle w:val="Heading2"/>
        <w:spacing w:after="120" w:before="280" w:line="276"/>
        <w:jc w:val="left"/>
      </w:pPr>
      <w:r>
        <w:rPr>
          <w:rFonts w:ascii="Calibri" w:cs="Calibri" w:eastAsia="Calibri" w:hAnsi="Calibri"/>
          <w:b/>
          <w:bCs/>
          <w:color w:val="0E7C86"/>
          <w:sz w:val="25"/>
          <w:szCs w:val="25"/>
        </w:rPr>
        <w:t xml:space="preserve">8.3 System Shape</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986"/>
        <w:gridCol w:w="7040"/>
      </w:tblGrid>
      <w:tr>
        <w:trPr>
          <w:tblHeader/>
        </w:trPr>
        <w:tc>
          <w:tcPr>
            <w:tcW w:type="dxa" w:w="198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Layer</w:t>
            </w:r>
          </w:p>
        </w:tc>
        <w:tc>
          <w:tcPr>
            <w:tcW w:type="dxa" w:w="704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Implementation</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Application</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SvelteKit web application, role-scoped page routes, deployed on Railway</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Data</w:t>
            </w:r>
          </w:p>
        </w:tc>
        <w:tc>
          <w:tcPr>
            <w:tcW w:type="dxa" w:w="70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Supabase PostgreSQL, event-sourced, with row-level security enforcing university and role scoping in the database</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Background processing</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An independent worker deployment running scheduled loops (fee synchronisation, snapshots, reminders, auto-sign-off, scheduled AI reports) plus job queues for notifications and meeting processing</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Caching and queues</w:t>
            </w:r>
          </w:p>
        </w:tc>
        <w:tc>
          <w:tcPr>
            <w:tcW w:type="dxa" w:w="70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Redis with a job-queue library for asynchronous work</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AI services</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Google Gemini for summarisation, extraction and narrative reporting; Google Vision for OCR</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Integrations</w:t>
            </w:r>
          </w:p>
        </w:tc>
        <w:tc>
          <w:tcPr>
            <w:tcW w:type="dxa" w:w="70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Google OAuth for sign-in, Gmail, Calendar, Sheets and Drive; push notifications; a webhook into the facilities system</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Core model</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university is the scoping key on nearly every table, and a role-to-permission matrix gates every page and endpoint — adding a university makes it a filter everywhere, and changing a role changes what exists for that user</w:t>
            </w:r>
          </w:p>
        </w:tc>
      </w:tr>
    </w:tbl>
    <w:p>
      <w:pPr>
        <w:pStyle w:val="Heading2"/>
        <w:spacing w:after="120" w:before="280" w:line="276"/>
        <w:jc w:val="left"/>
      </w:pPr>
      <w:r>
        <w:rPr>
          <w:rFonts w:ascii="Calibri" w:cs="Calibri" w:eastAsia="Calibri" w:hAnsi="Calibri"/>
          <w:b/>
          <w:bCs/>
          <w:color w:val="0E7C86"/>
          <w:sz w:val="25"/>
          <w:szCs w:val="25"/>
        </w:rPr>
        <w:t xml:space="preserve">8.4 What the Prototype Demonstrates</w:t>
      </w:r>
    </w:p>
    <w:p>
      <w:pPr>
        <w:pStyle w:val="ListParagraph"/>
        <w:numPr>
          <w:ilvl w:val="0"/>
          <w:numId w:val="2"/>
        </w:numPr>
        <w:spacing w:after="60" w:line="276"/>
        <w:jc w:val="both"/>
      </w:pPr>
      <w:r>
        <w:rPr>
          <w:rFonts w:ascii="Calibri" w:cs="Calibri" w:eastAsia="Calibri" w:hAnsi="Calibri"/>
          <w:color w:val="1F2A44"/>
          <w:sz w:val="22"/>
          <w:szCs w:val="22"/>
        </w:rPr>
        <w:t xml:space="preserve">The full daily decision loop: submission, deadline, AI-assisted triage, human review, sign-off or escalation, immutable audit.</w:t>
      </w:r>
    </w:p>
    <w:p>
      <w:pPr>
        <w:pStyle w:val="ListParagraph"/>
        <w:numPr>
          <w:ilvl w:val="0"/>
          <w:numId w:val="2"/>
        </w:numPr>
        <w:spacing w:after="60" w:line="276"/>
        <w:jc w:val="both"/>
      </w:pPr>
      <w:r>
        <w:rPr>
          <w:rFonts w:ascii="Calibri" w:cs="Calibri" w:eastAsia="Calibri" w:hAnsi="Calibri"/>
          <w:color w:val="1F2A44"/>
          <w:sz w:val="22"/>
          <w:szCs w:val="22"/>
        </w:rPr>
        <w:t xml:space="preserve">The confidence-routing behaviour — that a low-confidence item genuinely looks and behaves differently from a high-confidence one, rather than merely displaying a different label.</w:t>
      </w:r>
    </w:p>
    <w:p>
      <w:pPr>
        <w:pStyle w:val="ListParagraph"/>
        <w:numPr>
          <w:ilvl w:val="0"/>
          <w:numId w:val="2"/>
        </w:numPr>
        <w:spacing w:after="60" w:line="276"/>
        <w:jc w:val="both"/>
      </w:pPr>
      <w:r>
        <w:rPr>
          <w:rFonts w:ascii="Calibri" w:cs="Calibri" w:eastAsia="Calibri" w:hAnsi="Calibri"/>
          <w:color w:val="1F2A44"/>
          <w:sz w:val="22"/>
          <w:szCs w:val="22"/>
        </w:rPr>
        <w:t xml:space="preserve">The separation between deterministic facts and generated text, visible in the interface rather than only in the architecture.</w:t>
      </w:r>
    </w:p>
    <w:p>
      <w:pPr>
        <w:pStyle w:val="ListParagraph"/>
        <w:numPr>
          <w:ilvl w:val="0"/>
          <w:numId w:val="2"/>
        </w:numPr>
        <w:spacing w:after="60" w:line="276"/>
        <w:jc w:val="both"/>
      </w:pPr>
      <w:r>
        <w:rPr>
          <w:rFonts w:ascii="Calibri" w:cs="Calibri" w:eastAsia="Calibri" w:hAnsi="Calibri"/>
          <w:color w:val="1F2A44"/>
          <w:sz w:val="22"/>
          <w:szCs w:val="22"/>
        </w:rPr>
        <w:t xml:space="preserve">The override path with reason capture, and the weekly evaluation view built from those overrides.</w:t>
      </w:r>
    </w:p>
    <w:p>
      <w:pPr>
        <w:pStyle w:val="ListParagraph"/>
        <w:numPr>
          <w:ilvl w:val="0"/>
          <w:numId w:val="2"/>
        </w:numPr>
        <w:spacing w:after="60" w:line="276"/>
        <w:jc w:val="both"/>
      </w:pPr>
      <w:r>
        <w:rPr>
          <w:rFonts w:ascii="Calibri" w:cs="Calibri" w:eastAsia="Calibri" w:hAnsi="Calibri"/>
          <w:color w:val="1F2A44"/>
          <w:sz w:val="22"/>
          <w:szCs w:val="22"/>
        </w:rPr>
        <w:t xml:space="preserve">That the workflow degrades safely: with AI switched off, the product is still the platform the network already runs on.</w:t>
      </w:r>
    </w:p>
    <w:p>
      <w:pPr>
        <w:pStyle w:val="Heading2"/>
        <w:spacing w:after="120" w:before="280" w:line="276"/>
        <w:jc w:val="left"/>
      </w:pPr>
      <w:r>
        <w:rPr>
          <w:rFonts w:ascii="Calibri" w:cs="Calibri" w:eastAsia="Calibri" w:hAnsi="Calibri"/>
          <w:b/>
          <w:bCs/>
          <w:color w:val="0E7C86"/>
          <w:sz w:val="25"/>
          <w:szCs w:val="25"/>
        </w:rPr>
        <w:t xml:space="preserve">8.5 What It Does Not Yet Prove</w:t>
      </w:r>
    </w:p>
    <w:p>
      <w:pPr>
        <w:spacing w:after="140" w:before="0" w:line="276"/>
        <w:jc w:val="both"/>
      </w:pPr>
      <w:r>
        <w:rPr>
          <w:rFonts w:ascii="Calibri" w:cs="Calibri" w:eastAsia="Calibri" w:hAnsi="Calibri"/>
          <w:color w:val="1F2A44"/>
          <w:sz w:val="22"/>
          <w:szCs w:val="22"/>
        </w:rPr>
        <w:t xml:space="preserve">Stating this plainly is part of the product argument, not an apology for it.</w:t>
      </w:r>
    </w:p>
    <w:p>
      <w:pPr>
        <w:pStyle w:val="ListParagraph"/>
        <w:numPr>
          <w:ilvl w:val="0"/>
          <w:numId w:val="2"/>
        </w:numPr>
        <w:spacing w:after="60" w:line="276"/>
        <w:jc w:val="both"/>
      </w:pPr>
      <w:r>
        <w:rPr>
          <w:rFonts w:ascii="Calibri" w:cs="Calibri" w:eastAsia="Calibri" w:hAnsi="Calibri"/>
          <w:color w:val="1F2A44"/>
          <w:sz w:val="22"/>
          <w:szCs w:val="22"/>
        </w:rPr>
        <w:t xml:space="preserve">It does not prove sustained severity accuracy. Four weeks of labelled samples is enough for a go/no-go decision and not enough for a claim about the year.</w:t>
      </w:r>
    </w:p>
    <w:p>
      <w:pPr>
        <w:pStyle w:val="ListParagraph"/>
        <w:numPr>
          <w:ilvl w:val="0"/>
          <w:numId w:val="2"/>
        </w:numPr>
        <w:spacing w:after="60" w:line="276"/>
        <w:jc w:val="both"/>
      </w:pPr>
      <w:r>
        <w:rPr>
          <w:rFonts w:ascii="Calibri" w:cs="Calibri" w:eastAsia="Calibri" w:hAnsi="Calibri"/>
          <w:color w:val="1F2A44"/>
          <w:sz w:val="22"/>
          <w:szCs w:val="22"/>
        </w:rPr>
        <w:t xml:space="preserve">It does not prove that reviewers keep reading. Automation complacency is a behaviour that develops over months, and one month of pilot cannot rule it out.</w:t>
      </w:r>
    </w:p>
    <w:p>
      <w:pPr>
        <w:pStyle w:val="ListParagraph"/>
        <w:numPr>
          <w:ilvl w:val="0"/>
          <w:numId w:val="2"/>
        </w:numPr>
        <w:spacing w:after="60" w:line="276"/>
        <w:jc w:val="both"/>
      </w:pPr>
      <w:r>
        <w:rPr>
          <w:rFonts w:ascii="Calibri" w:cs="Calibri" w:eastAsia="Calibri" w:hAnsi="Calibri"/>
          <w:color w:val="1F2A44"/>
          <w:sz w:val="22"/>
          <w:szCs w:val="22"/>
        </w:rPr>
        <w:t xml:space="preserve">It does not prove the cost ceiling holds at forty campuses, since the pilot measures five.</w:t>
      </w:r>
    </w:p>
    <w:p>
      <w:pPr>
        <w:pStyle w:val="ListParagraph"/>
        <w:numPr>
          <w:ilvl w:val="0"/>
          <w:numId w:val="2"/>
        </w:numPr>
        <w:spacing w:after="60" w:line="276"/>
        <w:jc w:val="both"/>
      </w:pPr>
      <w:r>
        <w:rPr>
          <w:rFonts w:ascii="Calibri" w:cs="Calibri" w:eastAsia="Calibri" w:hAnsi="Calibri"/>
          <w:color w:val="1F2A44"/>
          <w:sz w:val="22"/>
          <w:szCs w:val="22"/>
        </w:rPr>
        <w:t xml:space="preserve">It does not prove absence of bias across campuses and writing styles; it establishes the measurement that would detect it.</w:t>
      </w:r>
    </w:p>
    <w:p>
      <w:pPr>
        <w:pStyle w:val="ListParagraph"/>
        <w:numPr>
          <w:ilvl w:val="0"/>
          <w:numId w:val="2"/>
        </w:numPr>
        <w:spacing w:after="60" w:line="276"/>
        <w:jc w:val="both"/>
      </w:pPr>
      <w:r>
        <w:rPr>
          <w:rFonts w:ascii="Calibri" w:cs="Calibri" w:eastAsia="Calibri" w:hAnsi="Calibri"/>
          <w:color w:val="1F2A44"/>
          <w:sz w:val="22"/>
          <w:szCs w:val="22"/>
        </w:rPr>
        <w:t xml:space="preserve">It does not prove supportability. One builder is not an operating model, and no demonstration changes that.</w:t>
      </w:r>
    </w:p>
    <w:p>
      <w:pPr>
        <w:pStyle w:val="ListParagraph"/>
        <w:numPr>
          <w:ilvl w:val="0"/>
          <w:numId w:val="2"/>
        </w:numPr>
        <w:spacing w:after="60" w:line="276"/>
        <w:jc w:val="both"/>
      </w:pPr>
      <w:r>
        <w:rPr>
          <w:rFonts w:ascii="Calibri" w:cs="Calibri" w:eastAsia="Calibri" w:hAnsi="Calibri"/>
          <w:color w:val="1F2A44"/>
          <w:sz w:val="22"/>
          <w:szCs w:val="22"/>
        </w:rPr>
        <w:t xml:space="preserve">Examination classroom allocation has not yet been exercised across a full examination cycle at every campus, so it is evidence of a working method rather than of network-scale reliability.</w:t>
      </w:r>
    </w:p>
    <w:p>
      <w:pPr>
        <w:pStyle w:val="Heading2"/>
        <w:spacing w:after="120" w:before="280" w:line="276"/>
        <w:jc w:val="left"/>
      </w:pPr>
      <w:r>
        <w:rPr>
          <w:rFonts w:ascii="Calibri" w:cs="Calibri" w:eastAsia="Calibri" w:hAnsi="Calibri"/>
          <w:b/>
          <w:bCs/>
          <w:color w:val="0E7C86"/>
          <w:sz w:val="25"/>
          <w:szCs w:val="25"/>
        </w:rPr>
        <w:t xml:space="preserve">8.6 Links and Evidence</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069"/>
        <w:gridCol w:w="5957"/>
      </w:tblGrid>
      <w:tr>
        <w:trPr>
          <w:tblHeader/>
        </w:trPr>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Artifact</w:t>
            </w:r>
          </w:p>
        </w:tc>
        <w:tc>
          <w:tcPr>
            <w:tcW w:type="dxa" w:w="595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Location</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Live application</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https://uniconnect-app.up.railway.app — sign-in is Google OAuth and access is role-scoped, so an evaluator account is provisioned on request</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Repository</w:t>
            </w:r>
          </w:p>
        </w:tc>
        <w:tc>
          <w:tcPr>
            <w:tcW w:type="dxa" w:w="595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https://github.com/programopscentral-art/Uniconnect-mail-automation- — public, SvelteKit and TypeScript monorepo with the worker, shared packages and migrations</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Screenshots of live modules</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Appendix — Prototype Evidence: all 66 captured screens, captioned and grouped (separate document)</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Pilot wireframes for the triage queue</w:t>
            </w:r>
          </w:p>
        </w:tc>
        <w:tc>
          <w:tcPr>
            <w:tcW w:type="dxa" w:w="595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Appendix/Wireframes/</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Evaluation harness and rubric</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Appendix/Metrics/</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Walkthrough video (5 minutes)</w:t>
            </w:r>
          </w:p>
        </w:tc>
        <w:tc>
          <w:tcPr>
            <w:tcW w:type="dxa" w:w="595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Appendix/Screenshots_or_Video/</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Setup instructions</w:t>
            </w:r>
          </w:p>
        </w:tc>
        <w:tc>
          <w:tcPr>
            <w:tcW w:type="dxa" w:w="595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04_Prototype_Readme_or_Link.md</w:t>
            </w:r>
          </w:p>
        </w:tc>
      </w:tr>
    </w:tbl>
    <w:p>
      <w:pPr>
        <w:spacing w:after="140" w:before="0" w:line="276"/>
        <w:jc w:val="both"/>
      </w:pPr>
      <w:r>
        <w:rPr>
          <w:rFonts w:ascii="Calibri" w:cs="Calibri" w:eastAsia="Calibri" w:hAnsi="Calibri"/>
          <w:i/>
          <w:iCs/>
          <w:color w:val="5A6B85"/>
          <w:sz w:val="20"/>
          <w:szCs w:val="20"/>
        </w:rPr>
        <w:t xml:space="preserve">Because the system carries live institutional operational data, public access cannot be granted. The walkthrough video and screenshots use a demonstration campus with representative but non-identifying data.</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9. Examination Classroom Allocation — Optimisation AI in the Examinations Module</w:t>
      </w:r>
    </w:p>
    <w:p>
      <w:pPr>
        <w:pStyle w:val="Heading2"/>
        <w:spacing w:after="120" w:before="280" w:line="276"/>
        <w:jc w:val="left"/>
      </w:pPr>
      <w:r>
        <w:rPr>
          <w:rFonts w:ascii="Calibri" w:cs="Calibri" w:eastAsia="Calibri" w:hAnsi="Calibri"/>
          <w:b/>
          <w:bCs/>
          <w:color w:val="0E7C86"/>
          <w:sz w:val="25"/>
          <w:szCs w:val="25"/>
        </w:rPr>
        <w:t xml:space="preserve">9.1 Why This Belongs in the Submission</w:t>
      </w:r>
    </w:p>
    <w:p>
      <w:pPr>
        <w:spacing w:after="140" w:before="0" w:line="276"/>
        <w:jc w:val="both"/>
      </w:pPr>
      <w:r>
        <w:rPr>
          <w:rFonts w:ascii="Calibri" w:cs="Calibri" w:eastAsia="Calibri" w:hAnsi="Calibri"/>
          <w:color w:val="1F2A44"/>
          <w:sz w:val="22"/>
          <w:szCs w:val="22"/>
        </w:rPr>
        <w:t xml:space="preserve">Allocating students to examination classrooms is the second AI capability in the platform, and it is a different species from the triage layer. There is no language model anywhere in it. It is a constrained combinatorial problem — seat every candidate, respect every room capacity, and satisfy an adjacency rule that cannot be broken — solved by construction, checking and repair. It is included because the course explicitly asks teams to distinguish AI as a lever from AI as a fashion, and this is the clearest case in the platform where the right technique is classical optimisation rather than generation.</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THE CENTRAL INSIGHT</w:t>
            </w:r>
          </w:p>
          <w:p>
            <w:pPr>
              <w:spacing w:after="0" w:before="0" w:line="276"/>
              <w:jc w:val="both"/>
            </w:pPr>
            <w:r>
              <w:rPr>
                <w:rFonts w:ascii="Calibri" w:cs="Calibri" w:eastAsia="Calibri" w:hAnsi="Calibri"/>
                <w:color w:val="1F2A44"/>
                <w:sz w:val="22"/>
                <w:szCs w:val="22"/>
              </w:rPr>
              <w:t xml:space="preserve">The two AI capabilities in this platform fail in opposite ways. The language layer fails loudly and plausibly — it says something confident and wrong, and a careful reader can catch it. The allocation layer fails quietly and correctly-looking — it produces a complete, tidy seating chart with one adjacency violation buried in row nine that nobody notices until the exam is being written. That is why this section is mostly about invariants and flags rather than about the algorithm.</w:t>
            </w:r>
          </w:p>
        </w:tc>
      </w:tr>
    </w:tbl>
    <w:p>
      <w:pPr>
        <w:spacing w:after="140" w:before="0" w:line="276"/>
        <w:jc w:val="both"/>
      </w:pPr>
      <w:r>
        <w:rPr>
          <w:rFonts w:ascii="Calibri" w:cs="Calibri" w:eastAsia="Calibri" w:hAnsi="Calibri"/>
          <w:color w:val="1F2A44"/>
          <w:sz w:val="22"/>
          <w:szCs w:val="22"/>
        </w:rPr>
        <w:t xml:space="preserve">One scope point, stated plainly because it is easy for a reader to assume otherwise: regular class timetabling is not part of this platform. UniConnect does not generate weekly or semester class schedules. What it does is examination-side allocation — which candidates sit in which room, in which seat, writing which paper set, with which invigilator. Everything in this section refers to that, and nothing in it should be read as a claim about class timetabling.</w:t>
      </w:r>
    </w:p>
    <w:p>
      <w:pPr>
        <w:pStyle w:val="Heading2"/>
        <w:spacing w:after="120" w:before="280" w:line="276"/>
        <w:jc w:val="left"/>
      </w:pPr>
      <w:r>
        <w:rPr>
          <w:rFonts w:ascii="Calibri" w:cs="Calibri" w:eastAsia="Calibri" w:hAnsi="Calibri"/>
          <w:b/>
          <w:bCs/>
          <w:color w:val="0E7C86"/>
          <w:sz w:val="25"/>
          <w:szCs w:val="25"/>
        </w:rPr>
        <w:t xml:space="preserve">9.2 The Workflow Being Replaced</w:t>
      </w:r>
    </w:p>
    <w:p>
      <w:pPr>
        <w:spacing w:after="140" w:before="0" w:line="276"/>
        <w:jc w:val="both"/>
      </w:pPr>
      <w:r>
        <w:rPr>
          <w:rFonts w:ascii="Calibri" w:cs="Calibri" w:eastAsia="Calibri" w:hAnsi="Calibri"/>
          <w:color w:val="1F2A44"/>
          <w:sz w:val="22"/>
          <w:szCs w:val="22"/>
        </w:rPr>
        <w:t xml:space="preserve">Before this existed, seating for each examination was built by hand. A Business Operations Associate took the candidate list, the available rooms and the number of paper sets, and produced a seating chart in a spreadsheet, usually the evening before. Three things went wrong repeatedly. Rooms were filled unevenly, so one hall was crowded while another sat half empty. Adjacency was checked by eye, which is exactly the kind of check human attention fails at across a few hundred seats. And when anything moved — a room became unavailable, candidate numbers changed after a late registration — the whole chart was rebuilt from the start rather than adjusted.</w:t>
      </w:r>
    </w:p>
    <w:p>
      <w:pPr>
        <w:spacing w:after="140" w:before="0" w:line="276"/>
        <w:jc w:val="both"/>
      </w:pPr>
      <w:r>
        <w:rPr>
          <w:rFonts w:ascii="Calibri" w:cs="Calibri" w:eastAsia="Calibri" w:hAnsi="Calibri"/>
          <w:color w:val="1F2A44"/>
          <w:sz w:val="22"/>
          <w:szCs w:val="22"/>
        </w:rPr>
        <w:t xml:space="preserve">The cost was not only the hours. A seating chart that is wrong is discovered in the room, in front of students, minutes before an examination begins, and the only remedies available at that point are bad ones.</w:t>
      </w:r>
    </w:p>
    <w:p>
      <w:pPr>
        <w:pStyle w:val="Heading2"/>
        <w:spacing w:after="120" w:before="280" w:line="276"/>
        <w:jc w:val="left"/>
      </w:pPr>
      <w:r>
        <w:rPr>
          <w:rFonts w:ascii="Calibri" w:cs="Calibri" w:eastAsia="Calibri" w:hAnsi="Calibri"/>
          <w:b/>
          <w:bCs/>
          <w:color w:val="0E7C86"/>
          <w:sz w:val="25"/>
          <w:szCs w:val="25"/>
        </w:rPr>
        <w:t xml:space="preserve">9.3 The Problem, Stated Precisely</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986"/>
        <w:gridCol w:w="7040"/>
      </w:tblGrid>
      <w:tr>
        <w:trPr>
          <w:tblHeader/>
        </w:trPr>
        <w:tc>
          <w:tcPr>
            <w:tcW w:type="dxa" w:w="198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Element</w:t>
            </w:r>
          </w:p>
        </w:tc>
        <w:tc>
          <w:tcPr>
            <w:tcW w:type="dxa" w:w="704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Detail</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Inputs</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candidate list for the examination, the rooms available with their capacity and seat layout, the examination slot, and the number of distinct paper sets generated for that paper</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Hard constraint</w:t>
            </w:r>
          </w:p>
        </w:tc>
        <w:tc>
          <w:tcPr>
            <w:tcW w:type="dxa" w:w="70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No two candidates seated side by side may come from the same branch or section — the interleaving constraint. This is an invariant, not a preference: a plan that breaks it is not a worse plan, it is an invalid one. The generator reports a per-classroom violation count, and the seat map carries an explicit constraint-violation state</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Hard constraint</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Room capacity is never exceeded, and every candidate is seated exactly once</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Objective</w:t>
            </w:r>
          </w:p>
        </w:tc>
        <w:tc>
          <w:tcPr>
            <w:tcW w:type="dxa" w:w="70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Fill rooms evenly rather than packing the first room and thinning the last, and keep the allocation traceable so a candidate can be found by roll number in seconds</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Allocation modes</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Section-level, where a whole section receives one set and sets cycle across sections, or seat-level, where the set alternates seat by seat within a room</w:t>
            </w:r>
          </w:p>
        </w:tc>
      </w:tr>
      <w:tr>
        <w:trPr>
          <w:cantSplit/>
        </w:trPr>
        <w:tc>
          <w:tcPr>
            <w:tcW w:type="dxa" w:w="198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Simplifying option</w:t>
            </w:r>
          </w:p>
        </w:tc>
        <w:tc>
          <w:tcPr>
            <w:tcW w:type="dxa" w:w="704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Co-locating cohorts from different branches in the same room makes interleaving easier to satisfy, because adjacent candidates are already writing different subjects</w:t>
            </w:r>
          </w:p>
        </w:tc>
      </w:tr>
      <w:tr>
        <w:trPr>
          <w:cantSplit/>
        </w:trPr>
        <w:tc>
          <w:tcPr>
            <w:tcW w:type="dxa" w:w="198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Downstream output</w:t>
            </w:r>
          </w:p>
        </w:tc>
        <w:tc>
          <w:tcPr>
            <w:tcW w:type="dxa" w:w="704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approved allocation drives the invigilation assignment and the printed room and seat lists</w:t>
            </w:r>
          </w:p>
        </w:tc>
      </w:tr>
    </w:tbl>
    <w:p>
      <w:pPr>
        <w:pStyle w:val="Heading2"/>
        <w:spacing w:after="120" w:before="280" w:line="276"/>
        <w:jc w:val="left"/>
      </w:pPr>
      <w:r>
        <w:rPr>
          <w:rFonts w:ascii="Calibri" w:cs="Calibri" w:eastAsia="Calibri" w:hAnsi="Calibri"/>
          <w:b/>
          <w:bCs/>
          <w:color w:val="0E7C86"/>
          <w:sz w:val="25"/>
          <w:szCs w:val="25"/>
        </w:rPr>
        <w:t xml:space="preserve">9.4 How the Allocation Works</w:t>
      </w:r>
    </w:p>
    <w:p>
      <w:pPr>
        <w:pStyle w:val="ListParagraph"/>
        <w:numPr>
          <w:ilvl w:val="0"/>
          <w:numId w:val="6"/>
        </w:numPr>
        <w:spacing w:after="60" w:line="276"/>
        <w:jc w:val="both"/>
      </w:pPr>
      <w:r>
        <w:rPr>
          <w:rFonts w:ascii="Calibri" w:cs="Calibri" w:eastAsia="Calibri" w:hAnsi="Calibri"/>
          <w:color w:val="1F2A44"/>
          <w:sz w:val="22"/>
          <w:szCs w:val="22"/>
        </w:rPr>
        <w:t xml:space="preserve">Feasibility is checked before anything is placed: enough seats across the available rooms, and enough distinct paper sets for the chosen allocation mode. If the inputs cannot produce a valid plan, the system says so and names the shortfall rather than producing a plan that quietly bends a rule.</w:t>
      </w:r>
    </w:p>
    <w:p>
      <w:pPr>
        <w:pStyle w:val="ListParagraph"/>
        <w:numPr>
          <w:ilvl w:val="0"/>
          <w:numId w:val="6"/>
        </w:numPr>
        <w:spacing w:after="60" w:line="276"/>
        <w:jc w:val="both"/>
      </w:pPr>
      <w:r>
        <w:rPr>
          <w:rFonts w:ascii="Calibri" w:cs="Calibri" w:eastAsia="Calibri" w:hAnsi="Calibri"/>
          <w:color w:val="1F2A44"/>
          <w:sz w:val="22"/>
          <w:szCs w:val="22"/>
        </w:rPr>
        <w:t xml:space="preserve">Candidates are placed by a round-robin fill across rooms, which is what produces even occupancy instead of a full first hall and an empty last one.</w:t>
      </w:r>
    </w:p>
    <w:p>
      <w:pPr>
        <w:pStyle w:val="ListParagraph"/>
        <w:numPr>
          <w:ilvl w:val="0"/>
          <w:numId w:val="6"/>
        </w:numPr>
        <w:spacing w:after="60" w:line="276"/>
        <w:jc w:val="both"/>
      </w:pPr>
      <w:r>
        <w:rPr>
          <w:rFonts w:ascii="Calibri" w:cs="Calibri" w:eastAsia="Calibri" w:hAnsi="Calibri"/>
          <w:color w:val="1F2A44"/>
          <w:sz w:val="22"/>
          <w:szCs w:val="22"/>
        </w:rPr>
        <w:t xml:space="preserve">Paper sets are assigned according to the chosen mode — one set per section cycling across sections, or alternating seat by seat within the room.</w:t>
      </w:r>
    </w:p>
    <w:p>
      <w:pPr>
        <w:pStyle w:val="ListParagraph"/>
        <w:numPr>
          <w:ilvl w:val="0"/>
          <w:numId w:val="6"/>
        </w:numPr>
        <w:spacing w:after="60" w:line="276"/>
        <w:jc w:val="both"/>
      </w:pPr>
      <w:r>
        <w:rPr>
          <w:rFonts w:ascii="Calibri" w:cs="Calibri" w:eastAsia="Calibri" w:hAnsi="Calibri"/>
          <w:color w:val="1F2A44"/>
          <w:sz w:val="22"/>
          <w:szCs w:val="22"/>
        </w:rPr>
        <w:t xml:space="preserve">A repair pass then walks the completed layout and fixes any position where the interleaving invariant is violated, swapping seats rather than restarting the allocation. Each classroom reports its violation count, and a clean plan reads zero.</w:t>
      </w:r>
    </w:p>
    <w:p>
      <w:pPr>
        <w:pStyle w:val="ListParagraph"/>
        <w:numPr>
          <w:ilvl w:val="0"/>
          <w:numId w:val="6"/>
        </w:numPr>
        <w:spacing w:after="60" w:line="276"/>
        <w:jc w:val="both"/>
      </w:pPr>
      <w:r>
        <w:rPr>
          <w:rFonts w:ascii="Calibri" w:cs="Calibri" w:eastAsia="Calibri" w:hAnsi="Calibri"/>
          <w:color w:val="1F2A44"/>
          <w:sz w:val="22"/>
          <w:szCs w:val="22"/>
        </w:rPr>
        <w:t xml:space="preserve">If a valid plan cannot be reached — most often because one branch is so dominant in the room that interleaving cannot be satisfied — the plan is flagged as unsafe and shown to the operator with the reason. It is never silently emitted as though it were valid.</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THE LINE THAT DOES NOT MOVE</w:t>
            </w:r>
          </w:p>
          <w:p>
            <w:pPr>
              <w:spacing w:after="0" w:before="0" w:line="276"/>
              <w:jc w:val="both"/>
            </w:pPr>
            <w:r>
              <w:rPr>
                <w:rFonts w:ascii="Calibri" w:cs="Calibri" w:eastAsia="Calibri" w:hAnsi="Calibri"/>
                <w:color w:val="1F2A44"/>
                <w:sz w:val="22"/>
                <w:szCs w:val="22"/>
              </w:rPr>
              <w:t xml:space="preserve">The design rule this follows: an allocation that cannot satisfy the invariant must fail visibly. A seating chart that looks finished is trusted completely by the people using it, so an unsafe plan that is presented normally is worse than no plan at all.</w:t>
            </w:r>
          </w:p>
        </w:tc>
      </w:tr>
    </w:tbl>
    <w:p>
      <w:pPr>
        <w:pStyle w:val="Heading2"/>
        <w:spacing w:after="120" w:before="280" w:line="276"/>
        <w:jc w:val="left"/>
      </w:pPr>
      <w:r>
        <w:rPr>
          <w:rFonts w:ascii="Calibri" w:cs="Calibri" w:eastAsia="Calibri" w:hAnsi="Calibri"/>
          <w:b/>
          <w:bCs/>
          <w:color w:val="0E7C86"/>
          <w:sz w:val="25"/>
          <w:szCs w:val="25"/>
        </w:rPr>
        <w:t xml:space="preserve">9.5 Invigilation Assignment</w:t>
      </w:r>
    </w:p>
    <w:p>
      <w:pPr>
        <w:spacing w:after="140" w:before="0" w:line="276"/>
        <w:jc w:val="both"/>
      </w:pPr>
      <w:r>
        <w:rPr>
          <w:rFonts w:ascii="Calibri" w:cs="Calibri" w:eastAsia="Calibri" w:hAnsi="Calibri"/>
          <w:color w:val="1F2A44"/>
          <w:sz w:val="22"/>
          <w:szCs w:val="22"/>
        </w:rPr>
        <w:t xml:space="preserve">Invigilator assignment sits immediately downstream of the seating plan and follows a conflict-of-interest ladder rather than a convenience order. Instructors teaching other subjects are preferred first, chosen by who is least loaded so far in the examination period; Business Operations Associates come next; instructors of the subject being examined are used only when nothing else is available, and that case is surfaced as an alert rather than accepted silently. Load is balanced across the whole examination period rather than per day, because per-day balance produces a fair-looking schedule with the same few people carrying the fortnight.</w:t>
      </w:r>
    </w:p>
    <w:p>
      <w:pPr>
        <w:pStyle w:val="Heading2"/>
        <w:spacing w:after="120" w:before="280" w:line="276"/>
        <w:jc w:val="left"/>
      </w:pPr>
      <w:r>
        <w:rPr>
          <w:rFonts w:ascii="Calibri" w:cs="Calibri" w:eastAsia="Calibri" w:hAnsi="Calibri"/>
          <w:b/>
          <w:bCs/>
          <w:color w:val="0E7C86"/>
          <w:sz w:val="25"/>
          <w:szCs w:val="25"/>
        </w:rPr>
        <w:t xml:space="preserve">9.6 Disruption and Change</w:t>
      </w:r>
    </w:p>
    <w:p>
      <w:pPr>
        <w:spacing w:after="140" w:before="0" w:line="276"/>
        <w:jc w:val="both"/>
      </w:pPr>
      <w:r>
        <w:rPr>
          <w:rFonts w:ascii="Calibri" w:cs="Calibri" w:eastAsia="Calibri" w:hAnsi="Calibri"/>
          <w:color w:val="1F2A44"/>
          <w:sz w:val="22"/>
          <w:szCs w:val="22"/>
        </w:rPr>
        <w:t xml:space="preserve">Examinations move. A room becomes unavailable, a date shifts, a cohort is added. A change of that kind is handled as one cascade rather than as a manual rebuild: the affected examinations are identified, the approved change is recorded as an audit entry, the allocation is recomputed for the affected rooms, invigilation is recalculated downstream, and everyone affected is notified from the same event. The candidate-facing output — room and seat lists — is regenerated from the recomputed plan rather than edited by hand, so the printed sheet and the system never disagree.</w:t>
      </w:r>
    </w:p>
    <w:p>
      <w:pPr>
        <w:pStyle w:val="Heading2"/>
        <w:spacing w:after="120" w:before="280" w:line="276"/>
        <w:jc w:val="left"/>
      </w:pPr>
      <w:r>
        <w:rPr>
          <w:rFonts w:ascii="Calibri" w:cs="Calibri" w:eastAsia="Calibri" w:hAnsi="Calibri"/>
          <w:b/>
          <w:bCs/>
          <w:color w:val="0E7C86"/>
          <w:sz w:val="25"/>
          <w:szCs w:val="25"/>
        </w:rPr>
        <w:t xml:space="preserve">9.7 Human in the Loop</w:t>
      </w:r>
    </w:p>
    <w:p>
      <w:pPr>
        <w:pStyle w:val="ListParagraph"/>
        <w:numPr>
          <w:ilvl w:val="0"/>
          <w:numId w:val="2"/>
        </w:numPr>
        <w:spacing w:after="60" w:line="276"/>
        <w:jc w:val="both"/>
      </w:pPr>
      <w:r>
        <w:rPr>
          <w:rFonts w:ascii="Calibri" w:cs="Calibri" w:eastAsia="Calibri" w:hAnsi="Calibri"/>
          <w:color w:val="1F2A44"/>
          <w:sz w:val="22"/>
          <w:szCs w:val="22"/>
        </w:rPr>
        <w:t xml:space="preserve">A generated allocation is a draft. It becomes the operative plan only when a person approves it, and the approval is recorded.</w:t>
      </w:r>
    </w:p>
    <w:p>
      <w:pPr>
        <w:pStyle w:val="ListParagraph"/>
        <w:numPr>
          <w:ilvl w:val="0"/>
          <w:numId w:val="2"/>
        </w:numPr>
        <w:spacing w:after="60" w:line="276"/>
        <w:jc w:val="both"/>
      </w:pPr>
      <w:r>
        <w:rPr>
          <w:rFonts w:ascii="Calibri" w:cs="Calibri" w:eastAsia="Calibri" w:hAnsi="Calibri"/>
          <w:color w:val="1F2A44"/>
          <w:sz w:val="22"/>
          <w:szCs w:val="22"/>
        </w:rPr>
        <w:t xml:space="preserve">Unsafe or flagged plans cannot be approved without an explicit acknowledgement of the specific reason they were flagged.</w:t>
      </w:r>
    </w:p>
    <w:p>
      <w:pPr>
        <w:pStyle w:val="ListParagraph"/>
        <w:numPr>
          <w:ilvl w:val="0"/>
          <w:numId w:val="2"/>
        </w:numPr>
        <w:spacing w:after="60" w:line="276"/>
        <w:jc w:val="both"/>
      </w:pPr>
      <w:r>
        <w:rPr>
          <w:rFonts w:ascii="Calibri" w:cs="Calibri" w:eastAsia="Calibri" w:hAnsi="Calibri"/>
          <w:color w:val="1F2A44"/>
          <w:sz w:val="22"/>
          <w:szCs w:val="22"/>
        </w:rPr>
        <w:t xml:space="preserve">Manual seat adjustments are permitted, and the invariant is re-checked after any manual change — the human can override the plan, but not the check.</w:t>
      </w:r>
    </w:p>
    <w:p>
      <w:pPr>
        <w:pStyle w:val="ListParagraph"/>
        <w:numPr>
          <w:ilvl w:val="0"/>
          <w:numId w:val="2"/>
        </w:numPr>
        <w:spacing w:after="60" w:line="276"/>
        <w:jc w:val="both"/>
      </w:pPr>
      <w:r>
        <w:rPr>
          <w:rFonts w:ascii="Calibri" w:cs="Calibri" w:eastAsia="Calibri" w:hAnsi="Calibri"/>
          <w:color w:val="1F2A44"/>
          <w:sz w:val="22"/>
          <w:szCs w:val="22"/>
        </w:rPr>
        <w:t xml:space="preserve">Every allocation, approval and change is written to the same immutable audit trail as the rest of the platform, which matters because examination records are exactly the kind of record that gets questioned months later.</w:t>
      </w:r>
    </w:p>
    <w:p>
      <w:pPr>
        <w:pStyle w:val="Heading2"/>
        <w:spacing w:after="120" w:before="280" w:line="276"/>
        <w:jc w:val="left"/>
      </w:pPr>
      <w:r>
        <w:rPr>
          <w:rFonts w:ascii="Calibri" w:cs="Calibri" w:eastAsia="Calibri" w:hAnsi="Calibri"/>
          <w:b/>
          <w:bCs/>
          <w:color w:val="0E7C86"/>
          <w:sz w:val="25"/>
          <w:szCs w:val="25"/>
        </w:rPr>
        <w:t xml:space="preserve">9.8 Status, Evidence and What This Does Not Prove</w:t>
      </w:r>
    </w:p>
    <w:p>
      <w:pPr>
        <w:pStyle w:val="ListParagraph"/>
        <w:numPr>
          <w:ilvl w:val="0"/>
          <w:numId w:val="2"/>
        </w:numPr>
        <w:spacing w:after="60" w:line="276"/>
        <w:jc w:val="both"/>
      </w:pPr>
      <w:r>
        <w:rPr>
          <w:rFonts w:ascii="Calibri" w:cs="Calibri" w:eastAsia="Calibri" w:hAnsi="Calibri"/>
          <w:color w:val="1F2A44"/>
          <w:sz w:val="22"/>
          <w:szCs w:val="22"/>
        </w:rPr>
        <w:t xml:space="preserve">The allocation logic and its invariant are implemented within the Examinations module of the Academic Operations Hub. It has not yet been exercised across a full examination cycle at every campus, so what exists is evidence of a working method rather than of network-scale reliability.</w:t>
      </w:r>
    </w:p>
    <w:p>
      <w:pPr>
        <w:pStyle w:val="ListParagraph"/>
        <w:numPr>
          <w:ilvl w:val="0"/>
          <w:numId w:val="2"/>
        </w:numPr>
        <w:spacing w:after="60" w:line="276"/>
        <w:jc w:val="both"/>
      </w:pPr>
      <w:r>
        <w:rPr>
          <w:rFonts w:ascii="Calibri" w:cs="Calibri" w:eastAsia="Calibri" w:hAnsi="Calibri"/>
          <w:color w:val="1F2A44"/>
          <w:sz w:val="22"/>
          <w:szCs w:val="22"/>
        </w:rPr>
        <w:t xml:space="preserve">The measures that matter are simple and countable: adjacency violations in an approved plan, which must be zero; the spread of occupancy across rooms; the time from candidate list to approved seating plan; and the number of plans that had to be repaired or flagged, which is the early-warning signal that the inputs, not the algorithm, are the problem.</w:t>
      </w:r>
    </w:p>
    <w:p>
      <w:pPr>
        <w:pStyle w:val="ListParagraph"/>
        <w:numPr>
          <w:ilvl w:val="0"/>
          <w:numId w:val="2"/>
        </w:numPr>
        <w:spacing w:after="60" w:line="276"/>
        <w:jc w:val="both"/>
      </w:pPr>
      <w:r>
        <w:rPr>
          <w:rFonts w:ascii="Calibri" w:cs="Calibri" w:eastAsia="Calibri" w:hAnsi="Calibri"/>
          <w:color w:val="1F2A44"/>
          <w:sz w:val="22"/>
          <w:szCs w:val="22"/>
        </w:rPr>
        <w:t xml:space="preserve">Examination paper generation and exam scheduling are designed as part of the same module and are at different stages of build. Nothing in this section should be read as a claim that the whole examination lifecycle is complete.</w:t>
      </w:r>
    </w:p>
    <w:p>
      <w:pPr>
        <w:pStyle w:val="ListParagraph"/>
        <w:numPr>
          <w:ilvl w:val="0"/>
          <w:numId w:val="2"/>
        </w:numPr>
        <w:spacing w:after="60" w:line="276"/>
        <w:jc w:val="both"/>
      </w:pPr>
      <w:r>
        <w:rPr>
          <w:rFonts w:ascii="Calibri" w:cs="Calibri" w:eastAsia="Calibri" w:hAnsi="Calibri"/>
          <w:color w:val="1F2A44"/>
          <w:sz w:val="22"/>
          <w:szCs w:val="22"/>
        </w:rPr>
        <w:t xml:space="preserve">Regular class timetabling remains out of scope for this platform, as stated in 9.1.</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RUN IT, DO NOT READ IT</w:t>
            </w:r>
          </w:p>
          <w:p>
            <w:pPr>
              <w:spacing w:after="0" w:before="0" w:line="276"/>
              <w:jc w:val="both"/>
            </w:pPr>
            <w:r>
              <w:rPr>
                <w:rFonts w:ascii="Calibri" w:cs="Calibri" w:eastAsia="Calibri" w:hAnsi="Calibri"/>
                <w:color w:val="1F2A44"/>
                <w:sz w:val="22"/>
                <w:szCs w:val="22"/>
              </w:rPr>
              <w:t xml:space="preserve">One working practice is worth recording, because it changed outcomes more than any design decision did. Reading the code and reasoning about what a system should do has produced almost every wrong conclusion in this project; running it against real data has produced almost every real finding. A check that runs and passes can still be checking the wrong thing. For a seating plan, that means the honest test is not "does validation pass" but "has anyone actually walked row nine of the generated chart".</w:t>
            </w:r>
          </w:p>
        </w:tc>
      </w:tr>
    </w:tbl>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10. Course Case Reference and Lessons Transferred</w:t>
      </w:r>
    </w:p>
    <w:p>
      <w:pPr>
        <w:pStyle w:val="Heading2"/>
        <w:spacing w:after="120" w:before="280" w:line="276"/>
        <w:jc w:val="left"/>
      </w:pPr>
      <w:r>
        <w:rPr>
          <w:rFonts w:ascii="Calibri" w:cs="Calibri" w:eastAsia="Calibri" w:hAnsi="Calibri"/>
          <w:b/>
          <w:bCs/>
          <w:color w:val="0E7C86"/>
          <w:sz w:val="25"/>
          <w:szCs w:val="25"/>
        </w:rPr>
        <w:t xml:space="preserve">10.1 Primary Lens — Swiggy and Invisible AI</w:t>
      </w:r>
    </w:p>
    <w:p>
      <w:pPr>
        <w:spacing w:after="140" w:before="0" w:line="276"/>
        <w:jc w:val="both"/>
      </w:pPr>
      <w:r>
        <w:rPr>
          <w:rFonts w:ascii="Calibri" w:cs="Calibri" w:eastAsia="Calibri" w:hAnsi="Calibri"/>
          <w:color w:val="1F2A44"/>
          <w:sz w:val="22"/>
          <w:szCs w:val="22"/>
        </w:rPr>
        <w:t xml:space="preserve">The Swiggy case is the closest match to this product, and the resemblance is structural rather than superficial. In both, AI sits inside an operational marketplace of people doing physical work, and the user never sees a model — they see an estimate, an assignment or an ordering. The intelligence is invisible, embedded in a workflow that would exist without it.</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166"/>
        <w:gridCol w:w="6860"/>
      </w:tblGrid>
      <w:tr>
        <w:trPr>
          <w:tblHeader/>
        </w:trPr>
        <w:tc>
          <w:tcPr>
            <w:tcW w:type="dxa" w:w="216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Question</w:t>
            </w:r>
          </w:p>
        </w:tc>
        <w:tc>
          <w:tcPr>
            <w:tcW w:type="dxa" w:w="686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Answer for this project</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What is similar?</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AI is embedded in an operational loop rather than exposed as a conversational surface. Value comes from a small decision made many times a day, and the system must degrade gracefully because the operation cannot stop when a model does.</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What is different?</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Swiggy's AI decisions are largely reversible within minutes and diffuse across millions of orders. Ours attach to a named campus and a named associate, which raises the cost of an individual error and makes explainability a requirement rather than a nicety. Our volume is also thousands of decisions per month, not millions, so we cannot rely on scale to average out mistakes.</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What lesson transfers?</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Make the AI invisible and the workflow visible. Users should experience a better-ordered evening, not an AI feature. Reliability and the fallback path matter more than model sophistication.</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What would we do differently?</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We deliberately keep a mandatory human decision in the loop where Swiggy automates, because our error cost is concentrated rather than diffuse. We also expose evidence for every suggestion, which a consumer marketplace has no need to do.</w:t>
            </w:r>
          </w:p>
        </w:tc>
      </w:tr>
    </w:tbl>
    <w:p>
      <w:pPr>
        <w:pStyle w:val="Heading2"/>
        <w:spacing w:after="120" w:before="280" w:line="276"/>
        <w:jc w:val="left"/>
      </w:pPr>
      <w:r>
        <w:rPr>
          <w:rFonts w:ascii="Calibri" w:cs="Calibri" w:eastAsia="Calibri" w:hAnsi="Calibri"/>
          <w:b/>
          <w:bCs/>
          <w:color w:val="0E7C86"/>
          <w:sz w:val="25"/>
          <w:szCs w:val="25"/>
        </w:rPr>
        <w:t xml:space="preserve">10.2 Supporting Lenses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1895"/>
        <w:gridCol w:w="2888"/>
        <w:gridCol w:w="4242"/>
      </w:tblGrid>
      <w:tr>
        <w:trPr>
          <w:tblHeader/>
        </w:trPr>
        <w:tc>
          <w:tcPr>
            <w:tcW w:type="dxa" w:w="1895"/>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Case</w:t>
            </w:r>
          </w:p>
        </w:tc>
        <w:tc>
          <w:tcPr>
            <w:tcW w:type="dxa" w:w="288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Lesson taken</w:t>
            </w:r>
          </w:p>
        </w:tc>
        <w:tc>
          <w:tcPr>
            <w:tcW w:type="dxa" w:w="4242"/>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How it shows up in this submission</w:t>
            </w:r>
          </w:p>
        </w:tc>
      </w:tr>
      <w:tr>
        <w:trPr>
          <w:cantSplit/>
        </w:trPr>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Netflix — metrics and evaluation</w:t>
            </w:r>
          </w:p>
        </w:tc>
        <w:tc>
          <w:tcPr>
            <w:tcW w:type="dxa" w:w="288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model metric that is not tied to an outcome metric will be optimised into irrelevance</w:t>
            </w:r>
          </w:p>
        </w:tc>
        <w:tc>
          <w:tcPr>
            <w:tcW w:type="dxa" w:w="424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Every technical metric in Section 5.6 is paired with the business outcome it is meant to move, and guardrail metrics can veto a launch</w:t>
            </w:r>
          </w:p>
        </w:tc>
      </w:tr>
      <w:tr>
        <w:trPr>
          <w:cantSplit/>
        </w:trPr>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iMerit — data operations and labelling</w:t>
            </w:r>
          </w:p>
        </w:tc>
        <w:tc>
          <w:tcPr>
            <w:tcW w:type="dxa" w:w="288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Labelling quality and rubric clarity beat labelling volume</w:t>
            </w:r>
          </w:p>
        </w:tc>
        <w:tc>
          <w:tcPr>
            <w:tcW w:type="dxa" w:w="424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30-report weekly labelled sample with a versioned rubric, where labeller disagreement is treated as a rubric defect</w:t>
            </w:r>
          </w:p>
        </w:tc>
      </w:tr>
      <w:tr>
        <w:trPr>
          <w:cantSplit/>
        </w:trPr>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Bias in lending / Apple Card lens</w:t>
            </w:r>
          </w:p>
        </w:tc>
        <w:tc>
          <w:tcPr>
            <w:tcW w:type="dxa" w:w="288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Bias appears through proxies nobody designed in</w:t>
            </w:r>
          </w:p>
        </w:tc>
        <w:tc>
          <w:tcPr>
            <w:tcW w:type="dxa" w:w="424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Writing fluency is our proxy risk, so the bias audit compares severity distributions across campuses and report authors</w:t>
            </w:r>
          </w:p>
        </w:tc>
      </w:tr>
      <w:tr>
        <w:trPr>
          <w:cantSplit/>
        </w:trPr>
        <w:tc>
          <w:tcPr>
            <w:tcW w:type="dxa" w:w="1895"/>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Instacart and Tesla — lifecycle and drift</w:t>
            </w:r>
          </w:p>
        </w:tc>
        <w:tc>
          <w:tcPr>
            <w:tcW w:type="dxa" w:w="288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Systems degrade quietly as the world changes around them</w:t>
            </w:r>
          </w:p>
        </w:tc>
        <w:tc>
          <w:tcPr>
            <w:tcW w:type="dxa" w:w="424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Pinned model versions, evaluation re-run before adopting a new version, and drift monitoring on the weekly sample</w:t>
            </w:r>
          </w:p>
        </w:tc>
      </w:tr>
      <w:tr>
        <w:trPr>
          <w:cantSplit/>
        </w:trPr>
        <w:tc>
          <w:tcPr>
            <w:tcW w:type="dxa" w:w="1895"/>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OpenAI scaling and pricing</w:t>
            </w:r>
          </w:p>
        </w:tc>
        <w:tc>
          <w:tcPr>
            <w:tcW w:type="dxa" w:w="288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Per-call cost is invisible in a pilot and decisive at scale</w:t>
            </w:r>
          </w:p>
        </w:tc>
        <w:tc>
          <w:tcPr>
            <w:tcW w:type="dxa" w:w="424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Pinned context size, spend alarms, cost attribution per capability, and a unit-economics test stated per campus-month</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11. AI Collaboration Log</w:t>
      </w:r>
    </w:p>
    <w:p>
      <w:pPr>
        <w:spacing w:after="140" w:before="0" w:line="276"/>
        <w:jc w:val="both"/>
      </w:pPr>
      <w:r>
        <w:rPr>
          <w:rFonts w:ascii="Calibri" w:cs="Calibri" w:eastAsia="Calibri" w:hAnsi="Calibri"/>
          <w:color w:val="1F2A44"/>
          <w:sz w:val="22"/>
          <w:szCs w:val="22"/>
        </w:rPr>
        <w:t xml:space="preserve">This section discloses how AI tools were used to produce this submission and the product artifacts behind it. It is written to be honest rather than flattering, because a collaboration log that reports no failures is not a log.</w:t>
      </w:r>
    </w:p>
    <w:p>
      <w:pPr>
        <w:pStyle w:val="Heading2"/>
        <w:spacing w:after="120" w:before="280" w:line="276"/>
        <w:jc w:val="left"/>
      </w:pPr>
      <w:r>
        <w:rPr>
          <w:rFonts w:ascii="Calibri" w:cs="Calibri" w:eastAsia="Calibri" w:hAnsi="Calibri"/>
          <w:b/>
          <w:bCs/>
          <w:color w:val="0E7C86"/>
          <w:sz w:val="25"/>
          <w:szCs w:val="25"/>
        </w:rPr>
        <w:t xml:space="preserve">11.1 Tools Used</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166"/>
        <w:gridCol w:w="6860"/>
      </w:tblGrid>
      <w:tr>
        <w:trPr>
          <w:tblHeader/>
        </w:trPr>
        <w:tc>
          <w:tcPr>
            <w:tcW w:type="dxa" w:w="216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Tool</w:t>
            </w:r>
          </w:p>
        </w:tc>
        <w:tc>
          <w:tcPr>
            <w:tcW w:type="dxa" w:w="686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Used for</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Claude</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Structuring this document, drafting and rewriting PM artifacts, generating edge cases, stress-testing the risk register and metric design, and reviewing prototype code</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Google Gemini</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Inside the product itself — daily and weekly narrative summaries, meeting summarisation and document analysis</w:t>
            </w:r>
          </w:p>
        </w:tc>
      </w:tr>
      <w:tr>
        <w:trPr>
          <w:cantSplit/>
        </w:trPr>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AI coding assistance</w:t>
            </w:r>
          </w:p>
        </w:tc>
        <w:tc>
          <w:tcPr>
            <w:tcW w:type="dxa" w:w="686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Scaffolding components, migrations and repetitive interface code during platform development</w:t>
            </w:r>
          </w:p>
        </w:tc>
      </w:tr>
      <w:tr>
        <w:trPr>
          <w:cantSplit/>
        </w:trPr>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Google Vision</w:t>
            </w:r>
          </w:p>
        </w:tc>
        <w:tc>
          <w:tcPr>
            <w:tcW w:type="dxa" w:w="686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Inside the product — OCR for document intake</w:t>
            </w:r>
          </w:p>
        </w:tc>
      </w:tr>
    </w:tbl>
    <w:p>
      <w:pPr>
        <w:pStyle w:val="Heading2"/>
        <w:spacing w:after="120" w:before="280" w:line="276"/>
        <w:jc w:val="left"/>
      </w:pPr>
      <w:r>
        <w:rPr>
          <w:rFonts w:ascii="Calibri" w:cs="Calibri" w:eastAsia="Calibri" w:hAnsi="Calibri"/>
          <w:b/>
          <w:bCs/>
          <w:color w:val="0E7C86"/>
          <w:sz w:val="25"/>
          <w:szCs w:val="25"/>
        </w:rPr>
        <w:t xml:space="preserve">11.2 Where AI Helped</w:t>
      </w:r>
    </w:p>
    <w:p>
      <w:pPr>
        <w:pStyle w:val="ListParagraph"/>
        <w:numPr>
          <w:ilvl w:val="0"/>
          <w:numId w:val="2"/>
        </w:numPr>
        <w:spacing w:after="60" w:line="276"/>
        <w:jc w:val="both"/>
      </w:pPr>
      <w:r>
        <w:rPr>
          <w:rFonts w:ascii="Calibri" w:cs="Calibri" w:eastAsia="Calibri" w:hAnsi="Calibri"/>
          <w:color w:val="1F2A44"/>
          <w:sz w:val="22"/>
          <w:szCs w:val="22"/>
        </w:rPr>
        <w:t xml:space="preserve">Discovery: turning scattered field notes from campus visits into a structured problem list, which made repeated patterns visible faster than reading the notes again would have.</w:t>
      </w:r>
    </w:p>
    <w:p>
      <w:pPr>
        <w:pStyle w:val="ListParagraph"/>
        <w:numPr>
          <w:ilvl w:val="0"/>
          <w:numId w:val="2"/>
        </w:numPr>
        <w:spacing w:after="60" w:line="276"/>
        <w:jc w:val="both"/>
      </w:pPr>
      <w:r>
        <w:rPr>
          <w:rFonts w:ascii="Calibri" w:cs="Calibri" w:eastAsia="Calibri" w:hAnsi="Calibri"/>
          <w:color w:val="1F2A44"/>
          <w:sz w:val="22"/>
          <w:szCs w:val="22"/>
        </w:rPr>
        <w:t xml:space="preserve">Drafting: producing first versions of PRD sections and this report's structure, which removed the blank-page cost and let effort go into judgement.</w:t>
      </w:r>
    </w:p>
    <w:p>
      <w:pPr>
        <w:pStyle w:val="ListParagraph"/>
        <w:numPr>
          <w:ilvl w:val="0"/>
          <w:numId w:val="2"/>
        </w:numPr>
        <w:spacing w:after="60" w:line="276"/>
        <w:jc w:val="both"/>
      </w:pPr>
      <w:r>
        <w:rPr>
          <w:rFonts w:ascii="Calibri" w:cs="Calibri" w:eastAsia="Calibri" w:hAnsi="Calibri"/>
          <w:color w:val="1F2A44"/>
          <w:sz w:val="22"/>
          <w:szCs w:val="22"/>
        </w:rPr>
        <w:t xml:space="preserve">Edge cases: generating long candidate lists of failure scenarios across scheduling, seating, invigilation and paper generation. This is the single highest-value use — the model reliably proposes cases a tired human forgets.</w:t>
      </w:r>
    </w:p>
    <w:p>
      <w:pPr>
        <w:pStyle w:val="ListParagraph"/>
        <w:numPr>
          <w:ilvl w:val="0"/>
          <w:numId w:val="2"/>
        </w:numPr>
        <w:spacing w:after="60" w:line="276"/>
        <w:jc w:val="both"/>
      </w:pPr>
      <w:r>
        <w:rPr>
          <w:rFonts w:ascii="Calibri" w:cs="Calibri" w:eastAsia="Calibri" w:hAnsi="Calibri"/>
          <w:color w:val="1F2A44"/>
          <w:sz w:val="22"/>
          <w:szCs w:val="22"/>
        </w:rPr>
        <w:t xml:space="preserve">Coding: scaffolding repetitive parts of a large application quickly.</w:t>
      </w:r>
    </w:p>
    <w:p>
      <w:pPr>
        <w:pStyle w:val="ListParagraph"/>
        <w:numPr>
          <w:ilvl w:val="0"/>
          <w:numId w:val="2"/>
        </w:numPr>
        <w:spacing w:after="60" w:line="276"/>
        <w:jc w:val="both"/>
      </w:pPr>
      <w:r>
        <w:rPr>
          <w:rFonts w:ascii="Calibri" w:cs="Calibri" w:eastAsia="Calibri" w:hAnsi="Calibri"/>
          <w:color w:val="1F2A44"/>
          <w:sz w:val="22"/>
          <w:szCs w:val="22"/>
        </w:rPr>
        <w:t xml:space="preserve">Metrics: proposing alternative metric formulations, including the two-sided override band, which came out of pushing back on a first draft that had only a lower bound.</w:t>
      </w:r>
    </w:p>
    <w:p>
      <w:pPr>
        <w:pStyle w:val="ListParagraph"/>
        <w:numPr>
          <w:ilvl w:val="0"/>
          <w:numId w:val="2"/>
        </w:numPr>
        <w:spacing w:after="60" w:line="276"/>
        <w:jc w:val="both"/>
      </w:pPr>
      <w:r>
        <w:rPr>
          <w:rFonts w:ascii="Calibri" w:cs="Calibri" w:eastAsia="Calibri" w:hAnsi="Calibri"/>
          <w:color w:val="1F2A44"/>
          <w:sz w:val="22"/>
          <w:szCs w:val="22"/>
        </w:rPr>
        <w:t xml:space="preserve">Risk review: challenging the risk register and surfacing the function-creep scenario that became R7.</w:t>
      </w:r>
    </w:p>
    <w:p>
      <w:pPr>
        <w:pStyle w:val="Heading2"/>
        <w:spacing w:after="120" w:before="280" w:line="276"/>
        <w:jc w:val="left"/>
      </w:pPr>
      <w:r>
        <w:rPr>
          <w:rFonts w:ascii="Calibri" w:cs="Calibri" w:eastAsia="Calibri" w:hAnsi="Calibri"/>
          <w:b/>
          <w:bCs/>
          <w:color w:val="0E7C86"/>
          <w:sz w:val="25"/>
          <w:szCs w:val="25"/>
        </w:rPr>
        <w:t xml:space="preserve">11.3 Example Prompts and Workflows</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542"/>
        <w:gridCol w:w="3610"/>
        <w:gridCol w:w="4874"/>
      </w:tblGrid>
      <w:tr>
        <w:trPr>
          <w:tblHeader/>
        </w:trPr>
        <w:tc>
          <w:tcPr>
            <w:tcW w:type="dxa" w:w="542"/>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t>
            </w:r>
          </w:p>
        </w:tc>
        <w:tc>
          <w:tcPr>
            <w:tcW w:type="dxa" w:w="361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Prompt or workflow</w:t>
            </w:r>
          </w:p>
        </w:tc>
        <w:tc>
          <w:tcPr>
            <w:tcW w:type="dxa" w:w="487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What came back and what was done with it</w:t>
            </w:r>
          </w:p>
        </w:tc>
      </w:tr>
      <w:tr>
        <w:trPr>
          <w:cantSplit/>
        </w:trPr>
        <w:tc>
          <w:tcPr>
            <w:tcW w:type="dxa" w:w="54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1</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Given this daily operations workflow and this database schema, list every way an AI triage layer could fail in a way the reviewer would not notice.</w:t>
            </w:r>
          </w:p>
        </w:tc>
        <w:tc>
          <w:tcPr>
            <w:tcW w:type="dxa" w:w="487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long list, roughly two-thirds useful. It produced the automation-complacency framing that became R2 and reshaped the override metric. Generic entries about "model bias" were discarded as unactionable.</w:t>
            </w:r>
          </w:p>
        </w:tc>
      </w:tr>
      <w:tr>
        <w:trPr>
          <w:cantSplit/>
        </w:trPr>
        <w:tc>
          <w:tcPr>
            <w:tcW w:type="dxa" w:w="54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2</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Argue against building this feature. Assume a competent manager who thinks a rules engine would be enough.</w:t>
            </w:r>
          </w:p>
        </w:tc>
        <w:tc>
          <w:tcPr>
            <w:tcW w:type="dxa" w:w="487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strongest single prompt used. It forced the rules-only baseline in Section 5.4, which is now a running comparison in the pilot rather than a rhetorical claim.</w:t>
            </w:r>
          </w:p>
        </w:tc>
      </w:tr>
      <w:tr>
        <w:trPr>
          <w:cantSplit/>
        </w:trPr>
        <w:tc>
          <w:tcPr>
            <w:tcW w:type="dxa" w:w="54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3</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Draft severity classification rubric options for operational campus reports, with worked examples per level.</w:t>
            </w:r>
          </w:p>
        </w:tc>
        <w:tc>
          <w:tcPr>
            <w:tcW w:type="dxa" w:w="487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Three rubric drafts. All were too abstract initially; usable only after real report examples were supplied, and then rewritten by hand.</w:t>
            </w:r>
          </w:p>
        </w:tc>
      </w:tr>
      <w:tr>
        <w:trPr>
          <w:cantSplit/>
        </w:trPr>
        <w:tc>
          <w:tcPr>
            <w:tcW w:type="dxa" w:w="542"/>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4</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 this PRD section and identify claims that are asserted without evidence.</w:t>
            </w:r>
          </w:p>
        </w:tc>
        <w:tc>
          <w:tcPr>
            <w:tcW w:type="dxa" w:w="487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Accurately caught several unsupported efficiency claims, which were either removed or moved into the assumptions section.</w:t>
            </w:r>
          </w:p>
        </w:tc>
      </w:tr>
      <w:tr>
        <w:trPr>
          <w:cantSplit/>
        </w:trPr>
        <w:tc>
          <w:tcPr>
            <w:tcW w:type="dxa" w:w="542"/>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5</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Propose an exam timetable generation approach for cohorts with shared subjects across sections.</w:t>
            </w:r>
          </w:p>
        </w:tc>
        <w:tc>
          <w:tcPr>
            <w:tcW w:type="dxa" w:w="487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Suggested graph-colouring with a conflict graph, which was a genuinely useful starting point, but the initial version ignored the requirement to maximise the gap between a student's consecutive exams — added by hand afterwards.</w:t>
            </w:r>
          </w:p>
        </w:tc>
      </w:tr>
    </w:tbl>
    <w:p>
      <w:pPr>
        <w:pStyle w:val="Heading2"/>
        <w:spacing w:after="120" w:before="280" w:line="276"/>
        <w:jc w:val="left"/>
      </w:pPr>
      <w:r>
        <w:rPr>
          <w:rFonts w:ascii="Calibri" w:cs="Calibri" w:eastAsia="Calibri" w:hAnsi="Calibri"/>
          <w:b/>
          <w:bCs/>
          <w:color w:val="0E7C86"/>
          <w:sz w:val="25"/>
          <w:szCs w:val="25"/>
        </w:rPr>
        <w:t xml:space="preserve">11.4 Where AI Was Weak or Wrong</w:t>
      </w:r>
    </w:p>
    <w:p>
      <w:pPr>
        <w:pStyle w:val="ListParagraph"/>
        <w:numPr>
          <w:ilvl w:val="0"/>
          <w:numId w:val="2"/>
        </w:numPr>
        <w:spacing w:after="60" w:line="276"/>
        <w:jc w:val="both"/>
      </w:pPr>
      <w:r>
        <w:rPr>
          <w:rFonts w:ascii="Calibri" w:cs="Calibri" w:eastAsia="Calibri" w:hAnsi="Calibri"/>
          <w:color w:val="1F2A44"/>
          <w:sz w:val="22"/>
          <w:szCs w:val="22"/>
        </w:rPr>
        <w:t xml:space="preserve">Generic personas and workflows. Every unprompted persona was a stock "operations manager" with no resemblance to how a Business Operations Associate actually spends an afternoon. Only field notes fixed this.</w:t>
      </w:r>
    </w:p>
    <w:p>
      <w:pPr>
        <w:pStyle w:val="ListParagraph"/>
        <w:numPr>
          <w:ilvl w:val="0"/>
          <w:numId w:val="2"/>
        </w:numPr>
        <w:spacing w:after="60" w:line="276"/>
        <w:jc w:val="both"/>
      </w:pPr>
      <w:r>
        <w:rPr>
          <w:rFonts w:ascii="Calibri" w:cs="Calibri" w:eastAsia="Calibri" w:hAnsi="Calibri"/>
          <w:color w:val="1F2A44"/>
          <w:sz w:val="22"/>
          <w:szCs w:val="22"/>
        </w:rPr>
        <w:t xml:space="preserve">Unrealistic automation ambition. Default suggestions consistently pushed towards full automation and end-to-end agents, with no weight given to the cost of a wrong decision in an academic setting.</w:t>
      </w:r>
    </w:p>
    <w:p>
      <w:pPr>
        <w:pStyle w:val="ListParagraph"/>
        <w:numPr>
          <w:ilvl w:val="0"/>
          <w:numId w:val="2"/>
        </w:numPr>
        <w:spacing w:after="60" w:line="276"/>
        <w:jc w:val="both"/>
      </w:pPr>
      <w:r>
        <w:rPr>
          <w:rFonts w:ascii="Calibri" w:cs="Calibri" w:eastAsia="Calibri" w:hAnsi="Calibri"/>
          <w:color w:val="1F2A44"/>
          <w:sz w:val="22"/>
          <w:szCs w:val="22"/>
        </w:rPr>
        <w:t xml:space="preserve">A live grounding failure in the product itself. On the day these screens were captured, the shipped Ops Copilot summary stated that there was a complete absence of operational activity and zero values across all indicators, on the same screen that reported 355 of 369 sessions completed and 30.6 per cent attendance. It is reproduced in the appendix. This is the clearest evidence in the submission for risk R1, and it is the reason the layer is assist-only: a reviewer who trusted that paragraph instead of the figures beside it would have drawn exactly the wrong conclusion about a campus.</w:t>
      </w:r>
    </w:p>
    <w:p>
      <w:pPr>
        <w:pStyle w:val="ListParagraph"/>
        <w:numPr>
          <w:ilvl w:val="0"/>
          <w:numId w:val="2"/>
        </w:numPr>
        <w:spacing w:after="60" w:line="276"/>
        <w:jc w:val="both"/>
      </w:pPr>
      <w:r>
        <w:rPr>
          <w:rFonts w:ascii="Calibri" w:cs="Calibri" w:eastAsia="Calibri" w:hAnsi="Calibri"/>
          <w:color w:val="1F2A44"/>
          <w:sz w:val="22"/>
          <w:szCs w:val="22"/>
        </w:rPr>
        <w:t xml:space="preserve">Invented numbers. When asked for efficiency estimates, plausible-looking percentages were produced with no basis. These were deleted; unmeasured figures in this document are labelled as assumptions rather than replaced with confident-sounding ones.</w:t>
      </w:r>
    </w:p>
    <w:p>
      <w:pPr>
        <w:pStyle w:val="ListParagraph"/>
        <w:numPr>
          <w:ilvl w:val="0"/>
          <w:numId w:val="2"/>
        </w:numPr>
        <w:spacing w:after="60" w:line="276"/>
        <w:jc w:val="both"/>
      </w:pPr>
      <w:r>
        <w:rPr>
          <w:rFonts w:ascii="Calibri" w:cs="Calibri" w:eastAsia="Calibri" w:hAnsi="Calibri"/>
          <w:color w:val="1F2A44"/>
          <w:sz w:val="22"/>
          <w:szCs w:val="22"/>
        </w:rPr>
        <w:t xml:space="preserve">Weak prioritisation. Ranking suggestions were sensitive to the order in which features were listed and did not weigh the cost of error until that dimension was explicitly added.</w:t>
      </w:r>
    </w:p>
    <w:p>
      <w:pPr>
        <w:pStyle w:val="ListParagraph"/>
        <w:numPr>
          <w:ilvl w:val="0"/>
          <w:numId w:val="2"/>
        </w:numPr>
        <w:spacing w:after="60" w:line="276"/>
        <w:jc w:val="both"/>
      </w:pPr>
      <w:r>
        <w:rPr>
          <w:rFonts w:ascii="Calibri" w:cs="Calibri" w:eastAsia="Calibri" w:hAnsi="Calibri"/>
          <w:color w:val="1F2A44"/>
          <w:sz w:val="22"/>
          <w:szCs w:val="22"/>
        </w:rPr>
        <w:t xml:space="preserve">Shallow governance framing. Risk sections came back as compliance boilerplate. The specific harm scenarios in Section 7.2 came from knowing the people who write these reports, not from a model.</w:t>
      </w:r>
    </w:p>
    <w:p>
      <w:pPr>
        <w:pStyle w:val="ListParagraph"/>
        <w:numPr>
          <w:ilvl w:val="0"/>
          <w:numId w:val="2"/>
        </w:numPr>
        <w:spacing w:after="60" w:line="276"/>
        <w:jc w:val="both"/>
      </w:pPr>
      <w:r>
        <w:rPr>
          <w:rFonts w:ascii="Calibri" w:cs="Calibri" w:eastAsia="Calibri" w:hAnsi="Calibri"/>
          <w:color w:val="1F2A44"/>
          <w:sz w:val="22"/>
          <w:szCs w:val="22"/>
        </w:rPr>
        <w:t xml:space="preserve">Over-confident architecture. Suggested designs occasionally ignored constraints already stated, such as the requirement that permission scoping be enforced at the database layer rather than in application code.</w:t>
      </w:r>
    </w:p>
    <w:p>
      <w:pPr>
        <w:pStyle w:val="Heading2"/>
        <w:spacing w:after="120" w:before="280" w:line="276"/>
        <w:jc w:val="left"/>
      </w:pPr>
      <w:r>
        <w:rPr>
          <w:rFonts w:ascii="Calibri" w:cs="Calibri" w:eastAsia="Calibri" w:hAnsi="Calibri"/>
          <w:b/>
          <w:bCs/>
          <w:color w:val="0E7C86"/>
          <w:sz w:val="25"/>
          <w:szCs w:val="25"/>
        </w:rPr>
        <w:t xml:space="preserve">11.5 Human Corrections Applied</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708"/>
        <w:gridCol w:w="2708"/>
        <w:gridCol w:w="3610"/>
      </w:tblGrid>
      <w:tr>
        <w:trPr>
          <w:tblHeader/>
        </w:trPr>
        <w:tc>
          <w:tcPr>
            <w:tcW w:type="dxa" w:w="270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AI proposal</w:t>
            </w:r>
          </w:p>
        </w:tc>
        <w:tc>
          <w:tcPr>
            <w:tcW w:type="dxa" w:w="2708"/>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Human correction</w:t>
            </w:r>
          </w:p>
        </w:tc>
        <w:tc>
          <w:tcPr>
            <w:tcW w:type="dxa" w:w="361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Reasoning</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Fully automated report approval for high-confidence items</w:t>
            </w:r>
          </w:p>
        </w:tc>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Assist-only; no automatic state advancement of any kind</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error cost is concentrated on a named campus, and the oversight step is the entire safety argument</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Predictive student dropout scoring in the MVP</w:t>
            </w:r>
          </w:p>
        </w:tc>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Deferred out of the MVP entirely</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Training data reflects recording habits more than student behaviour, and a wrong prediction attaches to a real student</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Override rate with a lower bound only</w:t>
            </w:r>
          </w:p>
        </w:tc>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Two-sided band, 10% to 25%</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very low override rate is a warning sign of rubber-stamping, not a success signal</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Broad multi-module AI rollout</w:t>
            </w:r>
          </w:p>
        </w:tc>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One wedge, five campuses, one month</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Only a narrow scope produces an evaluation anyone should believe</w:t>
            </w:r>
          </w:p>
        </w:tc>
      </w:tr>
      <w:tr>
        <w:trPr>
          <w:cantSplit/>
        </w:trPr>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Estimated efficiency gains stated as facts</w:t>
            </w:r>
          </w:p>
        </w:tc>
        <w:tc>
          <w:tcPr>
            <w:tcW w:type="dxa" w:w="2708"/>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Rewritten as pilot targets and assumptions</w:t>
            </w:r>
          </w:p>
        </w:tc>
        <w:tc>
          <w:tcPr>
            <w:tcW w:type="dxa" w:w="361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Fabricated evidence would invalidate the entire argument</w:t>
            </w:r>
          </w:p>
        </w:tc>
      </w:tr>
      <w:tr>
        <w:trPr>
          <w:cantSplit/>
        </w:trPr>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Model-generated numeric analysis</w:t>
            </w:r>
          </w:p>
        </w:tc>
        <w:tc>
          <w:tcPr>
            <w:tcW w:type="dxa" w:w="2708"/>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All numbers stay deterministic; the model never computes</w:t>
            </w:r>
          </w:p>
        </w:tc>
        <w:tc>
          <w:tcPr>
            <w:tcW w:type="dxa" w:w="361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Arithmetic must be exactly correct and is trivially handled in code</w:t>
            </w:r>
          </w:p>
        </w:tc>
      </w:tr>
    </w:tbl>
    <w:p>
      <w:pPr>
        <w:pStyle w:val="Heading2"/>
        <w:spacing w:after="120" w:before="280" w:line="276"/>
        <w:jc w:val="left"/>
      </w:pPr>
      <w:r>
        <w:rPr>
          <w:rFonts w:ascii="Calibri" w:cs="Calibri" w:eastAsia="Calibri" w:hAnsi="Calibri"/>
          <w:b/>
          <w:bCs/>
          <w:color w:val="0E7C86"/>
          <w:sz w:val="25"/>
          <w:szCs w:val="25"/>
        </w:rPr>
        <w:t xml:space="preserve">11.6 Final Reflection</w:t>
      </w:r>
    </w:p>
    <w:p>
      <w:pPr>
        <w:spacing w:after="140" w:before="0" w:line="276"/>
        <w:jc w:val="both"/>
      </w:pPr>
      <w:r>
        <w:rPr>
          <w:rFonts w:ascii="Calibri" w:cs="Calibri" w:eastAsia="Calibri" w:hAnsi="Calibri"/>
          <w:color w:val="1F2A44"/>
          <w:sz w:val="22"/>
          <w:szCs w:val="22"/>
        </w:rPr>
        <w:t xml:space="preserve">AI accelerated the parts of product management that are production work: structuring documents, drafting, enumerating edge cases, generating alternatives and scaffolding code. On edge-case generation in particular it was better than working alone, and the exam-operations design is more complete because of it.</w:t>
      </w:r>
    </w:p>
    <w:p>
      <w:pPr>
        <w:spacing w:after="140" w:before="0" w:line="276"/>
        <w:jc w:val="both"/>
      </w:pPr>
      <w:r>
        <w:rPr>
          <w:rFonts w:ascii="Calibri" w:cs="Calibri" w:eastAsia="Calibri" w:hAnsi="Calibri"/>
          <w:color w:val="1F2A44"/>
          <w:sz w:val="22"/>
          <w:szCs w:val="22"/>
        </w:rPr>
        <w:t xml:space="preserve">It could not do the parts that are actually the job. It did not know which problem was worth solving, because that came from standing in campuses and watching people work. It did not know what error cost the institution could tolerate. It could not decide that automated staff scoring should be rejected outright rather than deferred, and when asked, it produced a balanced discussion instead of a decision. It could not tell the difference between a number that was measured and a number that sounded right — which is, in the end, the difference between a product recommendation and a pitch.</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60" w:before="0" w:line="276"/>
              <w:jc w:val="both"/>
            </w:pPr>
            <w:r>
              <w:rPr>
                <w:rFonts w:ascii="Calibri" w:cs="Calibri" w:eastAsia="Calibri" w:hAnsi="Calibri"/>
                <w:b/>
                <w:bCs/>
                <w:color w:val="0E7C86"/>
                <w:sz w:val="20"/>
                <w:szCs w:val="20"/>
              </w:rPr>
              <w:t xml:space="preserve">THE PRACTICAL LESSON</w:t>
            </w:r>
          </w:p>
          <w:p>
            <w:pPr>
              <w:spacing w:after="0" w:before="0" w:line="276"/>
              <w:jc w:val="both"/>
            </w:pPr>
            <w:r>
              <w:rPr>
                <w:rFonts w:ascii="Calibri" w:cs="Calibri" w:eastAsia="Calibri" w:hAnsi="Calibri"/>
                <w:color w:val="1F2A44"/>
                <w:sz w:val="22"/>
                <w:szCs w:val="22"/>
              </w:rPr>
              <w:t xml:space="preserve">The most useful pattern found was adversarial rather than generative: asking the model to argue against the product, to find unsupported claims, and to list ways the system could fail invisibly. Used that way it is a demanding reviewer. Used as an author, it produces confident, generic, unfalsifiable work.</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12. Individual Contribution Disclosure</w:t>
      </w:r>
    </w:p>
    <w:p>
      <w:pPr>
        <w:spacing w:after="140" w:before="0" w:line="276"/>
        <w:jc w:val="both"/>
      </w:pPr>
      <w:r>
        <w:rPr>
          <w:rFonts w:ascii="Calibri" w:cs="Calibri" w:eastAsia="Calibri" w:hAnsi="Calibri"/>
          <w:color w:val="1F2A44"/>
          <w:sz w:val="22"/>
          <w:szCs w:val="22"/>
        </w:rPr>
        <w:t xml:space="preserve">This is an individual submission. All artifacts were produced by the submitter, with AI assistance disclosed in Section 11.</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069"/>
        <w:gridCol w:w="2166"/>
        <w:gridCol w:w="3791"/>
      </w:tblGrid>
      <w:tr>
        <w:trPr>
          <w:tblHeader/>
        </w:trPr>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Artifact</w:t>
            </w:r>
          </w:p>
        </w:tc>
        <w:tc>
          <w:tcPr>
            <w:tcW w:type="dxa" w:w="2166"/>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Led by</w:t>
            </w:r>
          </w:p>
        </w:tc>
        <w:tc>
          <w:tcPr>
            <w:tcW w:type="dxa" w:w="3791"/>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Nature of the work</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Problem identification and field research</w:t>
            </w:r>
          </w:p>
        </w:tc>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Campus visits, operator conversations and daily use of the system</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Product strategy and opportunity framing</w:t>
            </w:r>
          </w:p>
        </w:tc>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Written independently; opportunity matrix scored and defended personally</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PM artifact pack (PRD, prioritisation, MVP, roadmap, metrics)</w:t>
            </w:r>
          </w:p>
        </w:tc>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Drafted with AI assistance, restructured and decided by hand</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UX, workflow and trust design</w:t>
            </w:r>
          </w:p>
        </w:tc>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Screen and interaction design, confidence-band behaviour</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Data, model and evaluation strategy</w:t>
            </w:r>
          </w:p>
        </w:tc>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Task decomposition, rubric design, evaluation harness and thresholds</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Business, economics and scaling view</w:t>
            </w:r>
          </w:p>
        </w:tc>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Cost model structure and unit-economics test</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Ethics, governance and risk</w:t>
            </w:r>
          </w:p>
        </w:tc>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Risk register, harm scenarios, controls and launch blockers</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Prototype and platform build</w:t>
            </w:r>
          </w:p>
        </w:tc>
        <w:tc>
          <w:tcPr>
            <w:tcW w:type="dxa" w:w="2166"/>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Sole builder and owner of the production platform</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AI collaboration log and this report</w:t>
            </w:r>
          </w:p>
        </w:tc>
        <w:tc>
          <w:tcPr>
            <w:tcW w:type="dxa" w:w="2166"/>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c>
          <w:tcPr>
            <w:tcW w:type="dxa" w:w="3791"/>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Written and verified personally</w:t>
            </w:r>
          </w:p>
        </w:tc>
      </w:tr>
    </w:tbl>
    <w:p>
      <w:pPr>
        <w:pStyle w:val="Heading2"/>
        <w:spacing w:after="120" w:before="280" w:line="276"/>
        <w:jc w:val="left"/>
      </w:pPr>
      <w:r>
        <w:rPr>
          <w:rFonts w:ascii="Calibri" w:cs="Calibri" w:eastAsia="Calibri" w:hAnsi="Calibri"/>
          <w:b/>
          <w:bCs/>
          <w:color w:val="0E7C86"/>
          <w:sz w:val="25"/>
          <w:szCs w:val="25"/>
        </w:rPr>
        <w:t xml:space="preserve">12.1 How Outputs Were Validated</w:t>
      </w:r>
    </w:p>
    <w:p>
      <w:pPr>
        <w:pStyle w:val="ListParagraph"/>
        <w:numPr>
          <w:ilvl w:val="0"/>
          <w:numId w:val="2"/>
        </w:numPr>
        <w:spacing w:after="60" w:line="276"/>
        <w:jc w:val="both"/>
      </w:pPr>
      <w:r>
        <w:rPr>
          <w:rFonts w:ascii="Calibri" w:cs="Calibri" w:eastAsia="Calibri" w:hAnsi="Calibri"/>
          <w:color w:val="1F2A44"/>
          <w:sz w:val="22"/>
          <w:szCs w:val="22"/>
        </w:rPr>
        <w:t xml:space="preserve">Product claims were checked against the live system rather than against memory, and anything that could not be checked was marked as an assumption.</w:t>
      </w:r>
    </w:p>
    <w:p>
      <w:pPr>
        <w:pStyle w:val="ListParagraph"/>
        <w:numPr>
          <w:ilvl w:val="0"/>
          <w:numId w:val="2"/>
        </w:numPr>
        <w:spacing w:after="60" w:line="276"/>
        <w:jc w:val="both"/>
      </w:pPr>
      <w:r>
        <w:rPr>
          <w:rFonts w:ascii="Calibri" w:cs="Calibri" w:eastAsia="Calibri" w:hAnsi="Calibri"/>
          <w:color w:val="1F2A44"/>
          <w:sz w:val="22"/>
          <w:szCs w:val="22"/>
        </w:rPr>
        <w:t xml:space="preserve">Workflow descriptions were validated against how operators actually work, not against how the system was designed to be used.</w:t>
      </w:r>
    </w:p>
    <w:p>
      <w:pPr>
        <w:pStyle w:val="ListParagraph"/>
        <w:numPr>
          <w:ilvl w:val="0"/>
          <w:numId w:val="2"/>
        </w:numPr>
        <w:spacing w:after="60" w:line="276"/>
        <w:jc w:val="both"/>
      </w:pPr>
      <w:r>
        <w:rPr>
          <w:rFonts w:ascii="Calibri" w:cs="Calibri" w:eastAsia="Calibri" w:hAnsi="Calibri"/>
          <w:color w:val="1F2A44"/>
          <w:sz w:val="22"/>
          <w:szCs w:val="22"/>
        </w:rPr>
        <w:t xml:space="preserve">AI-generated content was treated as a draft in every case, and no section of this document is unedited model output.</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13. Assumptions and Evidence Quality</w:t>
      </w:r>
    </w:p>
    <w:p>
      <w:pPr>
        <w:spacing w:after="140" w:before="0" w:line="276"/>
        <w:jc w:val="both"/>
      </w:pPr>
      <w:r>
        <w:rPr>
          <w:rFonts w:ascii="Calibri" w:cs="Calibri" w:eastAsia="Calibri" w:hAnsi="Calibri"/>
          <w:color w:val="1F2A44"/>
          <w:sz w:val="22"/>
          <w:szCs w:val="22"/>
        </w:rPr>
        <w:t xml:space="preserve">This section exists so that a reader can tell, at a glance, which parts of the argument rest on measurement and which rest on judgement. It is the section a leadership review group would ask for first.</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069"/>
        <w:gridCol w:w="2527"/>
        <w:gridCol w:w="3430"/>
      </w:tblGrid>
      <w:tr>
        <w:trPr>
          <w:tblHeader/>
        </w:trPr>
        <w:tc>
          <w:tcPr>
            <w:tcW w:type="dxa" w:w="306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Claim or input</w:t>
            </w:r>
          </w:p>
        </w:tc>
        <w:tc>
          <w:tcPr>
            <w:tcW w:type="dxa" w:w="252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Evidence quality</w:t>
            </w:r>
          </w:p>
        </w:tc>
        <w:tc>
          <w:tcPr>
            <w:tcW w:type="dxa" w:w="3430"/>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How it becomes stronger</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platform is in production across the campus network and is the daily system of record</w:t>
            </w:r>
          </w:p>
        </w:tc>
        <w:tc>
          <w:tcPr>
            <w:tcW w:type="dxa" w:w="252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Measured — live system, live users</w:t>
            </w:r>
          </w:p>
        </w:tc>
        <w:tc>
          <w:tcPr>
            <w:tcW w:type="dxa" w:w="343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Already firm</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Campus scoping is enforced at the database layer</w:t>
            </w:r>
          </w:p>
        </w:tc>
        <w:tc>
          <w:tcPr>
            <w:tcW w:type="dxa" w:w="252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Measured — implemented and testable</w:t>
            </w:r>
          </w:p>
        </w:tc>
        <w:tc>
          <w:tcPr>
            <w:tcW w:type="dxa" w:w="343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Already firm; verified by targeted tests before the pilot</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Gemini summarisation and meeting intelligence are shipped and in use</w:t>
            </w:r>
          </w:p>
        </w:tc>
        <w:tc>
          <w:tcPr>
            <w:tcW w:type="dxa" w:w="252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Measured — running today</w:t>
            </w:r>
          </w:p>
        </w:tc>
        <w:tc>
          <w:tcPr>
            <w:tcW w:type="dxa" w:w="343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Already firm</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Reviewers cannot read 40 reports carefully in the evening window</w:t>
            </w:r>
          </w:p>
        </w:tc>
        <w:tc>
          <w:tcPr>
            <w:tcW w:type="dxa" w:w="252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Qualitative — operator conversations and direct observation</w:t>
            </w:r>
          </w:p>
        </w:tc>
        <w:tc>
          <w:tcPr>
            <w:tcW w:type="dxa" w:w="343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Baseline timing study during the first pilot week</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Serious issues currently surface one to two days late</w:t>
            </w:r>
          </w:p>
        </w:tc>
        <w:tc>
          <w:tcPr>
            <w:tcW w:type="dxa" w:w="252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Qualitative — recalled incidents, not yet quantified</w:t>
            </w:r>
          </w:p>
        </w:tc>
        <w:tc>
          <w:tcPr>
            <w:tcW w:type="dxa" w:w="343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 the write-to-escalate interval from the audit log for the pre-pilot period</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 40% reduction in reviewer time per report is achievable</w:t>
            </w:r>
          </w:p>
        </w:tc>
        <w:tc>
          <w:tcPr>
            <w:tcW w:type="dxa" w:w="252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Assumption — a pilot target, not a finding</w:t>
            </w:r>
          </w:p>
        </w:tc>
        <w:tc>
          <w:tcPr>
            <w:tcW w:type="dxa" w:w="343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Measured directly against the pre-pilot baseline</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Inference cost stays within the modelled ceiling at 40 campuses</w:t>
            </w:r>
          </w:p>
        </w:tc>
        <w:tc>
          <w:tcPr>
            <w:tcW w:type="dxa" w:w="252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Assumption — modelled from pilot volumes at 5 campuses</w:t>
            </w:r>
          </w:p>
        </w:tc>
        <w:tc>
          <w:tcPr>
            <w:tcW w:type="dxa" w:w="343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Extrapolate from measured pilot volumes; re-test at 20 campuses</w:t>
            </w:r>
          </w:p>
        </w:tc>
      </w:tr>
      <w:tr>
        <w:trPr>
          <w:cantSplit/>
        </w:trPr>
        <w:tc>
          <w:tcPr>
            <w:tcW w:type="dxa" w:w="306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Reviewers will continue reading source reports under AI assistance</w:t>
            </w:r>
          </w:p>
        </w:tc>
        <w:tc>
          <w:tcPr>
            <w:tcW w:type="dxa" w:w="252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Unknown — this is the central open risk</w:t>
            </w:r>
          </w:p>
        </w:tc>
        <w:tc>
          <w:tcPr>
            <w:tcW w:type="dxa" w:w="3430"/>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Two-sided override band plus structured reviewer feedback; still only partially answerable in one month</w:t>
            </w:r>
          </w:p>
        </w:tc>
      </w:tr>
      <w:tr>
        <w:trPr>
          <w:cantSplit/>
        </w:trPr>
        <w:tc>
          <w:tcPr>
            <w:tcW w:type="dxa" w:w="306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Severity classification can reach 0.90 recall on serious issues</w:t>
            </w:r>
          </w:p>
        </w:tc>
        <w:tc>
          <w:tcPr>
            <w:tcW w:type="dxa" w:w="252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Unknown — the primary hypothesis under test</w:t>
            </w:r>
          </w:p>
        </w:tc>
        <w:tc>
          <w:tcPr>
            <w:tcW w:type="dxa" w:w="3430"/>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weekly labelled sample is the test</w:t>
            </w:r>
          </w:p>
        </w:tc>
      </w:tr>
    </w:tbl>
    <w:p>
      <w:pPr>
        <w:pStyle w:val="Heading2"/>
        <w:spacing w:after="120" w:before="280" w:line="276"/>
        <w:jc w:val="left"/>
      </w:pPr>
      <w:r>
        <w:rPr>
          <w:rFonts w:ascii="Calibri" w:cs="Calibri" w:eastAsia="Calibri" w:hAnsi="Calibri"/>
          <w:b/>
          <w:bCs/>
          <w:color w:val="0E7C86"/>
          <w:sz w:val="25"/>
          <w:szCs w:val="25"/>
        </w:rPr>
        <w:t xml:space="preserve">13.1 Limitations of This Submission</w:t>
      </w:r>
    </w:p>
    <w:p>
      <w:pPr>
        <w:pStyle w:val="ListParagraph"/>
        <w:numPr>
          <w:ilvl w:val="0"/>
          <w:numId w:val="2"/>
        </w:numPr>
        <w:spacing w:after="60" w:line="276"/>
        <w:jc w:val="both"/>
      </w:pPr>
      <w:r>
        <w:rPr>
          <w:rFonts w:ascii="Calibri" w:cs="Calibri" w:eastAsia="Calibri" w:hAnsi="Calibri"/>
          <w:color w:val="1F2A44"/>
          <w:sz w:val="22"/>
          <w:szCs w:val="22"/>
        </w:rPr>
        <w:t xml:space="preserve">The pilot has not run for a full academic month at the time of writing, so the go/no-go thresholds are stated but not yet resolved.</w:t>
      </w:r>
    </w:p>
    <w:p>
      <w:pPr>
        <w:pStyle w:val="ListParagraph"/>
        <w:numPr>
          <w:ilvl w:val="0"/>
          <w:numId w:val="2"/>
        </w:numPr>
        <w:spacing w:after="60" w:line="276"/>
        <w:jc w:val="both"/>
      </w:pPr>
      <w:r>
        <w:rPr>
          <w:rFonts w:ascii="Calibri" w:cs="Calibri" w:eastAsia="Calibri" w:hAnsi="Calibri"/>
          <w:color w:val="1F2A44"/>
          <w:sz w:val="22"/>
          <w:szCs w:val="22"/>
        </w:rPr>
        <w:t xml:space="preserve">The submitter is both the builder and the evaluator of the platform, which is a real source of bias. The weekly labelled sample is deliberately produced by a reviewer who is not the submitter, partly for this reason.</w:t>
      </w:r>
    </w:p>
    <w:p>
      <w:pPr>
        <w:pStyle w:val="ListParagraph"/>
        <w:numPr>
          <w:ilvl w:val="0"/>
          <w:numId w:val="2"/>
        </w:numPr>
        <w:spacing w:after="60" w:line="276"/>
        <w:jc w:val="both"/>
      </w:pPr>
      <w:r>
        <w:rPr>
          <w:rFonts w:ascii="Calibri" w:cs="Calibri" w:eastAsia="Calibri" w:hAnsi="Calibri"/>
          <w:color w:val="1F2A44"/>
          <w:sz w:val="22"/>
          <w:szCs w:val="22"/>
        </w:rPr>
        <w:t xml:space="preserve">Operational data cannot be shared publicly, so the evidence presented to the evaluator is screenshots, a walkthrough and access on request rather than an open dataset.</w:t>
      </w:r>
    </w:p>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Appendix A. Topic Approval Form</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2347"/>
        <w:gridCol w:w="6679"/>
      </w:tblGrid>
      <w:tr>
        <w:trPr>
          <w:tblHeader/>
        </w:trPr>
        <w:tc>
          <w:tcPr>
            <w:tcW w:type="dxa" w:w="2347"/>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Field</w:t>
            </w:r>
          </w:p>
        </w:tc>
        <w:tc>
          <w:tcPr>
            <w:tcW w:type="dxa" w:w="667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Entry</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Team name</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UniConnect (individual submission)</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Team members</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Manoj Kumar Panchothi</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Working title</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UniConnect Operations OS — AI-Assisted Academic Operations for a 40-Campus Network</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Industry / function</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Education operations — multi-campus academic programme management</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Target user</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Programme Managers and the Chief of Staff, COS (reviewers); Business Operations Associates, BOAs, and Programme Management Associates (submitters); central academic operations</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Current workflow problem</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Around 40 free-text daily campus reports plus attached numbers must be reviewed in a short evening window. Serious issues are buried in routine text, surface late, and the reasoning behind escalation decisions is not recorded.</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Why this matters</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Operational delay in an education network is paid for in student experience — blocked class access, unresolved facility problems, exam-day failures — and the cost of reading grows linearly with campus count.</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Proposed AI role</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Extraction, classification, grounded summarisation and confidence-based routing — an assistive triage layer, not an autonomous decision-maker</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Why AI instead of a simpler alternative</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Numeric thresholds and dashboards already exist and already catch numeric breaches. They cannot read a complaint expressed in prose by forty different writers. A rules-only baseline runs alongside the pilot precisely so this claim is tested rather than assumed.</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Human-in-the-loop design</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existing daily sign-off state machine is the control point. No AI output advances a state or sends a message. Overrides require a structured reason. Auto-sign-off is disabled for items marked serious.</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Smallest credible MVP</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Daily operations triage on five campuses in one cluster for one academic month, assist-only, with a weekly labelled evaluation sample and a rules-only comparison running in parallel.</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Build vs buy vs API view</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API for models and OCR; build the workflow, permissions and audit; buy managed infrastructure; partner with the existing Google Workspace estate.</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Main risks</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R1 hallucinated summaries acted upon; R2 automation complacency turning oversight into ceremony; R4 campus-scoping failure exposing one campus's data to another</w:t>
            </w:r>
          </w:p>
        </w:tc>
      </w:tr>
      <w:tr>
        <w:trPr>
          <w:cantSplit/>
        </w:trPr>
        <w:tc>
          <w:tcPr>
            <w:tcW w:type="dxa" w:w="2347"/>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Success evidence</w:t>
            </w:r>
          </w:p>
        </w:tc>
        <w:tc>
          <w:tcPr>
            <w:tcW w:type="dxa" w:w="667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P1 severity recall at or above 0.90 on the labelled sample; reviewer time per report down by at least 40%; override rate inside the 10–25% band; zero scoping violations; reviewers reporting that the queue changed their working order for the better</w:t>
            </w:r>
          </w:p>
        </w:tc>
      </w:tr>
      <w:tr>
        <w:trPr>
          <w:cantSplit/>
        </w:trPr>
        <w:tc>
          <w:tcPr>
            <w:tcW w:type="dxa" w:w="2347"/>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Team recommendation</w:t>
            </w:r>
          </w:p>
        </w:tc>
        <w:tc>
          <w:tcPr>
            <w:tcW w:type="dxa" w:w="667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Proceed — pilot on five campuses, with expansion gated on the thresholds in Section 5.7</w:t>
            </w:r>
          </w:p>
        </w:tc>
      </w:tr>
    </w:tbl>
    <w:p>
      <w:r>
        <w:br w:type="page"/>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Appendix B. Requirement Coverage</w:t>
      </w:r>
    </w:p>
    <w:tbl>
      <w:tblPr>
        <w:tblW w:type="dxa" w:w="9026"/>
        <w:tblBorders>
          <w:top w:val="single" w:color="D3DCE6" w:sz="4"/>
          <w:left w:val="single" w:color="D3DCE6" w:sz="4"/>
          <w:bottom w:val="single" w:color="D3DCE6" w:sz="4"/>
          <w:right w:val="single" w:color="D3DCE6" w:sz="4"/>
          <w:insideH w:val="single" w:color="D3DCE6" w:sz="4"/>
          <w:insideV w:val="single" w:color="D3DCE6" w:sz="4"/>
        </w:tblBorders>
      </w:tblPr>
      <w:tblGrid>
        <w:gridCol w:w="3249"/>
        <w:gridCol w:w="1083"/>
        <w:gridCol w:w="4694"/>
      </w:tblGrid>
      <w:tr>
        <w:trPr>
          <w:tblHeader/>
        </w:trPr>
        <w:tc>
          <w:tcPr>
            <w:tcW w:type="dxa" w:w="3249"/>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Requirement</w:t>
            </w:r>
          </w:p>
        </w:tc>
        <w:tc>
          <w:tcPr>
            <w:tcW w:type="dxa" w:w="1083"/>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Coverage</w:t>
            </w:r>
          </w:p>
        </w:tc>
        <w:tc>
          <w:tcPr>
            <w:tcW w:type="dxa" w:w="4694"/>
            <w:shd w:fill="17263F" w:val="clear"/>
            <w:tcMar>
              <w:top w:type="dxa" w:w="90"/>
              <w:left w:type="dxa" w:w="110"/>
              <w:bottom w:type="dxa" w:w="90"/>
              <w:right w:type="dxa" w:w="110"/>
            </w:tcMar>
          </w:tcPr>
          <w:p>
            <w:pPr>
              <w:spacing w:after="0" w:line="276"/>
              <w:jc w:val="left"/>
            </w:pPr>
            <w:r>
              <w:rPr>
                <w:rFonts w:ascii="Calibri" w:cs="Calibri" w:eastAsia="Calibri" w:hAnsi="Calibri"/>
                <w:b/>
                <w:bCs/>
                <w:color w:val="FFFFFF"/>
                <w:sz w:val="19"/>
                <w:szCs w:val="19"/>
              </w:rPr>
              <w:t xml:space="preserve">Where it is evidenced</w:t>
            </w:r>
          </w:p>
        </w:tc>
      </w:tr>
      <w:tr>
        <w:trPr>
          <w:cantSplit/>
        </w:trPr>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problem is specific</w:t>
            </w:r>
          </w:p>
        </w:tc>
        <w:tc>
          <w:tcPr>
            <w:tcW w:type="dxa" w:w="108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Sections 1.1 and 3.1 — one named decision, one named review window</w:t>
            </w:r>
          </w:p>
        </w:tc>
      </w:tr>
      <w:tr>
        <w:trPr>
          <w:cantSplit/>
        </w:trPr>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AI role is clear</w:t>
            </w:r>
          </w:p>
        </w:tc>
        <w:tc>
          <w:tcPr>
            <w:tcW w:type="dxa" w:w="108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Sections 1.4, 3.3 and 5.1 — AI reads, classifies and drafts; it never computes, approves or sends</w:t>
            </w:r>
          </w:p>
        </w:tc>
      </w:tr>
      <w:tr>
        <w:trPr>
          <w:cantSplit/>
        </w:trPr>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product strategy is defensible</w:t>
            </w:r>
          </w:p>
        </w:tc>
        <w:tc>
          <w:tcPr>
            <w:tcW w:type="dxa" w:w="108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2 — layered build/buy/API decision with stated trade-offs</w:t>
            </w:r>
          </w:p>
        </w:tc>
      </w:tr>
      <w:tr>
        <w:trPr>
          <w:cantSplit/>
        </w:trPr>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PM artifacts are complete</w:t>
            </w:r>
          </w:p>
        </w:tc>
        <w:tc>
          <w:tcPr>
            <w:tcW w:type="dxa" w:w="108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3 — problem, vision, PRD-lite, prioritisation, MVP, roadmap, metrics</w:t>
            </w:r>
          </w:p>
        </w:tc>
      </w:tr>
      <w:tr>
        <w:trPr>
          <w:cantSplit/>
        </w:trPr>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UX handles uncertainty</w:t>
            </w:r>
          </w:p>
        </w:tc>
        <w:tc>
          <w:tcPr>
            <w:tcW w:type="dxa" w:w="108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4.5 — four confidence bands with distinct system behaviour</w:t>
            </w:r>
          </w:p>
        </w:tc>
      </w:tr>
      <w:tr>
        <w:trPr>
          <w:cantSplit/>
        </w:trPr>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evaluation logic is meaningful</w:t>
            </w:r>
          </w:p>
        </w:tc>
        <w:tc>
          <w:tcPr>
            <w:tcW w:type="dxa" w:w="108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Sections 5.3 to 5.7 — real ground truth, two baselines, thresholds set in advance</w:t>
            </w:r>
          </w:p>
        </w:tc>
      </w:tr>
      <w:tr>
        <w:trPr>
          <w:cantSplit/>
        </w:trPr>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business and scaling note is realistic</w:t>
            </w:r>
          </w:p>
        </w:tc>
        <w:tc>
          <w:tcPr>
            <w:tcW w:type="dxa" w:w="108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6 — unit-economics test, cost drivers, scaling risks, key-person risk named</w:t>
            </w:r>
          </w:p>
        </w:tc>
      </w:tr>
      <w:tr>
        <w:trPr>
          <w:cantSplit/>
        </w:trPr>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ethics and risk note is specific</w:t>
            </w:r>
          </w:p>
        </w:tc>
        <w:tc>
          <w:tcPr>
            <w:tcW w:type="dxa" w:w="108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7 — nine risks, named harm scenarios, control-to-risk mapping, absolute blockers</w:t>
            </w:r>
          </w:p>
        </w:tc>
      </w:tr>
      <w:tr>
        <w:trPr>
          <w:cantSplit/>
        </w:trPr>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prototype shows the core value</w:t>
            </w:r>
          </w:p>
        </w:tc>
        <w:tc>
          <w:tcPr>
            <w:tcW w:type="dxa" w:w="108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8 — production system plus pilot wedge, with limits stated in 8.4</w:t>
            </w:r>
          </w:p>
        </w:tc>
      </w:tr>
      <w:tr>
        <w:trPr>
          <w:cantSplit/>
        </w:trPr>
        <w:tc>
          <w:tcPr>
            <w:tcW w:type="dxa" w:w="3249"/>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AI collaboration log is honest</w:t>
            </w:r>
          </w:p>
        </w:tc>
        <w:tc>
          <w:tcPr>
            <w:tcW w:type="dxa" w:w="1083"/>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6F8FB"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11 — includes where AI was wrong and what was deleted</w:t>
            </w:r>
          </w:p>
        </w:tc>
      </w:tr>
      <w:tr>
        <w:trPr>
          <w:cantSplit/>
        </w:trPr>
        <w:tc>
          <w:tcPr>
            <w:tcW w:type="dxa" w:w="3249"/>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The recommendation is clear</w:t>
            </w:r>
          </w:p>
        </w:tc>
        <w:tc>
          <w:tcPr>
            <w:tcW w:type="dxa" w:w="1083"/>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Met</w:t>
            </w:r>
          </w:p>
        </w:tc>
        <w:tc>
          <w:tcPr>
            <w:tcW w:type="dxa" w:w="4694"/>
            <w:shd w:fill="FFFFFF" w:val="clear"/>
            <w:tcMar>
              <w:top w:type="dxa" w:w="80"/>
              <w:left w:type="dxa" w:w="110"/>
              <w:bottom w:type="dxa" w:w="80"/>
              <w:right w:type="dxa" w:w="110"/>
            </w:tcMar>
          </w:tcPr>
          <w:p>
            <w:pPr>
              <w:spacing w:after="0" w:line="276"/>
              <w:jc w:val="left"/>
            </w:pPr>
            <w:r>
              <w:rPr>
                <w:rFonts w:ascii="Calibri" w:cs="Calibri" w:eastAsia="Calibri" w:hAnsi="Calibri"/>
                <w:color w:val="1F2A44"/>
                <w:sz w:val="19"/>
                <w:szCs w:val="19"/>
              </w:rPr>
              <w:t xml:space="preserve">Section 1.5 — pilot, with the conditions for scaling stated</w:t>
            </w:r>
          </w:p>
        </w:tc>
      </w:tr>
    </w:tbl>
    <w:p>
      <w:pPr>
        <w:spacing w:after="300"/>
      </w:pPr>
    </w:p>
    <w:p>
      <w:pPr>
        <w:spacing w:after="140" w:before="0" w:line="276"/>
        <w:jc w:val="center"/>
      </w:pPr>
      <w:r>
        <w:rPr>
          <w:rFonts w:ascii="Calibri" w:cs="Calibri" w:eastAsia="Calibri" w:hAnsi="Calibri"/>
          <w:i/>
          <w:iCs/>
          <w:color w:val="5A6B85"/>
          <w:sz w:val="22"/>
          <w:szCs w:val="22"/>
        </w:rPr>
        <w:t xml:space="preserve">End of document.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A6B85"/>
        <w:sz w:val="16"/>
        <w:szCs w:val="16"/>
      </w:rPr>
      <w:t xml:space="preserve">Page </w:t>
    </w:r>
    <w:r>
      <w:rPr>
        <w:rFonts w:ascii="Calibri" w:cs="Calibri" w:eastAsia="Calibri" w:hAnsi="Calibri"/>
        <w:color w:val="5A6B85"/>
        <w:sz w:val="16"/>
        <w:szCs w:val="16"/>
      </w:rPr>
      <w:fldChar w:fldCharType="begin"/>
      <w:instrText xml:space="preserve">PAGE</w:instrText>
      <w:fldChar w:fldCharType="separate"/>
      <w:fldChar w:fldCharType="end"/>
    </w:r>
    <w:r>
      <w:rPr>
        <w:rFonts w:ascii="Calibri" w:cs="Calibri" w:eastAsia="Calibri" w:hAnsi="Calibri"/>
        <w:color w:val="5A6B85"/>
        <w:sz w:val="16"/>
        <w:szCs w:val="16"/>
      </w:rPr>
      <w:t xml:space="preserve"> of </w:t>
    </w:r>
    <w:r>
      <w:rPr>
        <w:rFonts w:ascii="Calibri" w:cs="Calibri" w:eastAsia="Calibri" w:hAnsi="Calibri"/>
        <w:color w:val="5A6B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6" w:sz="6" w:space="4"/>
      </w:pBdr>
      <w:spacing w:after="0"/>
      <w:jc w:val="right"/>
    </w:pPr>
    <w:r>
      <w:rPr>
        <w:rFonts w:ascii="Calibri" w:cs="Calibri" w:eastAsia="Calibri" w:hAnsi="Calibri"/>
        <w:color w:val="5A6B85"/>
        <w:sz w:val="16"/>
        <w:szCs w:val="16"/>
      </w:rPr>
      <w:t xml:space="preserve">MBA ZG583 · Management of AI Products · UniConnect Operations 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pPr>
        <w:spacing w:after="14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276"/>
      <w:jc w:val="left"/>
      <w:outlineLvl w:val="0"/>
    </w:pPr>
    <w:rPr>
      <w:rFonts w:ascii="Calibri" w:cs="Calibri" w:eastAsia="Calibri" w:hAnsi="Calibri"/>
      <w:b/>
      <w:bCs/>
      <w:color w:val="17263F"/>
      <w:sz w:val="30"/>
      <w:szCs w:val="30"/>
    </w:rPr>
  </w:style>
  <w:style w:type="paragraph" w:styleId="Heading2">
    <w:name w:val="Heading 2"/>
    <w:basedOn w:val="Normal"/>
    <w:next w:val="Normal"/>
    <w:qFormat/>
    <w:pPr>
      <w:spacing w:after="120" w:before="280" w:line="276"/>
      <w:jc w:val="left"/>
      <w:outlineLvl w:val="1"/>
    </w:pPr>
    <w:rPr>
      <w:rFonts w:ascii="Calibri" w:cs="Calibri" w:eastAsia="Calibri" w:hAnsi="Calibri"/>
      <w:b/>
      <w:bCs/>
      <w:color w:val="0E7C86"/>
      <w:sz w:val="25"/>
      <w:szCs w:val="25"/>
    </w:rPr>
  </w:style>
  <w:style w:type="paragraph" w:styleId="Heading3">
    <w:name w:val="Heading 3"/>
    <w:basedOn w:val="Normal"/>
    <w:next w:val="Normal"/>
    <w:qFormat/>
    <w:pPr>
      <w:spacing w:after="100" w:before="220" w:line="276"/>
      <w:jc w:val="left"/>
      <w:outlineLvl w:val="2"/>
    </w:pPr>
    <w:rPr>
      <w:rFonts w:ascii="Calibri" w:cs="Calibri" w:eastAsia="Calibri" w:hAnsi="Calibri"/>
      <w:b/>
      <w:bCs/>
      <w:color w:val="1726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UniConnect Operations OS — MBA ZG583 Capstone</dc:title>
  <dc:creator>Manoj Kumar Panchothi</dc:creator>
  <dc:description>Management of AI Products capstone submission</dc:description>
  <cp:lastModifiedBy>Un-named</cp:lastModifiedBy>
  <cp:revision>1</cp:revision>
  <dcterms:created xsi:type="dcterms:W3CDTF">2026-09-12T13:42:11.856Z</dcterms:created>
  <dcterms:modified xsi:type="dcterms:W3CDTF">2026-09-12T13:42:11.867Z</dcterms:modified>
</cp:coreProperties>
</file>

<file path=docProps/custom.xml><?xml version="1.0" encoding="utf-8"?>
<Properties xmlns="http://schemas.openxmlformats.org/officeDocument/2006/custom-properties" xmlns:vt="http://schemas.openxmlformats.org/officeDocument/2006/docPropsVTypes"/>
</file>