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rPr>
          <w:rFonts w:ascii="Calibri" w:cs="Calibri" w:eastAsia="Calibri" w:hAnsi="Calibri"/>
          <w:b/>
          <w:bCs/>
          <w:sz w:val="28"/>
          <w:szCs w:val="28"/>
        </w:rPr>
        <w:t xml:space="preserve">Topic Approval Form for Management of AI Products</w:t>
      </w:r>
    </w:p>
    <w:p>
      <w:pPr>
        <w:spacing w:after="90"/>
      </w:pPr>
      <w:r>
        <w:rPr>
          <w:rFonts w:ascii="Calibri" w:cs="Calibri" w:eastAsia="Calibri" w:hAnsi="Calibri"/>
          <w:sz w:val="22"/>
          <w:szCs w:val="22"/>
        </w:rPr>
        <w:t xml:space="preserve">Name: Dhanunjaya Gunde</w:t>
      </w:r>
    </w:p>
    <w:p>
      <w:pPr>
        <w:spacing w:after="90"/>
      </w:pPr>
      <w:r>
        <w:rPr>
          <w:rFonts w:ascii="Calibri" w:cs="Calibri" w:eastAsia="Calibri" w:hAnsi="Calibri"/>
          <w:sz w:val="22"/>
          <w:szCs w:val="22"/>
        </w:rPr>
        <w:t xml:space="preserve">Student ID: 2025MB26021</w:t>
      </w:r>
    </w:p>
    <w:p>
      <w:pPr>
        <w:spacing w:after="60" w:before="160"/>
      </w:pPr>
      <w:r>
        <w:rPr>
          <w:rFonts w:ascii="Calibri" w:cs="Calibri" w:eastAsia="Calibri" w:hAnsi="Calibri"/>
          <w:b/>
          <w:bCs/>
          <w:sz w:val="24"/>
          <w:szCs w:val="24"/>
        </w:rPr>
        <w:t xml:space="preserve">1. Team Name</w:t>
      </w:r>
    </w:p>
    <w:p>
      <w:pPr>
        <w:spacing w:after="90"/>
      </w:pPr>
      <w:r>
        <w:rPr>
          <w:rFonts w:ascii="Calibri" w:cs="Calibri" w:eastAsia="Calibri" w:hAnsi="Calibri"/>
          <w:sz w:val="22"/>
          <w:szCs w:val="22"/>
        </w:rPr>
        <w:t xml:space="preserve">Team006</w:t>
      </w:r>
    </w:p>
    <w:p>
      <w:pPr>
        <w:spacing w:after="60" w:before="160"/>
      </w:pPr>
      <w:r>
        <w:rPr>
          <w:rFonts w:ascii="Calibri" w:cs="Calibri" w:eastAsia="Calibri" w:hAnsi="Calibri"/>
          <w:b/>
          <w:bCs/>
          <w:sz w:val="24"/>
          <w:szCs w:val="24"/>
        </w:rPr>
        <w:t xml:space="preserve">2. Team Members</w:t>
      </w:r>
    </w:p>
    <w:p>
      <w:pPr>
        <w:spacing w:after="90"/>
      </w:pPr>
      <w:r>
        <w:rPr>
          <w:rFonts w:ascii="Calibri" w:cs="Calibri" w:eastAsia="Calibri" w:hAnsi="Calibri"/>
          <w:sz w:val="22"/>
          <w:szCs w:val="22"/>
        </w:rPr>
        <w:t xml:space="preserve">Individual</w:t>
      </w:r>
    </w:p>
    <w:p>
      <w:pPr>
        <w:spacing w:after="60" w:before="160"/>
      </w:pPr>
      <w:r>
        <w:rPr>
          <w:rFonts w:ascii="Calibri" w:cs="Calibri" w:eastAsia="Calibri" w:hAnsi="Calibri"/>
          <w:b/>
          <w:bCs/>
          <w:sz w:val="24"/>
          <w:szCs w:val="24"/>
        </w:rPr>
        <w:t xml:space="preserve">3. Working Title</w:t>
      </w:r>
    </w:p>
    <w:p>
      <w:pPr>
        <w:spacing w:after="90"/>
      </w:pPr>
      <w:r>
        <w:rPr>
          <w:rFonts w:ascii="Calibri" w:cs="Calibri" w:eastAsia="Calibri" w:hAnsi="Calibri"/>
          <w:sz w:val="22"/>
          <w:szCs w:val="22"/>
        </w:rPr>
        <w:t xml:space="preserve">Governed Document Generation Utility for Sales Workflows</w:t>
      </w:r>
    </w:p>
    <w:p>
      <w:pPr>
        <w:spacing w:after="60" w:before="160"/>
      </w:pPr>
      <w:r>
        <w:rPr>
          <w:rFonts w:ascii="Calibri" w:cs="Calibri" w:eastAsia="Calibri" w:hAnsi="Calibri"/>
          <w:b/>
          <w:bCs/>
          <w:sz w:val="24"/>
          <w:szCs w:val="24"/>
        </w:rPr>
        <w:t xml:space="preserve">4. Industry / Function</w:t>
      </w:r>
    </w:p>
    <w:p>
      <w:pPr>
        <w:spacing w:after="90"/>
      </w:pPr>
      <w:r>
        <w:rPr>
          <w:rFonts w:ascii="Calibri" w:cs="Calibri" w:eastAsia="Calibri" w:hAnsi="Calibri"/>
          <w:sz w:val="22"/>
          <w:szCs w:val="22"/>
        </w:rPr>
        <w:t xml:space="preserve">Enterprise B2B Software — Sales Operations.</w:t>
      </w:r>
    </w:p>
    <w:p>
      <w:pPr>
        <w:spacing w:after="60" w:before="160"/>
      </w:pPr>
      <w:r>
        <w:rPr>
          <w:rFonts w:ascii="Calibri" w:cs="Calibri" w:eastAsia="Calibri" w:hAnsi="Calibri"/>
          <w:b/>
          <w:bCs/>
          <w:sz w:val="24"/>
          <w:szCs w:val="24"/>
        </w:rPr>
        <w:t xml:space="preserve">5. Target User</w:t>
      </w:r>
    </w:p>
    <w:p>
      <w:pPr>
        <w:spacing w:after="90"/>
      </w:pPr>
      <w:r>
        <w:rPr>
          <w:rFonts w:ascii="Calibri" w:cs="Calibri" w:eastAsia="Calibri" w:hAnsi="Calibri"/>
          <w:sz w:val="22"/>
          <w:szCs w:val="22"/>
        </w:rPr>
        <w:t xml:space="preserve">Sales representatives who prepare customer-facing documents, deal desk and legal reviewers who approve them, and platform administrators who would configure the utility for a new document type.</w:t>
      </w:r>
    </w:p>
    <w:p>
      <w:pPr>
        <w:spacing w:after="60" w:before="160"/>
      </w:pPr>
      <w:r>
        <w:rPr>
          <w:rFonts w:ascii="Calibri" w:cs="Calibri" w:eastAsia="Calibri" w:hAnsi="Calibri"/>
          <w:b/>
          <w:bCs/>
          <w:sz w:val="24"/>
          <w:szCs w:val="24"/>
        </w:rPr>
        <w:t xml:space="preserve">6. Current Workflow Problem</w:t>
      </w:r>
    </w:p>
    <w:p>
      <w:pPr>
        <w:spacing w:after="90"/>
      </w:pPr>
      <w:r>
        <w:rPr>
          <w:rFonts w:ascii="Calibri" w:cs="Calibri" w:eastAsia="Calibri" w:hAnsi="Calibri"/>
          <w:sz w:val="22"/>
          <w:szCs w:val="22"/>
        </w:rPr>
        <w:t xml:space="preserve">A sales rep preparing a proposal has to pull everything together by hand, the opportunity record, email threads, meeting notes, the approved content library, pricing policy, and whatever research they can find. Nothing links these sources, so they re-read the deal history, hunt for the case study that fits this buyer, retype pricing, and format the document from an old template. It takes roughly 4 to 8 hours spread over several days, the quality depends on who is doing it, and commitments sometimes reach the customer that were never approved internally.</w:t>
      </w:r>
    </w:p>
    <w:p>
      <w:pPr>
        <w:spacing w:after="90"/>
      </w:pPr>
      <w:r>
        <w:rPr>
          <w:rFonts w:ascii="Calibri" w:cs="Calibri" w:eastAsia="Calibri" w:hAnsi="Calibri"/>
          <w:sz w:val="22"/>
          <w:szCs w:val="22"/>
        </w:rPr>
        <w:t xml:space="preserve">The same pattern repeats for statements of work, deal desk approval memos, RFP responses, QBRs and renewals. Each one is being solved separately today, so we are heading towards building the same machinery over and over with different governance each time.</w:t>
      </w:r>
    </w:p>
    <w:p>
      <w:pPr>
        <w:spacing w:after="60" w:before="160"/>
      </w:pPr>
      <w:r>
        <w:rPr>
          <w:rFonts w:ascii="Calibri" w:cs="Calibri" w:eastAsia="Calibri" w:hAnsi="Calibri"/>
          <w:b/>
          <w:bCs/>
          <w:sz w:val="24"/>
          <w:szCs w:val="24"/>
        </w:rPr>
        <w:t xml:space="preserve">7. Why This Matters</w:t>
      </w:r>
    </w:p>
    <w:p>
      <w:pPr>
        <w:spacing w:after="90"/>
      </w:pPr>
      <w:r>
        <w:rPr>
          <w:rFonts w:ascii="Calibri" w:cs="Calibri" w:eastAsia="Calibri" w:hAnsi="Calibri"/>
          <w:sz w:val="22"/>
          <w:szCs w:val="22"/>
        </w:rPr>
        <w:t xml:space="preserve">Every day a proposal is not with the buyer is a day the deal does not move, and slow turnaround is visible to the customer during an evaluation. Inconsistent documents also mean inconsistent win rates across the team.</w:t>
      </w:r>
    </w:p>
    <w:p>
      <w:pPr>
        <w:spacing w:after="90"/>
      </w:pPr>
      <w:r>
        <w:rPr>
          <w:rFonts w:ascii="Calibri" w:cs="Calibri" w:eastAsia="Calibri" w:hAnsi="Calibri"/>
          <w:sz w:val="22"/>
          <w:szCs w:val="22"/>
        </w:rPr>
        <w:t xml:space="preserve">The bigger issue is governance. An unapproved discount or an unsupportable claim in a customer-facing document is a commitment to the buyer, not a formatting mistake. Solving this once as a shared, governed service is worth more than solving it for proposals alone.</w:t>
      </w:r>
    </w:p>
    <w:p>
      <w:pPr>
        <w:spacing w:after="60" w:before="160"/>
      </w:pPr>
      <w:r>
        <w:rPr>
          <w:rFonts w:ascii="Calibri" w:cs="Calibri" w:eastAsia="Calibri" w:hAnsi="Calibri"/>
          <w:b/>
          <w:bCs/>
          <w:sz w:val="24"/>
          <w:szCs w:val="24"/>
        </w:rPr>
        <w:t xml:space="preserve">8. Proposed AI Role</w:t>
      </w:r>
    </w:p>
    <w:p>
      <w:pPr>
        <w:spacing w:after="90"/>
      </w:pPr>
      <w:r>
        <w:rPr>
          <w:rFonts w:ascii="Calibri" w:cs="Calibri" w:eastAsia="Calibri" w:hAnsi="Calibri"/>
          <w:sz w:val="22"/>
          <w:szCs w:val="22"/>
        </w:rPr>
        <w:t xml:space="preserve">An agentic workflow rather than a single model call. It retrieves the approved content that fits this deal, classifies whether the record is complete enough to draft and names the gaps, summarises buyer priorities from unstructured notes and emails, generates the document into a controlled template with unfilled gaps left as visible placeholders, and checks the result against pricing and commitment policy before routing it for approval.</w:t>
      </w:r>
    </w:p>
    <w:p>
      <w:pPr>
        <w:spacing w:after="90"/>
      </w:pPr>
      <w:r>
        <w:rPr>
          <w:rFonts w:ascii="Calibri" w:cs="Calibri" w:eastAsia="Calibri" w:hAnsi="Calibri"/>
          <w:sz w:val="22"/>
          <w:szCs w:val="22"/>
        </w:rPr>
        <w:t xml:space="preserve">The reusable part is that an adopting application supplies its own record binding, content sources, template, policy rules and approval routing through configuration, while the workflow, gap engine, citations, review gates and audit log stay shared.</w:t>
      </w:r>
    </w:p>
    <w:p>
      <w:pPr>
        <w:spacing w:after="60" w:before="160"/>
      </w:pPr>
      <w:r>
        <w:rPr>
          <w:rFonts w:ascii="Calibri" w:cs="Calibri" w:eastAsia="Calibri" w:hAnsi="Calibri"/>
          <w:b/>
          <w:bCs/>
          <w:sz w:val="24"/>
          <w:szCs w:val="24"/>
        </w:rPr>
        <w:t xml:space="preserve">9. Why AI Instead of a Simpler Alternative</w:t>
      </w:r>
    </w:p>
    <w:p>
      <w:pPr>
        <w:spacing w:after="90"/>
      </w:pPr>
      <w:r>
        <w:rPr>
          <w:rFonts w:ascii="Calibri" w:cs="Calibri" w:eastAsia="Calibri" w:hAnsi="Calibri"/>
          <w:sz w:val="22"/>
          <w:szCs w:val="22"/>
        </w:rPr>
        <w:t xml:space="preserve">Templates and CPQ tools already exist and they handle document structure well, but they do not solve the part that actually takes time. The inputs that matter are unstructured — buyer priorities sit in call notes and emails, not in fields, so no rule engine can read them. Choosing which of several hundred case studies or clauses fits this industry and deal size is a ranking problem over a library that changes constantly. And judging whether a record is complete enough to draft from is not the same as checking whether required fields are filled.</w:t>
      </w:r>
    </w:p>
    <w:p>
      <w:pPr>
        <w:spacing w:after="90"/>
      </w:pPr>
      <w:r>
        <w:rPr>
          <w:rFonts w:ascii="Calibri" w:cs="Calibri" w:eastAsia="Calibri" w:hAnsi="Calibri"/>
          <w:sz w:val="22"/>
          <w:szCs w:val="22"/>
        </w:rPr>
        <w:t xml:space="preserve">Where a simple rule is enough — discount limits, mandatory clauses, approval thresholds — I am deliberately using a rule instead of a model, because those checks have to be auditable and must not vary between runs.</w:t>
      </w:r>
    </w:p>
    <w:p>
      <w:pPr>
        <w:spacing w:after="60" w:before="160"/>
      </w:pPr>
      <w:r>
        <w:rPr>
          <w:rFonts w:ascii="Calibri" w:cs="Calibri" w:eastAsia="Calibri" w:hAnsi="Calibri"/>
          <w:b/>
          <w:bCs/>
          <w:sz w:val="24"/>
          <w:szCs w:val="24"/>
        </w:rPr>
        <w:t xml:space="preserve">10. Human-in-the-Loop Design</w:t>
      </w:r>
    </w:p>
    <w:p>
      <w:pPr>
        <w:spacing w:after="90"/>
      </w:pPr>
      <w:r>
        <w:rPr>
          <w:rFonts w:ascii="Calibri" w:cs="Calibri" w:eastAsia="Calibri" w:hAnsi="Calibri"/>
          <w:sz w:val="22"/>
          <w:szCs w:val="22"/>
        </w:rPr>
        <w:t xml:space="preserve">The agent shows its assessment of the opportunity along with a list of data gaps and asks the rep to confirm before it drafts anything. Any supplementary research is shown separately and clearly labelled so the rep can accept, correct or discard it before it enters a customer-facing document. Gaps that are still unresolved go into the draft as visible placeholders rather than invented text. Anything that breaks pricing or commitment policy routes to the deal desk or legal reviewer rather than back to the rep, who has an incentive to close.</w:t>
      </w:r>
    </w:p>
    <w:p>
      <w:pPr>
        <w:spacing w:after="90"/>
      </w:pPr>
      <w:r>
        <w:rPr>
          <w:rFonts w:ascii="Calibri" w:cs="Calibri" w:eastAsia="Calibri" w:hAnsi="Calibri"/>
          <w:sz w:val="22"/>
          <w:szCs w:val="22"/>
        </w:rPr>
        <w:t xml:space="preserve">The obvious failure mode is reps approving without reading, which would make all of these gates decorative, so review time and edit distance need to be tracked as trust signals and not just productivity ones.</w:t>
      </w:r>
    </w:p>
    <w:p>
      <w:pPr>
        <w:spacing w:after="60" w:before="160"/>
      </w:pPr>
      <w:r>
        <w:rPr>
          <w:rFonts w:ascii="Calibri" w:cs="Calibri" w:eastAsia="Calibri" w:hAnsi="Calibri"/>
          <w:b/>
          <w:bCs/>
          <w:sz w:val="24"/>
          <w:szCs w:val="24"/>
        </w:rPr>
        <w:t xml:space="preserve">11. Smallest Credible MVP</w:t>
      </w:r>
    </w:p>
    <w:p>
      <w:pPr>
        <w:spacing w:after="90"/>
      </w:pPr>
      <w:r>
        <w:rPr>
          <w:rFonts w:ascii="Calibri" w:cs="Calibri" w:eastAsia="Calibri" w:hAnsi="Calibri"/>
          <w:sz w:val="22"/>
          <w:szCs w:val="22"/>
        </w:rPr>
        <w:t xml:space="preserve">I will build one flow only: sales proposals for one product line and one region’s pricing policy. This proves the rep experience — gap detection, drafting with sources cited, policy flagging, staged review and attaching the result to the opportunity. The prototype will be a mocked web demo with sample records and a small JSON content library. Real integration and production-scale retrieval are out of scope.</w:t>
      </w:r>
    </w:p>
    <w:p>
      <w:pPr>
        <w:spacing w:after="90"/>
      </w:pPr>
      <w:r>
        <w:rPr>
          <w:rFonts w:ascii="Calibri" w:cs="Calibri" w:eastAsia="Calibri" w:hAnsi="Calibri"/>
          <w:sz w:val="22"/>
          <w:szCs w:val="22"/>
        </w:rPr>
        <w:t xml:space="preserve">Alongside it I will specify a second document type on paper, a deal desk discount approval memo, as a configuration only, and analyse what it would require. It is a useful test because it stresses a different part of the design than proposals do: a different approver, a different definition of complete, and a document whose job is to enforce a rule rather than persuade a buyer. If it cannot be expressed as configuration against the same pipeline, the reusable design is wrong, and that is worth finding out on paper before anyone builds it.</w:t>
      </w:r>
    </w:p>
    <w:p>
      <w:pPr>
        <w:spacing w:after="60" w:before="160"/>
      </w:pPr>
      <w:r>
        <w:rPr>
          <w:rFonts w:ascii="Calibri" w:cs="Calibri" w:eastAsia="Calibri" w:hAnsi="Calibri"/>
          <w:b/>
          <w:bCs/>
          <w:sz w:val="24"/>
          <w:szCs w:val="24"/>
        </w:rPr>
        <w:t xml:space="preserve">12. Build vs Buy vs API View</w:t>
      </w:r>
    </w:p>
    <w:p>
      <w:pPr>
        <w:spacing w:after="90"/>
      </w:pPr>
      <w:r>
        <w:rPr>
          <w:rFonts w:ascii="Calibri" w:cs="Calibri" w:eastAsia="Calibri" w:hAnsi="Calibri"/>
          <w:sz w:val="22"/>
          <w:szCs w:val="22"/>
        </w:rPr>
        <w:t xml:space="preserve">Buy the commodity, build what is ours. Retrieval, embedding and generation are commodity capabilities, so the models are consumed API-first; training a custom model would eat the budget without changing the outcome, because the failure modes here are governance failures rather than language quality failures.</w:t>
      </w:r>
    </w:p>
    <w:p>
      <w:pPr>
        <w:spacing w:after="90"/>
      </w:pPr>
      <w:r>
        <w:rPr>
          <w:rFonts w:ascii="Calibri" w:cs="Calibri" w:eastAsia="Calibri" w:hAnsi="Calibri"/>
          <w:sz w:val="22"/>
          <w:szCs w:val="22"/>
        </w:rPr>
        <w:t xml:space="preserve">The layer worth building is the governance one — the workflow, gap engine, policy checks, approval routing, audit trail and configuration contract. This has to be built because it binds to our own opportunity records, content library, pricing thresholds and approval chain. No vendor can know that a 15 percent discount goes to deal desk and 20 percent goes to the CFO. That is organisational knowledge, not a product feature, and it does not ship in a box. This argument stands on its own regardless of how the reuse question turns out.</w:t>
      </w:r>
    </w:p>
    <w:p>
      <w:pPr>
        <w:spacing w:after="90"/>
      </w:pPr>
      <w:r>
        <w:rPr>
          <w:rFonts w:ascii="Calibri" w:cs="Calibri" w:eastAsia="Calibri" w:hAnsi="Calibri"/>
          <w:sz w:val="22"/>
          <w:szCs w:val="22"/>
        </w:rPr>
        <w:t xml:space="preserve">Reusability strengthens the case rather than creating it. If the pipeline generalises across document types, the build cost is spread across proposals, memos, SOWs and renewals instead of being carried by proposals alone. That is a hypothesis this project tests, not an assumption I am starting from. It also makes the argument against buying more concrete, a document automation or CLM product would solve proposals and leave us back in the market for the next document type, each with its own governance model and audit trail, which is exactly the duplication this project exists to remove.</w:t>
      </w:r>
    </w:p>
    <w:p>
      <w:pPr>
        <w:spacing w:after="60" w:before="160"/>
      </w:pPr>
      <w:r>
        <w:rPr>
          <w:rFonts w:ascii="Calibri" w:cs="Calibri" w:eastAsia="Calibri" w:hAnsi="Calibri"/>
          <w:b/>
          <w:bCs/>
          <w:sz w:val="24"/>
          <w:szCs w:val="24"/>
        </w:rPr>
        <w:t xml:space="preserve">13. Main Risks</w:t>
      </w:r>
    </w:p>
    <w:p>
      <w:pPr>
        <w:spacing w:after="90"/>
      </w:pPr>
      <w:r>
        <w:rPr>
          <w:rFonts w:ascii="Calibri" w:cs="Calibri" w:eastAsia="Calibri" w:hAnsi="Calibri"/>
          <w:sz w:val="22"/>
          <w:szCs w:val="22"/>
        </w:rPr>
        <w:t xml:space="preserve">- Risk 1: Ungrounded claims reaching customer-facing documents. Researched material merged into a proposal becomes a commitment to the buyer, and labelling it helps but a reviewer under time pressure may still let it through. This is the main launch blocker.</w:t>
      </w:r>
    </w:p>
    <w:p>
      <w:pPr>
        <w:spacing w:after="90"/>
      </w:pPr>
      <w:r>
        <w:rPr>
          <w:rFonts w:ascii="Calibri" w:cs="Calibri" w:eastAsia="Calibri" w:hAnsi="Calibri"/>
          <w:sz w:val="22"/>
          <w:szCs w:val="22"/>
        </w:rPr>
        <w:t xml:space="preserve">- Risk 2: Designing the reusable layer from a single example. A configuration contract built around proposals will probably carry proposal-specific assumptions, and if every new document type needs custom engineering then the onboarding cost eats the savings.</w:t>
      </w:r>
    </w:p>
    <w:p>
      <w:pPr>
        <w:spacing w:after="90"/>
      </w:pPr>
      <w:r>
        <w:rPr>
          <w:rFonts w:ascii="Calibri" w:cs="Calibri" w:eastAsia="Calibri" w:hAnsi="Calibri"/>
          <w:sz w:val="22"/>
          <w:szCs w:val="22"/>
        </w:rPr>
        <w:t xml:space="preserve">- Risk 3: Reps rubber-stamping drafts without genuine review, which would make every human gate in the design meaningless.</w:t>
      </w:r>
    </w:p>
    <w:p>
      <w:pPr>
        <w:spacing w:after="60" w:before="160"/>
      </w:pPr>
      <w:r>
        <w:rPr>
          <w:rFonts w:ascii="Calibri" w:cs="Calibri" w:eastAsia="Calibri" w:hAnsi="Calibri"/>
          <w:b/>
          <w:bCs/>
          <w:sz w:val="24"/>
          <w:szCs w:val="24"/>
        </w:rPr>
        <w:t xml:space="preserve">14. Success Evidence</w:t>
      </w:r>
    </w:p>
    <w:p>
      <w:pPr>
        <w:spacing w:after="90"/>
      </w:pPr>
      <w:r>
        <w:rPr>
          <w:rFonts w:ascii="Calibri" w:cs="Calibri" w:eastAsia="Calibri" w:hAnsi="Calibri"/>
          <w:sz w:val="22"/>
          <w:szCs w:val="22"/>
        </w:rPr>
        <w:t xml:space="preserve">On the rep side, time to a usable draft dropping from the assumed 4 to 8 hours to under an hour, with only light editing between the generated draft and what actually gets sent. On the trust side, the agent catching most of the real data gaps, almost no claims that cannot be traced back to an approved source, and policy violations being caught before they reach a customer. On the reuse side, the second document type turning out to be fully expressible as configuration against the same pipeline, that is the single most useful signal in the whole project.</w:t>
      </w:r>
    </w:p>
    <w:p>
      <w:pPr>
        <w:spacing w:after="90"/>
      </w:pPr>
      <w:r>
        <w:rPr>
          <w:rFonts w:ascii="Calibri" w:cs="Calibri" w:eastAsia="Calibri" w:hAnsi="Calibri"/>
          <w:sz w:val="22"/>
          <w:szCs w:val="22"/>
        </w:rPr>
        <w:t xml:space="preserve">The negative signal is worth stating in advance too: if the second document type cannot be expressed as configuration and would need substantial custom engineering, then my recommendation changes to keeping this as a Sales Automation feature and not funding it as a shared service.</w:t>
      </w:r>
    </w:p>
    <w:p>
      <w:pPr>
        <w:spacing w:after="60" w:before="160"/>
      </w:pPr>
      <w:r>
        <w:rPr>
          <w:rFonts w:ascii="Calibri" w:cs="Calibri" w:eastAsia="Calibri" w:hAnsi="Calibri"/>
          <w:b/>
          <w:bCs/>
          <w:sz w:val="24"/>
          <w:szCs w:val="24"/>
        </w:rPr>
        <w:t xml:space="preserve">15. Team Recommendation</w:t>
      </w:r>
    </w:p>
    <w:p>
      <w:pPr>
        <w:spacing w:after="90"/>
      </w:pPr>
      <w:r>
        <w:rPr>
          <w:rFonts w:ascii="Calibri" w:cs="Calibri" w:eastAsia="Calibri" w:hAnsi="Calibri"/>
          <w:sz w:val="22"/>
          <w:szCs w:val="22"/>
        </w:rPr>
        <w:t xml:space="preserve">Proceed, with the scope kept narrow.</w:t>
      </w:r>
    </w:p>
    <w:p>
      <w:pPr>
        <w:spacing w:after="90"/>
      </w:pPr>
      <w:r>
        <w:rPr>
          <w:rFonts w:ascii="Calibri" w:cs="Calibri" w:eastAsia="Calibri" w:hAnsi="Calibri"/>
          <w:sz w:val="22"/>
          <w:szCs w:val="22"/>
        </w:rPr>
        <w:t xml:space="preserve">The workflow is real, the friction repeats, the value can be measured and the risks are serious enough that the governance design actually matters. The capstone will be built around one open question — whether this should stay a Sales Automation feature or become a governed shared service, and what evidence would justify making that move.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2026-09-08T16:06:28.612Z</dcterms:created>
  <dcterms:modified xsi:type="dcterms:W3CDTF">2026-09-08T16:06:28.623Z</dcterms:modified>
</cp:coreProperties>
</file>

<file path=docProps/custom.xml><?xml version="1.0" encoding="utf-8"?>
<Properties xmlns="http://schemas.openxmlformats.org/officeDocument/2006/custom-properties" xmlns:vt="http://schemas.openxmlformats.org/officeDocument/2006/docPropsVTypes"/>
</file>