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79"/>
          <w:sz w:val="24"/>
        </w:rPr>
        <w:t>MBA ZG583 - Management of AI Products</w:t>
      </w:r>
    </w:p>
    <w:p>
      <w:pPr>
        <w:spacing w:after="40"/>
        <w:jc w:val="center"/>
      </w:pPr>
      <w:r>
        <w:rPr>
          <w:b/>
          <w:sz w:val="30"/>
        </w:rPr>
        <w:t>CAPSTONE TOPIC APPROVAL FORM</w:t>
      </w:r>
    </w:p>
    <w:p>
      <w:pPr>
        <w:spacing w:after="80"/>
        <w:jc w:val="center"/>
      </w:pPr>
      <w:r>
        <w:rPr>
          <w:b/>
          <w:color w:val="2E5339"/>
          <w:sz w:val="22"/>
        </w:rPr>
        <w:t>Team0022 | IdeaHub AI</w:t>
      </w:r>
    </w:p>
    <w:tbl>
      <w:tblPr>
        <w:tblW w:type="auto" w:w="0"/>
        <w:jc w:val="center"/>
        <w:tblLayout w:type="fixed"/>
        <w:tblLook w:firstColumn="1" w:firstRow="1" w:lastColumn="0" w:lastRow="0" w:noHBand="0" w:noVBand="1" w:val="04A0"/>
      </w:tblPr>
      <w:tblGrid>
        <w:gridCol w:w="2232"/>
        <w:gridCol w:w="8496"/>
      </w:tblGrid>
      <w:tr>
        <w:tc>
          <w:tcPr>
            <w:tcW w:type="dxa" w:w="2232"/>
            <w:vAlign w:val="top"/>
            <w:shd w:fill="D9EAF7"/>
            <w:tcMar>
              <w:top w:w="35" w:type="dxa"/>
              <w:left w:w="55" w:type="dxa"/>
              <w:bottom w:w="35" w:type="dxa"/>
              <w:right w:w="55" w:type="dxa"/>
            </w:tcMar>
          </w:tcPr>
          <w:p>
            <w:pPr>
              <w:spacing w:after="0"/>
            </w:pPr>
            <w:r>
              <w:rPr>
                <w:b/>
                <w:color w:val="1F4E79"/>
                <w:sz w:val="16"/>
              </w:rPr>
              <w:t>Team Members</w:t>
            </w:r>
          </w:p>
        </w:tc>
        <w:tc>
          <w:tcPr>
            <w:tcW w:type="dxa" w:w="8496"/>
            <w:vAlign w:val="top"/>
            <w:tcMar>
              <w:top w:w="35" w:type="dxa"/>
              <w:left w:w="55" w:type="dxa"/>
              <w:bottom w:w="35" w:type="dxa"/>
              <w:right w:w="55" w:type="dxa"/>
            </w:tcMar>
          </w:tcPr>
          <w:p>
            <w:pPr>
              <w:spacing w:after="0" w:line="228" w:lineRule="auto"/>
            </w:pPr>
            <w:r>
              <w:rPr>
                <w:sz w:val="16"/>
              </w:rPr>
              <w:t>Ravi Theja Kumar Pothulluru - 2025mb26050@wilp.bits-pilani.ac.in</w:t>
              <w:br/>
              <w:t>Prathamesh Sandeep Nigade - 2025mb26155@wilp.bits-pilani.ac.in</w:t>
            </w:r>
          </w:p>
        </w:tc>
      </w:tr>
      <w:tr>
        <w:tc>
          <w:tcPr>
            <w:tcW w:type="dxa" w:w="2232"/>
            <w:vAlign w:val="top"/>
            <w:shd w:fill="D9EAF7"/>
            <w:tcMar>
              <w:top w:w="35" w:type="dxa"/>
              <w:left w:w="55" w:type="dxa"/>
              <w:bottom w:w="35" w:type="dxa"/>
              <w:right w:w="55" w:type="dxa"/>
            </w:tcMar>
          </w:tcPr>
          <w:p>
            <w:pPr>
              <w:spacing w:after="0"/>
            </w:pPr>
            <w:r>
              <w:rPr>
                <w:b/>
                <w:color w:val="1F4E79"/>
                <w:sz w:val="16"/>
              </w:rPr>
              <w:t>Working Title</w:t>
            </w:r>
          </w:p>
        </w:tc>
        <w:tc>
          <w:tcPr>
            <w:tcW w:type="dxa" w:w="8496"/>
            <w:vAlign w:val="top"/>
            <w:tcMar>
              <w:top w:w="35" w:type="dxa"/>
              <w:left w:w="55" w:type="dxa"/>
              <w:bottom w:w="35" w:type="dxa"/>
              <w:right w:w="55" w:type="dxa"/>
            </w:tcMar>
          </w:tcPr>
          <w:p>
            <w:pPr>
              <w:spacing w:after="0" w:line="228" w:lineRule="auto"/>
            </w:pPr>
            <w:r>
              <w:rPr>
                <w:sz w:val="16"/>
              </w:rPr>
              <w:t>IdeaHub AI: An AI-Assisted Opportunity Qualification and Prioritization Copilot for Enterprise Transformation Teams</w:t>
            </w:r>
          </w:p>
        </w:tc>
      </w:tr>
      <w:tr>
        <w:tc>
          <w:tcPr>
            <w:tcW w:type="dxa" w:w="2232"/>
            <w:vAlign w:val="top"/>
            <w:shd w:fill="D9EAF7"/>
            <w:tcMar>
              <w:top w:w="35" w:type="dxa"/>
              <w:left w:w="55" w:type="dxa"/>
              <w:bottom w:w="35" w:type="dxa"/>
              <w:right w:w="55" w:type="dxa"/>
            </w:tcMar>
          </w:tcPr>
          <w:p>
            <w:pPr>
              <w:spacing w:after="0"/>
            </w:pPr>
            <w:r>
              <w:rPr>
                <w:b/>
                <w:color w:val="1F4E79"/>
                <w:sz w:val="16"/>
              </w:rPr>
              <w:t>Industry / Function</w:t>
            </w:r>
          </w:p>
        </w:tc>
        <w:tc>
          <w:tcPr>
            <w:tcW w:type="dxa" w:w="8496"/>
            <w:vAlign w:val="top"/>
            <w:tcMar>
              <w:top w:w="35" w:type="dxa"/>
              <w:left w:w="55" w:type="dxa"/>
              <w:bottom w:w="35" w:type="dxa"/>
              <w:right w:w="55" w:type="dxa"/>
            </w:tcMar>
          </w:tcPr>
          <w:p>
            <w:pPr>
              <w:spacing w:after="0" w:line="228" w:lineRule="auto"/>
            </w:pPr>
            <w:r>
              <w:rPr>
                <w:sz w:val="16"/>
              </w:rPr>
              <w:t>Enterprise Transformation / Intelligent Automation / AI and Automation Centre of Excellence / Business Operations</w:t>
            </w:r>
          </w:p>
        </w:tc>
      </w:tr>
      <w:tr>
        <w:tc>
          <w:tcPr>
            <w:tcW w:type="dxa" w:w="2232"/>
            <w:vAlign w:val="top"/>
            <w:shd w:fill="D9EAF7"/>
            <w:tcMar>
              <w:top w:w="35" w:type="dxa"/>
              <w:left w:w="55" w:type="dxa"/>
              <w:bottom w:w="35" w:type="dxa"/>
              <w:right w:w="55" w:type="dxa"/>
            </w:tcMar>
          </w:tcPr>
          <w:p>
            <w:pPr>
              <w:spacing w:after="0"/>
            </w:pPr>
            <w:r>
              <w:rPr>
                <w:b/>
                <w:color w:val="1F4E79"/>
                <w:sz w:val="16"/>
              </w:rPr>
              <w:t>Target User</w:t>
            </w:r>
          </w:p>
        </w:tc>
        <w:tc>
          <w:tcPr>
            <w:tcW w:type="dxa" w:w="8496"/>
            <w:vAlign w:val="top"/>
            <w:tcMar>
              <w:top w:w="35" w:type="dxa"/>
              <w:left w:w="55" w:type="dxa"/>
              <w:bottom w:w="35" w:type="dxa"/>
              <w:right w:w="55" w:type="dxa"/>
            </w:tcMar>
          </w:tcPr>
          <w:p>
            <w:pPr>
              <w:spacing w:after="0" w:line="228" w:lineRule="auto"/>
            </w:pPr>
            <w:r>
              <w:rPr>
                <w:sz w:val="16"/>
              </w:rPr>
              <w:t>Primary: Transformation leads, Automation or AI Centre of Excellence analysts, business analysts, and solution consultants who qualify and prioritize transformation ideas. Secondary: business idea submitters and governance or investment reviewers who approve the delivery backlog.</w:t>
            </w:r>
          </w:p>
        </w:tc>
      </w:tr>
      <w:tr>
        <w:tc>
          <w:tcPr>
            <w:tcW w:type="dxa" w:w="2232"/>
            <w:vAlign w:val="top"/>
            <w:shd w:fill="D9EAF7"/>
            <w:tcMar>
              <w:top w:w="35" w:type="dxa"/>
              <w:left w:w="55" w:type="dxa"/>
              <w:bottom w:w="35" w:type="dxa"/>
              <w:right w:w="55" w:type="dxa"/>
            </w:tcMar>
          </w:tcPr>
          <w:p>
            <w:pPr>
              <w:spacing w:after="0"/>
            </w:pPr>
            <w:r>
              <w:rPr>
                <w:b/>
                <w:color w:val="1F4E79"/>
                <w:sz w:val="16"/>
              </w:rPr>
              <w:t>Current Workflow Problem</w:t>
            </w:r>
          </w:p>
        </w:tc>
        <w:tc>
          <w:tcPr>
            <w:tcW w:type="dxa" w:w="8496"/>
            <w:vAlign w:val="top"/>
            <w:tcMar>
              <w:top w:w="35" w:type="dxa"/>
              <w:left w:w="55" w:type="dxa"/>
              <w:bottom w:w="35" w:type="dxa"/>
              <w:right w:w="55" w:type="dxa"/>
            </w:tcMar>
          </w:tcPr>
          <w:p>
            <w:pPr>
              <w:spacing w:after="0" w:line="228" w:lineRule="auto"/>
            </w:pPr>
            <w:r>
              <w:rPr>
                <w:sz w:val="16"/>
              </w:rPr>
              <w:t>Enterprises receive automation, process-improvement, AI, Generative AI, and Agentic AI ideas through workshops, emails, spreadsheets, and informal discussions. These ideas are often incomplete and are assessed manually using inconsistent criteria. Teams spend significant effort clarifying the problem, estimating value and feasibility, deciding the appropriate intervention, and preparing a defensible case for prioritization. The result is delayed qualification, subjective scoring, weak traceability, and backlogs influenced by advocacy rather than comparable evidence.</w:t>
            </w:r>
          </w:p>
        </w:tc>
      </w:tr>
      <w:tr>
        <w:tc>
          <w:tcPr>
            <w:tcW w:type="dxa" w:w="2232"/>
            <w:vAlign w:val="top"/>
            <w:shd w:fill="D9EAF7"/>
            <w:tcMar>
              <w:top w:w="35" w:type="dxa"/>
              <w:left w:w="55" w:type="dxa"/>
              <w:bottom w:w="35" w:type="dxa"/>
              <w:right w:w="55" w:type="dxa"/>
            </w:tcMar>
          </w:tcPr>
          <w:p>
            <w:pPr>
              <w:spacing w:after="0"/>
            </w:pPr>
            <w:r>
              <w:rPr>
                <w:b/>
                <w:color w:val="1F4E79"/>
                <w:sz w:val="16"/>
              </w:rPr>
              <w:t>Why This Matters</w:t>
            </w:r>
          </w:p>
        </w:tc>
        <w:tc>
          <w:tcPr>
            <w:tcW w:type="dxa" w:w="8496"/>
            <w:vAlign w:val="top"/>
            <w:tcMar>
              <w:top w:w="35" w:type="dxa"/>
              <w:left w:w="55" w:type="dxa"/>
              <w:bottom w:w="35" w:type="dxa"/>
              <w:right w:w="55" w:type="dxa"/>
            </w:tcMar>
          </w:tcPr>
          <w:p>
            <w:pPr>
              <w:spacing w:after="0" w:line="228" w:lineRule="auto"/>
            </w:pPr>
            <w:r>
              <w:rPr>
                <w:sz w:val="16"/>
              </w:rPr>
              <w:t>Transformation capacity and funding are limited. Weak qualification can cause low-value ideas to consume assessment effort, while promising opportunities remain undiscovered or poorly justified. A consistent, explainable intake and assessment workflow can improve screening speed, comparison quality, governance, and the creation of an approved, evidence-based backlog.</w:t>
            </w:r>
          </w:p>
        </w:tc>
      </w:tr>
      <w:tr>
        <w:tc>
          <w:tcPr>
            <w:tcW w:type="dxa" w:w="2232"/>
            <w:vAlign w:val="top"/>
            <w:shd w:fill="D9EAF7"/>
            <w:tcMar>
              <w:top w:w="35" w:type="dxa"/>
              <w:left w:w="55" w:type="dxa"/>
              <w:bottom w:w="35" w:type="dxa"/>
              <w:right w:w="55" w:type="dxa"/>
            </w:tcMar>
          </w:tcPr>
          <w:p>
            <w:pPr>
              <w:spacing w:after="0"/>
            </w:pPr>
            <w:r>
              <w:rPr>
                <w:b/>
                <w:color w:val="1F4E79"/>
                <w:sz w:val="16"/>
              </w:rPr>
              <w:t>Proposed AI Role</w:t>
            </w:r>
          </w:p>
        </w:tc>
        <w:tc>
          <w:tcPr>
            <w:tcW w:type="dxa" w:w="8496"/>
            <w:vAlign w:val="top"/>
            <w:tcMar>
              <w:top w:w="35" w:type="dxa"/>
              <w:left w:w="55" w:type="dxa"/>
              <w:bottom w:w="35" w:type="dxa"/>
              <w:right w:w="55" w:type="dxa"/>
            </w:tcMar>
          </w:tcPr>
          <w:p>
            <w:pPr>
              <w:spacing w:after="0" w:line="228" w:lineRule="auto"/>
            </w:pPr>
            <w:r>
              <w:rPr>
                <w:sz w:val="16"/>
              </w:rPr>
              <w:t>The copilot will interpret an unstructured idea or process description; identify missing information; classify the opportunity; summarize the problem and intended outcome; recommend whether the better path is process redesign, rules-based automation, workflow automation, predictive AI, Generative AI, or Agentic AI; and generate a draft value-feasibility assessment with rationale and confidence. Deterministic rules will be used for mandatory policy checks and final scoring boundaries.</w:t>
            </w:r>
          </w:p>
        </w:tc>
      </w:tr>
      <w:tr>
        <w:tc>
          <w:tcPr>
            <w:tcW w:type="dxa" w:w="2232"/>
            <w:vAlign w:val="top"/>
            <w:shd w:fill="D9EAF7"/>
            <w:tcMar>
              <w:top w:w="35" w:type="dxa"/>
              <w:left w:w="55" w:type="dxa"/>
              <w:bottom w:w="35" w:type="dxa"/>
              <w:right w:w="55" w:type="dxa"/>
            </w:tcMar>
          </w:tcPr>
          <w:p>
            <w:pPr>
              <w:spacing w:after="0"/>
            </w:pPr>
            <w:r>
              <w:rPr>
                <w:b/>
                <w:color w:val="1F4E79"/>
                <w:sz w:val="16"/>
              </w:rPr>
              <w:t>Why AI Instead of a Simpler Alternative</w:t>
            </w:r>
          </w:p>
        </w:tc>
        <w:tc>
          <w:tcPr>
            <w:tcW w:type="dxa" w:w="8496"/>
            <w:vAlign w:val="top"/>
            <w:tcMar>
              <w:top w:w="35" w:type="dxa"/>
              <w:left w:w="55" w:type="dxa"/>
              <w:bottom w:w="35" w:type="dxa"/>
              <w:right w:w="55" w:type="dxa"/>
            </w:tcMar>
          </w:tcPr>
          <w:p>
            <w:pPr>
              <w:spacing w:after="0" w:line="228" w:lineRule="auto"/>
            </w:pPr>
            <w:r>
              <w:rPr>
                <w:sz w:val="16"/>
              </w:rPr>
              <w:t>A form or spreadsheet can capture fixed fields and calculate predefined scores, but cannot reliably interpret varied narratives, recognize equivalent business language, identify unstated gaps, compare alternative intervention patterns, or draft a reasoned recommendation. AI is useful for semantic interpretation, clarification, classification, and rationale generation. Rules remain preferable for mandatory controls, score calculation, and approval routing.</w:t>
            </w:r>
          </w:p>
        </w:tc>
      </w:tr>
      <w:tr>
        <w:tc>
          <w:tcPr>
            <w:tcW w:type="dxa" w:w="2232"/>
            <w:vAlign w:val="top"/>
            <w:shd w:fill="D9EAF7"/>
            <w:tcMar>
              <w:top w:w="35" w:type="dxa"/>
              <w:left w:w="55" w:type="dxa"/>
              <w:bottom w:w="35" w:type="dxa"/>
              <w:right w:w="55" w:type="dxa"/>
            </w:tcMar>
          </w:tcPr>
          <w:p>
            <w:pPr>
              <w:spacing w:after="0"/>
            </w:pPr>
            <w:r>
              <w:rPr>
                <w:b/>
                <w:color w:val="1F4E79"/>
                <w:sz w:val="16"/>
              </w:rPr>
              <w:t>Human-in-the-Loop Design</w:t>
            </w:r>
          </w:p>
        </w:tc>
        <w:tc>
          <w:tcPr>
            <w:tcW w:type="dxa" w:w="8496"/>
            <w:vAlign w:val="top"/>
            <w:tcMar>
              <w:top w:w="35" w:type="dxa"/>
              <w:left w:w="55" w:type="dxa"/>
              <w:bottom w:w="35" w:type="dxa"/>
              <w:right w:w="55" w:type="dxa"/>
            </w:tcMar>
          </w:tcPr>
          <w:p>
            <w:pPr>
              <w:spacing w:after="0" w:line="228" w:lineRule="auto"/>
            </w:pPr>
            <w:r>
              <w:rPr>
                <w:sz w:val="16"/>
              </w:rPr>
              <w:t>The copilot will not approve funding or autonomously place an idea into the committed backlog. The analyst can review the interpreted problem, correct missing or inaccurate details, modify proposed scores with justification, override the recommended intervention, and submit the assessment to a transformation lead or governance reviewer. Low-confidence or high-risk assessments must be reviewed before prioritization.</w:t>
            </w:r>
          </w:p>
        </w:tc>
      </w:tr>
      <w:tr>
        <w:tc>
          <w:tcPr>
            <w:tcW w:type="dxa" w:w="2232"/>
            <w:vAlign w:val="top"/>
            <w:shd w:fill="D9EAF7"/>
            <w:tcMar>
              <w:top w:w="35" w:type="dxa"/>
              <w:left w:w="55" w:type="dxa"/>
              <w:bottom w:w="35" w:type="dxa"/>
              <w:right w:w="55" w:type="dxa"/>
            </w:tcMar>
          </w:tcPr>
          <w:p>
            <w:pPr>
              <w:spacing w:after="0"/>
            </w:pPr>
            <w:r>
              <w:rPr>
                <w:b/>
                <w:color w:val="1F4E79"/>
                <w:sz w:val="16"/>
              </w:rPr>
              <w:t>Smallest Credible MVP</w:t>
            </w:r>
          </w:p>
        </w:tc>
        <w:tc>
          <w:tcPr>
            <w:tcW w:type="dxa" w:w="8496"/>
            <w:vAlign w:val="top"/>
            <w:tcMar>
              <w:top w:w="35" w:type="dxa"/>
              <w:left w:w="55" w:type="dxa"/>
              <w:bottom w:w="35" w:type="dxa"/>
              <w:right w:w="55" w:type="dxa"/>
            </w:tcMar>
          </w:tcPr>
          <w:p>
            <w:pPr>
              <w:spacing w:after="0" w:line="228" w:lineRule="auto"/>
            </w:pPr>
            <w:r>
              <w:rPr>
                <w:sz w:val="16"/>
              </w:rPr>
              <w:t>A web-based prototype for one intake-to-assessment flow. A user enters an idea description, process context, pain points, frequency or volume, and expected outcome. The prototype returns: missing-information prompts; opportunity category; recommended intervention; indicative business-value and feasibility scores; rationale, assumptions, and confidence; and a recommendation to reject, refine, assess further, or move to the candidate backlog. Portfolio-wide optimization, production integrations, and automatic funding decisions are out of scope.</w:t>
            </w:r>
          </w:p>
        </w:tc>
      </w:tr>
      <w:tr>
        <w:tc>
          <w:tcPr>
            <w:tcW w:type="dxa" w:w="2232"/>
            <w:vAlign w:val="top"/>
            <w:shd w:fill="D9EAF7"/>
            <w:tcMar>
              <w:top w:w="35" w:type="dxa"/>
              <w:left w:w="55" w:type="dxa"/>
              <w:bottom w:w="35" w:type="dxa"/>
              <w:right w:w="55" w:type="dxa"/>
            </w:tcMar>
          </w:tcPr>
          <w:p>
            <w:pPr>
              <w:spacing w:after="0"/>
            </w:pPr>
            <w:r>
              <w:rPr>
                <w:b/>
                <w:color w:val="1F4E79"/>
                <w:sz w:val="16"/>
              </w:rPr>
              <w:t>Build vs Buy vs API View</w:t>
            </w:r>
          </w:p>
        </w:tc>
        <w:tc>
          <w:tcPr>
            <w:tcW w:type="dxa" w:w="8496"/>
            <w:vAlign w:val="top"/>
            <w:tcMar>
              <w:top w:w="35" w:type="dxa"/>
              <w:left w:w="55" w:type="dxa"/>
              <w:bottom w:w="35" w:type="dxa"/>
              <w:right w:w="55" w:type="dxa"/>
            </w:tcMar>
          </w:tcPr>
          <w:p>
            <w:pPr>
              <w:spacing w:after="0" w:line="228" w:lineRule="auto"/>
            </w:pPr>
            <w:r>
              <w:rPr>
                <w:sz w:val="16"/>
              </w:rPr>
              <w:t>Initial recommendation: build the product-specific assessment workflow, scoring framework, governance logic, and explainability layer; use an external language-model API for MVP interpretation and generation; reuse existing identity, workflow, and audit capabilities where available. The differentiation lies in the qualification logic, evidence model, intervention taxonomy, human review, and traceable decision workflow, not in training a foundation model.</w:t>
            </w:r>
          </w:p>
        </w:tc>
      </w:tr>
      <w:tr>
        <w:tc>
          <w:tcPr>
            <w:tcW w:type="dxa" w:w="2232"/>
            <w:vAlign w:val="top"/>
            <w:shd w:fill="D9EAF7"/>
            <w:tcMar>
              <w:top w:w="35" w:type="dxa"/>
              <w:left w:w="55" w:type="dxa"/>
              <w:bottom w:w="35" w:type="dxa"/>
              <w:right w:w="55" w:type="dxa"/>
            </w:tcMar>
          </w:tcPr>
          <w:p>
            <w:pPr>
              <w:spacing w:after="0"/>
            </w:pPr>
            <w:r>
              <w:rPr>
                <w:b/>
                <w:color w:val="1F4E79"/>
                <w:sz w:val="16"/>
              </w:rPr>
              <w:t>Main Risks</w:t>
            </w:r>
          </w:p>
        </w:tc>
        <w:tc>
          <w:tcPr>
            <w:tcW w:type="dxa" w:w="8496"/>
            <w:vAlign w:val="top"/>
            <w:tcMar>
              <w:top w:w="35" w:type="dxa"/>
              <w:left w:w="55" w:type="dxa"/>
              <w:bottom w:w="35" w:type="dxa"/>
              <w:right w:w="55" w:type="dxa"/>
            </w:tcMar>
          </w:tcPr>
          <w:p>
            <w:pPr>
              <w:spacing w:after="0" w:line="228" w:lineRule="auto"/>
            </w:pPr>
            <w:r>
              <w:rPr>
                <w:sz w:val="16"/>
              </w:rPr>
              <w:t>1. Incomplete or persuasive idea descriptions may produce biased recommendations. 2. Users may over-trust fluent output or manipulate inputs to obtain higher priority. 3. Business-value and feasibility estimates may appear precise without adequate evidence. Controls will include visible assumptions, confidence and evidence status, deterministic scoring limits, mandatory review, override reasons, and audit history.</w:t>
            </w:r>
          </w:p>
        </w:tc>
      </w:tr>
      <w:tr>
        <w:tc>
          <w:tcPr>
            <w:tcW w:type="dxa" w:w="2232"/>
            <w:vAlign w:val="top"/>
            <w:shd w:fill="D9EAF7"/>
            <w:tcMar>
              <w:top w:w="35" w:type="dxa"/>
              <w:left w:w="55" w:type="dxa"/>
              <w:bottom w:w="35" w:type="dxa"/>
              <w:right w:w="55" w:type="dxa"/>
            </w:tcMar>
          </w:tcPr>
          <w:p>
            <w:pPr>
              <w:spacing w:after="0"/>
            </w:pPr>
            <w:r>
              <w:rPr>
                <w:b/>
                <w:color w:val="1F4E79"/>
                <w:sz w:val="16"/>
              </w:rPr>
              <w:t>Success Evidence</w:t>
            </w:r>
          </w:p>
        </w:tc>
        <w:tc>
          <w:tcPr>
            <w:tcW w:type="dxa" w:w="8496"/>
            <w:vAlign w:val="top"/>
            <w:tcMar>
              <w:top w:w="35" w:type="dxa"/>
              <w:left w:w="55" w:type="dxa"/>
              <w:bottom w:w="35" w:type="dxa"/>
              <w:right w:w="55" w:type="dxa"/>
            </w:tcMar>
          </w:tcPr>
          <w:p>
            <w:pPr>
              <w:spacing w:after="0" w:line="228" w:lineRule="auto"/>
            </w:pPr>
            <w:r>
              <w:rPr>
                <w:sz w:val="16"/>
              </w:rPr>
              <w:t>The MVP is promising if it correctly identifies missing information, produces recommendations that experienced reviewers judge relevant, shows consistent treatment of comparable ideas, reduces time required to create an initial assessment, and makes the rationale and assumptions easy to inspect and challenge. A negative signal is repeated expert disagreement caused by weak or untraceable reasoning.</w:t>
            </w:r>
          </w:p>
        </w:tc>
      </w:tr>
      <w:tr>
        <w:tc>
          <w:tcPr>
            <w:tcW w:type="dxa" w:w="2232"/>
            <w:vAlign w:val="top"/>
            <w:shd w:fill="D9EAF7"/>
            <w:tcMar>
              <w:top w:w="35" w:type="dxa"/>
              <w:left w:w="55" w:type="dxa"/>
              <w:bottom w:w="35" w:type="dxa"/>
              <w:right w:w="55" w:type="dxa"/>
            </w:tcMar>
          </w:tcPr>
          <w:p>
            <w:pPr>
              <w:spacing w:after="0"/>
            </w:pPr>
            <w:r>
              <w:rPr>
                <w:b/>
                <w:color w:val="1F4E79"/>
                <w:sz w:val="16"/>
              </w:rPr>
              <w:t>Team Recommendation</w:t>
            </w:r>
          </w:p>
        </w:tc>
        <w:tc>
          <w:tcPr>
            <w:tcW w:type="dxa" w:w="8496"/>
            <w:vAlign w:val="top"/>
            <w:tcMar>
              <w:top w:w="35" w:type="dxa"/>
              <w:left w:w="55" w:type="dxa"/>
              <w:bottom w:w="35" w:type="dxa"/>
              <w:right w:w="55" w:type="dxa"/>
            </w:tcMar>
          </w:tcPr>
          <w:p>
            <w:pPr>
              <w:spacing w:after="0" w:line="228" w:lineRule="auto"/>
            </w:pPr>
            <w:r>
              <w:rPr>
                <w:sz w:val="16"/>
              </w:rPr>
              <w:t>PROCEED WITH TOPIC APPROVAL. If approved, the team will retain the narrow qualification-and-prioritization wedge and validate the assessment logic before considering broader idea-management or portfolio-planning capabilities.</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Team0022 | Topic submitted for faculty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ac58ae-b3fa-4c79-a510-a5bb9bba836e}" enabled="1" method="Privileged" siteId="{1f4beacd-b7aa-49b2-aaa1-b8525cb257e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Team0022 - IdeaHub AI Topic Approval Form</dc:title>
  <dc:subject>MBA ZG583 Management of AI Products Capstone</dc:subject>
  <dc:creator>Ravi Theja Kumar Pothulluru</dc:creator>
  <keywords>Team0022, IdeaHub AI, MBA ZG583, Capstone, Topic Approval</keywords>
  <dc:description>generated by python-docx</dc:description>
  <lastModifiedBy>Ravi Theja Kumar Pothulluru</lastModifiedBy>
  <revision>1</revision>
  <dcterms:created xsi:type="dcterms:W3CDTF">2026-10-02T11:05:20.3869592Z</dcterms:created>
  <dcterms:modified xsi:type="dcterms:W3CDTF">2026-10-02T11:05:20.3869592Z</dcterms:modified>
  <category/>
</coreProperties>
</file>