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项目说明与</w:t>
        <w:br/>
        <w:t>系统架构</w:t>
      </w:r>
    </w:p>
    <w:p>
      <w:pPr>
        <w:pStyle w:val="Subtitle"/>
      </w:pPr>
      <w:r>
        <w:t>Claude 环境管理应用  /  AI 开发阅读版</w:t>
      </w:r>
    </w:p>
    <w:p>
      <w:pPr>
        <w:spacing w:before="240" w:after="400"/>
      </w:pPr>
      <w:r>
        <w:t>PRJ-00  ·  ARCH-00  ·  SCOPE-01</w:t>
        <w:br/>
        <w:t>v1.1  |  2026-09-12</w:t>
      </w:r>
    </w:p>
    <w:p>
      <w:r>
        <w:rPr>
          <w:b/>
          <w:color w:val="127789"/>
        </w:rPr>
        <w:t>首版本机优先，四模块协作。</w:t>
      </w:r>
    </w:p>
    <w:p>
      <w:r>
        <w:rPr>
          <w:b/>
          <w:color w:val="127789"/>
        </w:rPr>
        <w:t>检测与推荐 → 用户授权 → 受管执行 → 复查和恢复。</w:t>
      </w:r>
    </w:p>
    <w:p>
      <w:r>
        <w:rPr>
          <w:b/>
          <w:color w:val="127789"/>
        </w:rPr>
        <w:t>即时保护不等待 AI；历史审计不改写生产状态。</w:t>
      </w:r>
    </w:p>
    <w:p>
      <w:pPr>
        <w:pStyle w:val="Heading2"/>
      </w:pPr>
      <w:r>
        <w:t>阅读约定</w:t>
      </w:r>
    </w:p>
    <w:p>
      <w:r>
        <w:t>开发以文档包中的 Markdown 和原始 FD 编号为依据。Mermaid 提供可编辑图源，图像仅为辅助。本文收录项目说明、文字架构、首版范围与 AI 交接入口；逻辑接口、实施计划、完整索引及验收导航在配套 Markdown 中。</w:t>
      </w:r>
    </w:p>
    <w:p>
      <w:r>
        <w:t>本版没有把海报中的技术栈、工期或“进行中”字样当成已确认要求。隔离工作台、新建 WSL／Docker／虚拟机和独立浏览器引擎后置。</w:t>
      </w:r>
    </w:p>
    <w:p>
      <w:pPr>
        <w:pStyle w:val="Caption"/>
      </w:pPr>
      <w:r>
        <w:t>当前交付为文档，不代表产品已开发、供应商已接入或生产验收完成。</w:t>
      </w:r>
    </w:p>
    <w:p>
      <w:pPr>
        <w:pStyle w:val="Heading2"/>
      </w:pPr>
      <w:r>
        <w:t>章节导航</w:t>
      </w:r>
    </w:p>
    <w:p>
      <w:r>
        <w:t>第一部分  项目说明与首版目标</w:t>
      </w:r>
    </w:p>
    <w:p>
      <w:r>
        <w:t>第二部分  文字架构、四张逻辑图与责任边界</w:t>
      </w:r>
    </w:p>
    <w:p>
      <w:r>
        <w:t>第三部分  首版范围裁定及跨文档衔接</w:t>
      </w:r>
    </w:p>
    <w:p>
      <w:r>
        <w:t>第四部分  AI 开发与评审入口</w:t>
      </w:r>
    </w:p>
    <w:p>
      <w:pPr>
        <w:pStyle w:val="Subtitle"/>
        <w:pageBreakBefore/>
      </w:pPr>
      <w:r>
        <w:t>第一部分 / PROJECT</w:t>
      </w:r>
    </w:p>
    <w:p>
      <w:pPr>
        <w:pStyle w:val="Heading1"/>
      </w:pPr>
      <w:r>
        <w:t>项目说明：Claude 环境管理应用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文档编号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PRJ-00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文档包版本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v1.1，2026-09-12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产品名称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暂定“Claude 环境管理应用”；不将上一张海报名称视为正式命名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当前状态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已整理四份功能需求及逻辑架构；未凭本包证明代码、供应商接入或生产验收完成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依据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FD-01—04；用户最后确认的“首版本机优先、隔离后置”裁定</w:t>
            </w:r>
          </w:p>
        </w:tc>
      </w:tr>
    </w:tbl>
    <w:p>
      <w:pPr>
        <w:spacing w:after="20"/>
      </w:pPr>
    </w:p>
    <w:p>
      <w:pPr>
        <w:pStyle w:val="Heading2"/>
      </w:pPr>
      <w:r>
        <w:t>1. 产品目标</w:t>
      </w:r>
    </w:p>
    <w:p>
      <w:r>
        <w:t>将用户本地清理 Claude 与搭建、维护使用环境的经验，转为一个普通用户能够操作的应用。它不是 Claude 聊天壳，不是只显示风险分的网站，也不是只安装一个客户端的小工具。</w:t>
      </w:r>
    </w:p>
    <w:p>
      <w:r>
        <w:t>以“打开应用—自动扫描—看懂建议—确认处理—复查结果”为基础，把文件维护、网络检测、内置代理方案和持续监测接起来。管理员在后台维护网络模板、资源与月度配额，用户不必手工填写订阅或拼接规则。</w:t>
      </w:r>
    </w:p>
    <w:p>
      <w:r>
        <w:t>预期收益是减少残留和配置混杂、降低错误路由等本方可控问题、保留工作资料、提供真实可追溯的诊断及恢复结果。没有账号风控预测、解封或永不受限的承诺。[FD-01 §1；FD-02 §1；FD-03 §1]</w:t>
      </w:r>
    </w:p>
    <w:p>
      <w:pPr>
        <w:pStyle w:val="Heading2"/>
      </w:pPr>
      <w:r>
        <w:t>2. 使用对象与角色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4252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明确边界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普通应用用户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扫描、确认账号状态、采用处理方案、切换网络方案、管理日常直连网站、查看流量和日报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不需要技术问卷、聊天指令、订阅 URL 或原始 YAML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管理员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维护模板、机场订阅、前置资源、固定出口 A／B、用户分配、额度、版本及事件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管理本应用用户，不要求掌握其 Claude 密码或对话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AI 诊断能力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在授权下关联证据、分析原因、形成处理建议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可选、只读；不能改评分权重、配额账目、路由统计或系统权限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客户端执行程序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具体检查、受管写入、实时保护、校验、归档与恢复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授权范围明确，失败和未完成如实显示</w:t>
            </w:r>
          </w:p>
        </w:tc>
      </w:tr>
    </w:tbl>
    <w:p>
      <w:pPr>
        <w:spacing w:after="20"/>
      </w:pPr>
    </w:p>
    <w:p>
      <w:r>
        <w:t>这是角色分工，不要求为每种角色部署独立微服务。</w:t>
      </w:r>
    </w:p>
    <w:p>
      <w:pPr>
        <w:pStyle w:val="Heading2"/>
      </w:pPr>
      <w:r>
        <w:t>3. 首版四个业务模块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4252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功能结果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不重复建设的内容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FD-01 本地文件检测与清理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Desktop、Code、浏览器站点及关联第三方资料识别；严格评级；用户确认后准确处理；保留项目三类资料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不判断服务端风控，不用历史路径直接做自动删除名单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FD-02 网络与浏览器检测及优化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六类环境检查、统一主要评分、原因及可执行建议；确认后调用本机及内置 Clash 能力处理并复查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不只给教程；不以应用 WebView 冒充真实浏览器；不另建代理入口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FD-03 托管网络与配额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按用户分配三套方案、订阅、前置与固定出口；自动更新；直连白名单；服务端月配额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用户免网络参数配置；不只靠客户端计数；不新增商城或账号池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FD-04 流量保护与审计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实时观察、预授权紧急阻断、后台事件、两小时归档、统一日报与证据覆盖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不等 AI 才阻断；不另建配额账本；审计不改网、不改历史</w:t>
            </w:r>
          </w:p>
        </w:tc>
      </w:tr>
    </w:tbl>
    <w:p>
      <w:pPr>
        <w:spacing w:after="20"/>
      </w:pPr>
    </w:p>
    <w:p>
      <w:r>
        <w:t>详细需求及验收以原始 FD 为准，数量和原编号见 文档索引。本表不是简化版替代规范。</w:t>
      </w:r>
    </w:p>
    <w:p>
      <w:pPr>
        <w:pStyle w:val="Heading2"/>
      </w:pPr>
      <w:r>
        <w:t>4. 用户主流程</w:t>
      </w:r>
    </w:p>
    <w:p>
      <w:pPr>
        <w:pStyle w:val="Heading3"/>
      </w:pPr>
      <w:r>
        <w:t>4.1 第一次整理环境</w:t>
      </w:r>
    </w:p>
    <w:p>
      <w:r>
        <w:t>确认范围与 AI 数据授权 → 深度扫描 → 用户回答可识别账号正常或受限 → 查看问题等级和影响 → 选择处理项 → 一次确认 → 执行与复查。正常登录资料保留；混合配置按字段或记录处理，项目内容不被整份清除。[FD-01 §3—9]</w:t>
      </w:r>
    </w:p>
    <w:p>
      <w:pPr>
        <w:pStyle w:val="Heading3"/>
      </w:pPr>
      <w:r>
        <w:t>4.2 启用托管网络</w:t>
      </w:r>
    </w:p>
    <w:p>
      <w:r>
        <w:t>后台完成资源分配 → 用户看到已就绪方案与额度 → 确认启用、维护与保护范围 → 内置 Clash 应用 → FD-02 回读和实际路径验证 → 显示已启用。没有资源、权限或兼容性时不假装一键可用。[FD-03 §4—6]</w:t>
      </w:r>
    </w:p>
    <w:p>
      <w:pPr>
        <w:pStyle w:val="Heading3"/>
      </w:pPr>
      <w:r>
        <w:t>4.3 日常维护</w:t>
      </w:r>
    </w:p>
    <w:p>
      <w:r>
        <w:t>快速体检检查变化，正常项少打扰；用户可切换获分配方案、管理日常直连白名单、查看用量与报告。网络方案与标准／AI 诊断模式是两个维度，不排列成复杂模式组合。[FD-02 §3；FD-03 §3.4]</w:t>
      </w:r>
    </w:p>
    <w:p>
      <w:pPr>
        <w:pStyle w:val="Heading3"/>
      </w:pPr>
      <w:r>
        <w:t>4.4 异常与恢复</w:t>
      </w:r>
    </w:p>
    <w:p>
      <w:r>
        <w:t>确认当前错误路线或关键保护失效 → 客户端程序先保护 → 独立通知并按授权上报 → 后台或 AI 辅助定位 → 同一受管执行能力修正 → FD-02 复查后按条件恢复。既有错误仍保留在事件及日报中。[FD-04 §6]</w:t>
      </w:r>
    </w:p>
    <w:p>
      <w:pPr>
        <w:pStyle w:val="Heading2"/>
      </w:pPr>
      <w:r>
        <w:t>5. 三套网络方案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005"/>
        <w:gridCol w:w="3231"/>
        <w:gridCol w:w="2268"/>
      </w:tblGrid>
      <w:tr>
        <w:trPr>
          <w:cantSplit/>
          <w:tblHeader w:val="true"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Claude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其他普通公网流量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日常直连白名单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日常单 IP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出口 A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白名单目标直连，其余 A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启用，Claude 保护优先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Claude 专用单 IP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TUN 接管后 A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TUN 接管后 A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保存但停用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Claude 专用双 IP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TUN 接管后 A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TUN 接管后 B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保存但停用</w:t>
            </w:r>
          </w:p>
        </w:tc>
      </w:tr>
    </w:tbl>
    <w:p>
      <w:pPr>
        <w:spacing w:after="20"/>
      </w:pPr>
    </w:p>
    <w:p>
      <w:r>
        <w:t>双 IP 是用途分工，不是轮换。方案切换尽量保留 Claude 的 A；单 IP 与双 IP 均不自动等于独享。必要本机、局域网和链路建立通信按模板限定；日常是否使用 TUN 留待技术验证。[FD-03 §3、§5]</w:t>
      </w:r>
    </w:p>
    <w:p>
      <w:r>
        <w:t>免费用户→日常，Pro／Max 5x→专用单 IP，Max 20x→专用双 IP，是用户已认可的产品推荐，不是官方风险分级。实际能启用什么以资源分配为准。</w:t>
      </w:r>
    </w:p>
    <w:p>
      <w:pPr>
        <w:pStyle w:val="Heading2"/>
      </w:pPr>
      <w:r>
        <w:t>6. 配额与运营边界</w:t>
      </w:r>
    </w:p>
    <w:p>
      <w:r>
        <w:t>月度上限由后台按应用用户配置，250 GB 是示例。代理上传与下载合计，双出口与获准多端合并，代理链同一份传输不向用户重复计量。直连及局域网不计托管代理额度，但必须按实际路径归属判断。[FD-03 §7]</w:t>
      </w:r>
    </w:p>
    <w:p>
      <w:r>
        <w:t>计量与限额依赖具备按用户控制能力的服务端或上游；管理后台不必转发全部业务流量。超额暂停代理，不能解除保护或转入未知直连。后台故障、上游余额不足、用户超额分别报告。</w:t>
      </w:r>
    </w:p>
    <w:p>
      <w:pPr>
        <w:pStyle w:val="Heading2"/>
      </w:pPr>
      <w:r>
        <w:t>7. 数据与产品状态</w:t>
      </w:r>
    </w:p>
    <w:p>
      <w:r>
        <w:t>完整本机明细默认留本地，后台默认接收必要用量汇总、最小事件和处置状态。更多材料经授权脱敏提交。凭据不进入普通日志、AI 输入或公开仓库。[FD-03 §10；FD-04 §10]</w:t>
      </w:r>
    </w:p>
    <w:p>
      <w:r>
        <w:t>“规则已发布”“配置已下载”“内核已加载”“实际路径验证通过”是不同阶段。文档完成不等于产品完成；未给出实际运行证据的能力不在本包标记为已开发。</w:t>
      </w:r>
    </w:p>
    <w:p>
      <w:pPr>
        <w:pStyle w:val="Heading2"/>
      </w:pPr>
      <w:r>
        <w:t>8. 不进入首版的隔离建设</w:t>
      </w:r>
    </w:p>
    <w:p>
      <w:r>
        <w:t>完整隔离工作台、多环境身份管理、新建 WSL、Docker、虚拟机和独立浏览器引擎后置。继续围绕已有本机客户端提供前四模块；已存在的其他环境按支持范围识别、声明缺口，不主动重置或迁移。[用户首版范围裁定]</w:t>
      </w:r>
    </w:p>
    <w:p>
      <w:r>
        <w:t>该决定不是否定隔离价值，而是避免让新增子系统阻塞首版。未来只有明确需求与可控接入成本时重新评估，不自动承诺下一版上线。详见 首版范围。</w:t>
      </w:r>
    </w:p>
    <w:p>
      <w:pPr>
        <w:pStyle w:val="Heading2"/>
      </w:pPr>
      <w:r>
        <w:t>9. 成功标准</w:t>
      </w:r>
    </w:p>
    <w:p>
      <w:r>
        <w:t>普通用户无需了解文件路径和网络参数，可以得到有依据的建议、准确执行和可恢复记录；危险路由及时按授权保护；计量真实且服务端限额生效；日报时间、覆盖和分类可追溯；未知不能伪装正常。</w:t>
      </w:r>
    </w:p>
    <w:p>
      <w:r>
        <w:t>对应的可验证场景以 FD-01—04 为基础，综合交接见 ACCEPTANCE。技术栈、供应商、完整支持矩阵、性能与排期保留待定，不从海报中补定。</w:t>
      </w:r>
    </w:p>
    <w:p>
      <w:pPr>
        <w:pStyle w:val="Subtitle"/>
        <w:pageBreakBefore/>
      </w:pPr>
      <w:r>
        <w:t>第二部分 / ARCHITECTURE</w:t>
      </w:r>
    </w:p>
    <w:p>
      <w:pPr>
        <w:pStyle w:val="Heading1"/>
      </w:pPr>
      <w:r>
        <w:t>系统架构：Claude 环境管理应用</w:t>
      </w:r>
    </w:p>
    <w:p>
      <w:pPr>
        <w:ind w:left="142"/>
      </w:pPr>
      <w:r>
        <w:rPr>
          <w:color w:val="637286"/>
          <w:sz w:val="18"/>
        </w:rPr>
        <w:t>ARCH-00 · 文档包 v1.1 · 2026-09-12。以 FD-01—04 和首版范围裁定为依据的</w:t>
      </w:r>
      <w:r>
        <w:rPr>
          <w:b/>
          <w:color w:val="637286"/>
          <w:sz w:val="18"/>
        </w:rPr>
        <w:t>逻辑架构</w:t>
      </w:r>
      <w:r>
        <w:rPr>
          <w:color w:val="637286"/>
          <w:sz w:val="18"/>
        </w:rPr>
        <w:t>。</w:t>
      </w:r>
    </w:p>
    <w:p>
      <w:pPr>
        <w:ind w:left="142"/>
      </w:pPr>
      <w:r>
        <w:rPr>
          <w:color w:val="637286"/>
          <w:sz w:val="18"/>
        </w:rPr>
        <w:t>本文件明确职责、调用方向、数据归属与失败边界；不将具体语言、数据库、IPC／HTTP API、供应商或物理部署形态写成已选型。</w:t>
      </w:r>
    </w:p>
    <w:p>
      <w:pPr>
        <w:pStyle w:val="Heading2"/>
      </w:pPr>
      <w:r>
        <w:t>1. 架构定位与读法</w:t>
      </w:r>
    </w:p>
    <w:p>
      <w:r>
        <w:t>一个用户端应用，内置 Clash，配套按应用用户托管的管理后台；可选 AI 只读分析。四个业务模块共用采集、受管配置、授权执行、证据及报告能力，而不是各自建设独立系统。</w:t>
      </w:r>
    </w:p>
    <w:p>
      <w:r>
        <w:t>以下组件名称是逻辑角色。实现时可以合并进同一进程或模块；只有权限、可靠性等实际要求证明需要时再分进程，不由一张图强制产生微服务。</w:t>
      </w:r>
    </w:p>
    <w:p>
      <w:r>
        <w:t>首版以本机已有 Desktop、Code 和浏览器为对象。隔离工作台、新建 WSL／Docker／VM、独立浏览器引擎不在本轮主链中。已有其他环境按支持矩阵识别，未知不冒称覆盖。[范围依据：SCOPE-01；FD-02 §5.4]</w:t>
      </w:r>
    </w:p>
    <w:p>
      <w:pPr>
        <w:sectPr>
          <w:headerReference w:type="default" r:id="rId9"/>
          <w:footerReference w:type="default" r:id="rId10"/>
          <w:pgSz w:w="11906" w:h="16838"/>
          <w:pgMar w:top="850" w:right="935" w:bottom="850" w:left="935" w:header="369" w:footer="369" w:gutter="0"/>
          <w:cols w:space="720"/>
          <w:docGrid w:linePitch="360"/>
        </w:sectPr>
      </w:pPr>
    </w:p>
    <w:p>
      <w:pPr>
        <w:pStyle w:val="Heading2"/>
      </w:pPr>
      <w:r>
        <w:t>2. 总体结构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35384" cy="5364000"/>
            <wp:docPr id="1" name="Picture 1" descr="01_system_architecture.mmd 既有逻辑预览，文字与Mermaid为开发依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35384" cy="5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预览沿用此前逻辑图（图内 v1.0）；本轮可编辑图源：docs/diagrams/01_system_architecture.mmd。不是运行结果。</w:t>
      </w:r>
    </w:p>
    <w:p>
      <w:pPr>
        <w:sectPr>
          <w:pgSz w:w="16838" w:h="11906" w:orient="landscape"/>
          <w:pgMar w:top="850" w:right="935" w:bottom="850" w:left="935" w:header="369" w:footer="369" w:gutter="0"/>
          <w:cols w:space="720"/>
          <w:docGrid w:linePitch="360"/>
        </w:sectPr>
      </w:pPr>
    </w:p>
    <w:p>
      <w:r>
        <w:t>可编辑图源：01_system_architecture.mmd。既有图形预览：PNG。预览不是开发事实来源。</w:t>
      </w:r>
    </w:p>
    <w:p>
      <w:pPr>
        <w:pStyle w:val="Heading3"/>
      </w:pPr>
      <w:r>
        <w:t>2.1 图中的三条流</w:t>
      </w:r>
    </w:p>
    <w:p>
      <w:r>
        <w:rPr>
          <w:b/>
        </w:rPr>
        <w:t>控制流</w:t>
      </w:r>
      <w:r>
        <w:t>：后台分配模板、资源和版本 → 客户端检查授权与适配 → 同一受管入口应用 → 回读并复查 → 后台接收实际结果。后台发布成功不等于客户端已生效。</w:t>
      </w:r>
    </w:p>
    <w:p>
      <w:r>
        <w:rPr>
          <w:b/>
        </w:rPr>
        <w:t>业务流</w:t>
      </w:r>
      <w:r>
        <w:t>：用户真实客户端 → 本机受管网络与内置 Clash → 分配的前置／固定出口 → 目标服务。日常白名单有批准的直连分支。管理后台不必转发业务流量；实际计量点由供应商能力确定。</w:t>
      </w:r>
    </w:p>
    <w:p>
      <w:r>
        <w:rPr>
          <w:b/>
        </w:rPr>
        <w:t>证据流</w:t>
      </w:r>
      <w:r>
        <w:t>：采集事实、配置版本、运行记录和动作回执 → 本地事件、只读归档及日报；后台默认仅收到授权内汇总与最小事件。AI 使用脱敏必要材料，不取得生产写权限。</w:t>
      </w:r>
    </w:p>
    <w:p>
      <w:pPr>
        <w:pStyle w:val="Heading2"/>
      </w:pPr>
      <w:r>
        <w:t>3. 组件职责和边界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4252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逻辑职责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输入与工作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产出／权限边界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管家式界面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扫描入口、正常／受限账号确认、推荐清单、方案切换、用量与日报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用户选择和授权；没有聊天框，不把技术参数表交给用户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FD-01 本地资料维护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识别文件、字段、数据库记录、账号引用、项目内容及第三方来源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问题与处理清单；清理前确认，项目三类资料和正常账号受保护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FD-02 环境诊断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六类检查、来源和覆盖，标准／AI 原因分析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评分或未完成状态、受支持修复方案、真实对象的复查结果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FD-03 托管方案管理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获取用户分配、模板、A/B、额度及版本；应用和更新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同一受管配置关系、运行回执、配额视图；不发全部共享资源给用户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FD-04 监测与审计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实时事件、字节采集、版本映射、归档与回放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预授权保护触发、通知、原始证据、统一日报；不另建配额账本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共享采集与规则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在授权范围读取对象、查询运行态或执行明确的网络探测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结构化事实；未知与失败不填正常，采集与判定可区分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受管执行能力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单次确认、范围维护授权或应急预授权；检查对象与当前状态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精确写入、阻断、恢复和实际回执；不开放任意管理员终端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内置 Clash 与系统适配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受管规则、TUN、DNS、出口绑定、支持的文件和保护动作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实际运行；内核版本及系统实现方式待定，不能只凭配置存在证明覆盖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本地证据与结果保存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问题、授权、执行、字节样本、日志、归档、日报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分清可更新状态、备份和不可覆盖历史；存储技术待定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管理后台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用户分配、模板发布、线路及配额接入、最小事件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托管配置和状态；不是无限远控、不收 Claude 凭据和对话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外部适配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代理供应商计量／限额、网络情报与探测、可选模型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授权范围内接口结果及失败；候选能力不是已接入能力</w:t>
            </w:r>
          </w:p>
        </w:tc>
      </w:tr>
    </w:tbl>
    <w:p>
      <w:pPr>
        <w:spacing w:after="20"/>
      </w:pPr>
    </w:p>
    <w:p>
      <w:r>
        <w:t>“共享采集”不是一次扫描结果可以代表所有环境。每条结果仍需关联实际客户端、环境、方法、路径和时间。[FD-01 §5；FD-02 §4、§6；FD-03 §4；FD-04 §3—4]</w:t>
      </w:r>
    </w:p>
    <w:p>
      <w:pPr>
        <w:sectPr>
          <w:pgSz w:w="11906" w:h="16838"/>
          <w:pgMar w:top="850" w:right="935" w:bottom="850" w:left="935" w:header="369" w:footer="369" w:gutter="0"/>
          <w:cols w:space="720"/>
          <w:docGrid w:linePitch="360"/>
        </w:sectPr>
      </w:pPr>
    </w:p>
    <w:p>
      <w:pPr>
        <w:pStyle w:val="Heading2"/>
      </w:pPr>
      <w:r>
        <w:t>4. 三套网络方案与配额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73761" cy="5364000"/>
            <wp:docPr id="2" name="Picture 2" descr="02_network_modes.mmd 既有逻辑预览，文字与Mermaid为开发依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twork_m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73761" cy="5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预览沿用此前逻辑图（图内 v1.0）；本轮可编辑图源：docs/diagrams/02_network_modes.mmd。不是运行结果。</w:t>
      </w:r>
    </w:p>
    <w:p>
      <w:pPr>
        <w:sectPr>
          <w:pgSz w:w="16838" w:h="11906" w:orient="landscape"/>
          <w:pgMar w:top="850" w:right="935" w:bottom="850" w:left="935" w:header="369" w:footer="369" w:gutter="0"/>
          <w:cols w:space="720"/>
          <w:docGrid w:linePitch="360"/>
        </w:sectPr>
      </w:pPr>
    </w:p>
    <w:p>
      <w:r>
        <w:t>可编辑图源：02_network_modes.mmd；既有预览。</w:t>
      </w:r>
    </w:p>
    <w:p>
      <w:pPr>
        <w:pStyle w:val="Heading3"/>
      </w:pPr>
      <w:r>
        <w:t>4.1 路由不变量</w:t>
      </w:r>
    </w:p>
    <w:p>
      <w:r>
        <w:t>日常直连白名单是“直连许可”，不是“访问许可”。普通目标未命中时走固定出口 A，而不是禁止访问；不能使用宽泛国内直连兜底代替用户清单。Claude 保护规则优先。</w:t>
      </w:r>
    </w:p>
    <w:p>
      <w:r>
        <w:t>专用模式默认停用日常公网直连白名单，但保存用户条目。单 IP 所覆盖公网业务走 A；双 IP 的 Claude 走 A、其他业务走 B。必要回环、局域网和链路建立例外必须在模板中明确，不作为任意绕行通道。</w:t>
      </w:r>
    </w:p>
    <w:p>
      <w:r>
        <w:t>前置代理与最终出口不同；更新前置资源不授权改变 Claude 最终出口 A。三方案切换尽量保留 A，双 IP 不轮换，固定不等于独享。日常方案底层接管方式尚未锁定。[FD-03 §3、§5—6]</w:t>
      </w:r>
    </w:p>
    <w:p>
      <w:pPr>
        <w:pStyle w:val="Heading3"/>
      </w:pPr>
      <w:r>
        <w:t>4.2 配额不变量</w:t>
      </w:r>
    </w:p>
    <w:p>
      <w:r>
        <w:t>后台按应用用户管理月度额度，250 GB 是示例值。上传＋下载、双出口、获准多端合计；选定清楚的计量点，链式传输不重复向用户扣量。本机展示量不能覆盖服务端账目。</w:t>
      </w:r>
    </w:p>
    <w:p>
      <w:r>
        <w:t>服务端硬限额必须覆盖下发给用户的所有可用代理路径。只有共享总订阅而不能按用户限制的上游，不满足此交付条件。超额停止代理业务，不关闭保护、不降级、不借其他出口绕额度。白名单真实直连及批准的本机／局域网通信按既定规则保留。[FD-03 §7—8]</w:t>
      </w:r>
    </w:p>
    <w:p>
      <w:pPr>
        <w:sectPr>
          <w:pgSz w:w="11906" w:h="16838"/>
          <w:pgMar w:top="850" w:right="935" w:bottom="850" w:left="935" w:header="369" w:footer="369" w:gutter="0"/>
          <w:cols w:space="720"/>
          <w:docGrid w:linePitch="360"/>
        </w:sectPr>
      </w:pPr>
    </w:p>
    <w:p>
      <w:pPr>
        <w:pStyle w:val="Heading2"/>
      </w:pPr>
      <w:r>
        <w:t>5. 三类授权、紧急处理与恢复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28421" cy="5364000"/>
            <wp:docPr id="3" name="Picture 3" descr="03_authority_emergency.mmd 既有逻辑预览，文字与Mermaid为开发依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hority_emerg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8421" cy="5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预览沿用此前逻辑图（图内 v1.0）；本轮可编辑图源：docs/diagrams/03_authority_emergency.mmd。不是运行结果。</w:t>
      </w:r>
    </w:p>
    <w:p>
      <w:pPr>
        <w:sectPr>
          <w:pgSz w:w="16838" w:h="11906" w:orient="landscape"/>
          <w:pgMar w:top="850" w:right="935" w:bottom="850" w:left="935" w:header="369" w:footer="369" w:gutter="0"/>
          <w:cols w:space="720"/>
          <w:docGrid w:linePitch="360"/>
        </w:sectPr>
      </w:pPr>
    </w:p>
    <w:p>
      <w:r>
        <w:t>可编辑图源：03_authority_emergency.mmd；既有预览。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4252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授权类型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可以做什么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不包含什么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用户单次具体确认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对明确对象执行清理、新修复或敏感变更，显示影响与恢复范围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运行时增加删除对象、改其他账号或项目、临时换未知出口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首次确认的常规维护范围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按约定更新订阅、规则、资源和支持的已验证恢复，不反复弹窗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40" w:before="40" w:line="269" w:lineRule="auto"/>
            </w:pPr>
            <w:r>
              <w:rPr>
                <w:sz w:val="18"/>
              </w:rPr>
              <w:t>最终出口 A、地区、保护边界的未经批准变更；任意系统脚本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首次确认的紧急保护范围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当前 WRONG_ROUTE 或关键保护失效时，客户端立即阻断相关受控连接并验证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等待模型决定；用关 TUN／停止内核本身替代有效阻断；任意扩大影响</w:t>
            </w:r>
          </w:p>
        </w:tc>
      </w:tr>
    </w:tbl>
    <w:p>
      <w:pPr>
        <w:spacing w:after="20"/>
      </w:pPr>
    </w:p>
    <w:p>
      <w:r>
        <w:t>执行能力相同，不代表三类权限相同；应急不得被普通扫描、AI 任务、日报或上报串行等待。这里规定优先关系，不指定未验证的线程、队列或 IPC 实现。</w:t>
      </w:r>
    </w:p>
    <w:p>
      <w:r>
        <w:t>应急时先保护，通知、记录和后台上报不能阻塞保护。记录指令请求与实际生效差异；失败醒目报告。后台修正模板或资源，客户端应用后经 FD-02 复查，且授权、额度与资源仍有效才恢复。</w:t>
      </w:r>
    </w:p>
    <w:p>
      <w:r>
        <w:t>旧日志回放只提供证据和报告，不直接整改当前网络。历史 WRONG_ROUTE 即使当天修好，也仍计入窗口 FAIL，不改写既有报告。[FD-04 §5—6]</w:t>
      </w:r>
    </w:p>
    <w:p>
      <w:pPr>
        <w:sectPr>
          <w:pgSz w:w="11906" w:h="16838"/>
          <w:pgMar w:top="850" w:right="935" w:bottom="850" w:left="935" w:header="369" w:footer="369" w:gutter="0"/>
          <w:cols w:space="720"/>
          <w:docGrid w:linePitch="360"/>
        </w:sectPr>
      </w:pPr>
    </w:p>
    <w:p>
      <w:pPr>
        <w:pStyle w:val="Heading2"/>
      </w:pPr>
      <w:r>
        <w:t>6. 监测、归档与日报数据流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95044" cy="5364000"/>
            <wp:docPr id="4" name="Picture 4" descr="04_audit_dataflow.mmd 既有逻辑预览，文字与Mermaid为开发依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udit_data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95044" cy="5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预览沿用此前逻辑图（图内 v1.0）；本轮可编辑图源：docs/diagrams/04_audit_dataflow.mmd。不是运行结果。</w:t>
      </w:r>
    </w:p>
    <w:p>
      <w:pPr>
        <w:sectPr>
          <w:pgSz w:w="16838" w:h="11906" w:orient="landscape"/>
          <w:pgMar w:top="850" w:right="935" w:bottom="850" w:left="935" w:header="369" w:footer="369" w:gutter="0"/>
          <w:cols w:space="720"/>
          <w:docGrid w:linePitch="360"/>
        </w:sectPr>
      </w:pPr>
    </w:p>
    <w:p>
      <w:r>
        <w:t>可编辑图源：04_audit_dataflow.mmd；既有预览。</w:t>
      </w:r>
    </w:p>
    <w:p>
      <w:pPr>
        <w:pStyle w:val="Heading3"/>
      </w:pPr>
      <w:r>
        <w:t>6.1 频率与权限不能混合</w:t>
      </w:r>
    </w:p>
    <w:p>
      <w:r>
        <w:t>实时保护持续运行；每两小时是日志归档节奏，不是响应时限；America/Los_Angeles 当地 09:00 后首次可用唤醒执行到期审计，不承诺准点。休眠、未唤醒、缺采如实记录。</w:t>
      </w:r>
    </w:p>
    <w:p>
      <w:r>
        <w:t>归档／审计只读生产源，不改网、不启动客户端、不发网络请求、不造故障演练、不删文件、不复制认证材料；写合规归档及日报是其允许产出。后台上报和主动复测由其他已授权职责完成。</w:t>
      </w:r>
    </w:p>
    <w:p>
      <w:pPr>
        <w:pStyle w:val="Heading3"/>
      </w:pPr>
      <w:r>
        <w:t>6.2 一个版本化分类器</w:t>
      </w:r>
    </w:p>
    <w:p>
      <w:r>
        <w:t>实际进程或目标域名字段决定范围；域名按完整域名及子域匹配，不从整行猜归属。第三方日志端点需相关进程上下文。旧 classification_version=2 保留原口径，产品按事件时用户、环境、方案与 A/B 映射使用明示的新版本。</w:t>
      </w:r>
    </w:p>
    <w:p>
      <w:r>
        <w:t>PASS_ROUTE、SAFE_REJECT、WRONG_ROUTE、ROUTE_ERROR 分开，正确固定链上的错误拨号不能计通过。选中路线不等于应用层成功，日志缺口不等于已泄漏或无流量。沿用既有脚本语义，但本包没有获得或执行原脚本，不虚构源码已经复用。[FD-04 §5]</w:t>
      </w:r>
    </w:p>
    <w:p>
      <w:pPr>
        <w:pStyle w:val="Heading3"/>
      </w:pPr>
      <w:r>
        <w:t>6.3 统一日报，不回写历史</w:t>
      </w:r>
    </w:p>
    <w:p>
      <w:r>
        <w:t>窗口起点为上一份完整有效报告的 window_end；没有则最近 24 小时。窗口左闭右开，使用文件哈希和规范化记录去重；不能累加每次归档可见记录数。</w:t>
      </w:r>
    </w:p>
    <w:p>
      <w:r>
        <w:t>同一结构化结果生成 daily-audit.md 与 daily-audit.json，含流量／配额、路由、应急、证据与待办。两份完整非空后当日不重复，FAIL 和监控不完整也算交付；部分缺件优先补齐有效报告，不覆盖原文，不伪造漏跑日期。</w:t>
      </w:r>
    </w:p>
    <w:p>
      <w:r>
        <w:t>用量来自字节采集与服务端配额快照，不从日志条数估 GB；本机、其他获准设备、出口角色、统计窗口不同需明确说明。route_result、coverage_status、delivery_status、protection_status 分开，已有 FAIL 不被覆盖不足掩盖。[FD-04 §4、§7—9]</w:t>
      </w:r>
    </w:p>
    <w:p>
      <w:pPr>
        <w:pStyle w:val="Heading2"/>
      </w:pPr>
      <w:r>
        <w:t>7. 数据责任与唯一权威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4252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谁负责形成或维护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其他部分怎样使用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用户选择的账号状态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用户对已识别账号的明确回答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FD-01 决定推荐清理；不写成服务端账号健康检测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后台分配与模板版本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FD-03 管理后台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客户端保留分配引用，不能把第一次看到的出口当正确基准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本机实际生效状态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FD-03 本机适配及真实回读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FD-02 验证、FD-04 监测；期望与实际分开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生产配置修改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同一受管配置及执行关系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检测页、方案页、应急共用；不互相覆盖副本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用户月度配额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可控服务端／支持按用户控制的上游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客户端显示来源及同步时间；本机恢复不能回滚账目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本机流量及路由事实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采集器与事件时版本化分类器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报告与 AI 引用，不把 A 的全部用量等同 Claude 用量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历史归档和日报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只读归档／回放／生成职责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不覆盖历史；活动证据不被普通清理删除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AI 诊断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标准化证据基础上的分析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是原因与建议，不是写入权限、实测值或计数权威</w:t>
            </w:r>
          </w:p>
        </w:tc>
      </w:tr>
    </w:tbl>
    <w:p>
      <w:pPr>
        <w:spacing w:after="20"/>
      </w:pPr>
    </w:p>
    <w:p>
      <w:r>
        <w:t>所列为数据责任，不要求一项一个数据库。物理表结构、持久化技术和传输格式在对应实现前确定。[FD-02 §5；FD-03 §4、§7；FD-04 §9—10]</w:t>
      </w:r>
    </w:p>
    <w:p>
      <w:pPr>
        <w:pStyle w:val="Heading2"/>
      </w:pPr>
      <w:r>
        <w:t>8. 模块之间如何交接</w:t>
      </w:r>
    </w:p>
    <w:p>
      <w:r>
        <w:t>FD-01 和 FD-02 对同一代理字段发现问题时，关联同一原因与对象，不重复扣分、执行或改写项目配置。归属判断与当前受管配置先核对。</w:t>
      </w:r>
    </w:p>
    <w:p>
      <w:r>
        <w:t>FD-02 的修复方案调用 FD-03 同一受管入口，完成后用实际对象复查；FD-04 紧急保护调用同一能力但使用既定应急授权。FD-03 后台发布只产生候选版本与分配，客户端适配、应用和复查后才反馈完成。</w:t>
      </w:r>
    </w:p>
    <w:p>
      <w:r>
        <w:t>后续实施需要的输入／输出、最低信息族和失败结果见 逻辑接口。该文件不是冻结 REST API 或 JSON Schema；没有选择协议时不生成假接口。</w:t>
      </w:r>
    </w:p>
    <w:p>
      <w:pPr>
        <w:pStyle w:val="Heading2"/>
      </w:pPr>
      <w:r>
        <w:t>9. 本地、后台和外部服务边界</w:t>
      </w:r>
    </w:p>
    <w:p>
      <w:r>
        <w:t>秘密在必要执行范围内使用，不进入普通结果、模型输入或公开仓库。完整访问明细、日志与日报默认留本地；后台按授权只接收汇总和最小事件，额外排障包须再次授权并脱敏。</w:t>
      </w:r>
    </w:p>
    <w:p>
      <w:r>
        <w:t>扫描探测、模型调用、管理后台通信都必须遵守当前批准的网络路径。网络故障不能为上报开启未知直连；本地保护、归档和标准审计不等待后台。配置缓存只能用于仍有效且获授权的资源，不能绕过配额或撤销。</w:t>
      </w:r>
    </w:p>
    <w:p>
      <w:r>
        <w:t>只读不等于无数据暴露。含秘密的源日志不原样复制到普通 raw；支持的脱敏派生件另计哈希，不冒充原始字节一致。详见 安全边界。</w:t>
      </w:r>
    </w:p>
    <w:p>
      <w:pPr>
        <w:pStyle w:val="Heading2"/>
      </w:pPr>
      <w:r>
        <w:t>10. 首版不由架构图额外引入什么</w:t>
      </w:r>
    </w:p>
    <w:p>
      <w:r>
        <w:t>没有第五个隔离运行组件；没有第二个代理网关、配额账本、审计分类器或无限权限 Agent；没有为了将来扩展而必建的微服务总线。</w:t>
      </w:r>
    </w:p>
    <w:p>
      <w:r>
        <w:t>不指定 Electron、Tauri、Wails、Node.js、Python、Rust、SQLite 或任何数据库为已选方案；不指定确切 Windows 版本支持，不写开发周数。候选和待定事项见 实施计划 与 待定决策。</w:t>
      </w:r>
    </w:p>
    <w:p>
      <w:pPr>
        <w:pStyle w:val="Heading2"/>
      </w:pPr>
      <w:r>
        <w:t>11. 使用这些图进行开发</w:t>
      </w:r>
    </w:p>
    <w:p>
      <w:r>
        <w:t>先读对应文字条款和 FD，再读图。图用来定位责任和连线，不能替代字段粒度、授权与验收。新增代码结构要逐项对应已有职责；当前包只包含文档及文档校验工具，不包含产品实现。</w:t>
      </w:r>
    </w:p>
    <w:p>
      <w:r>
        <w:t>首版能否完成，按 综合验收 和原 FD 场景判断。图画齐、接口写出或模型报告流畅，都不能单独算功能完成。</w:t>
      </w:r>
    </w:p>
    <w:p>
      <w:pPr>
        <w:pStyle w:val="Subtitle"/>
        <w:pageBreakBefore/>
      </w:pPr>
      <w:r>
        <w:t>第三部分 / SCOPE</w:t>
      </w:r>
    </w:p>
    <w:p>
      <w:pPr>
        <w:pStyle w:val="Heading1"/>
      </w:pPr>
      <w:r>
        <w:t>首版范围裁定与跨文档衔接</w:t>
      </w:r>
    </w:p>
    <w:p>
      <w:pPr>
        <w:ind w:left="142"/>
      </w:pPr>
      <w:r>
        <w:rPr>
          <w:color w:val="637286"/>
          <w:sz w:val="18"/>
        </w:rPr>
        <w:t>SCOPE-01 · v1.1 · 2026-09-12。记录已确认的范围决定和后续局部修订；不修改原始 FD 文件，不新增功能模块。</w:t>
      </w:r>
    </w:p>
    <w:p>
      <w:pPr>
        <w:pStyle w:val="Heading2"/>
      </w:pPr>
      <w:r>
        <w:t>1. 最后确认的范围</w:t>
      </w:r>
    </w:p>
    <w:p>
      <w:r>
        <w:t>首版以本机环境为主，建设 FD-01—04。隔离工作台、新建 WSL、Docker、完整虚拟机、独立浏览器引擎从首版交付前置中移出。不能为了模块数量完整，另造“轻量沙盒”把同样工作放回来。</w:t>
      </w:r>
    </w:p>
    <w:p>
      <w:r>
        <w:t>已存在的 WSL 或容器不等于被删除或被默认接管。保留发现、区分及支持边界提示；在确实支持并验证的范围内处理。不承诺首版全平台、全版本、全机覆盖。</w:t>
      </w:r>
    </w:p>
    <w:p>
      <w:r>
        <w:t>依据：用户认可“不上隔离的首版范围”后要求补项目文件。FD-02 §5.4 原先已将虚拟化类型与新建环境留待决定。</w:t>
      </w:r>
    </w:p>
    <w:p>
      <w:pPr>
        <w:pStyle w:val="Heading2"/>
      </w:pPr>
      <w:r>
        <w:t>2. 交付包含与后置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4252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本地文件检测、推荐清理、项目保护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首版范围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完整规则见 FD-01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网络／浏览器检测、确认后处理、复查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首版范围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完整规则见 FD-02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内置 Clash、后台托管、三方案、配额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首版范围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完整规则见 FD-03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实时保护、归档、统一日报及最小上报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首版范围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完整规则见 FD-04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已有环境识别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按声明范围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发现不等于已能保护；未支持项显示缺口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隔离工作台及环境创建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后置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无首版运行依赖、验收前置或开发占位要求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独立浏览器引擎分发和维护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后置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使用现有支持浏览器；不因截图出现而复刻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任意远控、账号池、风控预测与解封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不建设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沿用四模块边界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商城、支付和多级代理体系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非首版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配额不是商业计费全平台</w:t>
            </w:r>
          </w:p>
        </w:tc>
      </w:tr>
    </w:tbl>
    <w:p>
      <w:pPr>
        <w:spacing w:after="20"/>
      </w:pPr>
    </w:p>
    <w:p>
      <w:pPr>
        <w:pStyle w:val="Heading2"/>
      </w:pPr>
      <w:r>
        <w:t>3. 已生效的局部修订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005"/>
        <w:gridCol w:w="3231"/>
        <w:gridCol w:w="2268"/>
      </w:tblGrid>
      <w:tr>
        <w:trPr>
          <w:cantSplit/>
          <w:tblHeader w:val="true"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早期表述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后续有效规定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17324D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D01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原来提出五个板块，包括隔离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首版只交付前四模块；隔离后置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本轮用户最后确认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D02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用户自己导入订阅、填代理、自由编辑规则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后台按用户托管；普通用户只选择方案及管理日常直连白名单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FD-03 §1.3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D03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所有网络修改每次都重新确认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单次修复仍具体确认；已授权范围内常规维护自动执行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FD-03 §9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D04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监控只告警、不整改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只读归档审计不变；客户端新增预授权的即时保护，使用原受管执行能力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FD-04 §1.3、§6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D05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一般日志可推荐清理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活动日志、当前审计窗口证据、已生成日报不进普通默认清理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FD-04 §10.4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D06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每日“完整成功报告”可能被理解为 PASS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指完整有效交付；FAIL 和 MONITORING_INCOMPLETE 也推进窗口；覆盖缺口仍保留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FD-04 §8.3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D07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原监控用个人固定组名和 Chrome 全量范围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旧 v2 原样保留；产品按事件时方案、来源范围与新版本映射，不重写历史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0F5F8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FD-04 §5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D08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海报出现特定技术栈、工期、进行中状态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均不是批准依据；技术栈、供应商、排期和实施状态待证据确认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sz w:val="18"/>
              </w:rPr>
              <w:t>本次文档化纠偏</w:t>
            </w:r>
          </w:p>
        </w:tc>
      </w:tr>
    </w:tbl>
    <w:p>
      <w:pPr>
        <w:spacing w:after="20"/>
      </w:pPr>
    </w:p>
    <w:p>
      <w:r>
        <w:t>不是“编号最大的文档无条件覆盖全部早期文档”。只按上表和原 FD 已明示的修改范围处理；其他冲突未获裁定时保留为待定，不自行解释。</w:t>
      </w:r>
    </w:p>
    <w:p>
      <w:pPr>
        <w:pStyle w:val="Heading2"/>
      </w:pPr>
      <w:r>
        <w:t>4. 仍保留的保护与验证</w:t>
      </w:r>
    </w:p>
    <w:p>
      <w:r>
        <w:t>不做隔离不等于降低本机安全要求。保留项目三类资料和正常登录，保持固定出口、服务端限额、客户端紧急保护、真实客户端复查和完整报告边界。也不能把本机网络保护宣传成隔离所有文件与进程的安全沙箱。</w:t>
      </w:r>
    </w:p>
    <w:p>
      <w:r>
        <w:t>用户选择清理与修复的决定权、后台范围内维护、客户端预授权应急，是三类作用不同的权限；隔离后置不会放宽任何一种。</w:t>
      </w:r>
    </w:p>
    <w:p>
      <w:pPr>
        <w:pStyle w:val="Heading2"/>
      </w:pPr>
      <w:r>
        <w:t>5. 图片与文档的关系</w:t>
      </w:r>
    </w:p>
    <w:p>
      <w:r>
        <w:t>上轮生成海报仅用于形象说明，不作为需求、技术选型或排期来源。本包引用的四张既有逻辑图是辅助预览，Mermaid 和文字条款提供可检索定义。图中一个框不是一个必须部署的服务。</w:t>
      </w:r>
    </w:p>
    <w:p>
      <w:r>
        <w:t>禁止将图片中的“已完成”解释成产品代码通过验收；原四份功能文档的完成，是文档编写状态。没有实际运行证据，不写“已经接入供应商”“完整支持某系统”或“全机零泄漏”。</w:t>
      </w:r>
    </w:p>
    <w:p>
      <w:pPr>
        <w:pStyle w:val="Heading2"/>
      </w:pPr>
      <w:r>
        <w:t>6. 范围变更方式</w:t>
      </w:r>
    </w:p>
    <w:p>
      <w:r>
        <w:t>以后确需增加隔离、扩大后台数据范围、改变用户可编辑权限或修改保护条件，先形成明确需求和影响说明，再更新相关文档及验收。不能以修复、优化或预留扩展之名静默增加。</w:t>
      </w:r>
    </w:p>
    <w:p>
      <w:pPr>
        <w:pStyle w:val="Subtitle"/>
        <w:pageBreakBefore/>
      </w:pPr>
      <w:r>
        <w:t>第四部分 / AI HANDOFF</w:t>
      </w:r>
    </w:p>
    <w:p>
      <w:pPr>
        <w:pStyle w:val="Heading1"/>
      </w:pPr>
      <w:r>
        <w:t>AI 开发与评审入口</w:t>
      </w:r>
    </w:p>
    <w:p>
      <w:pPr>
        <w:ind w:left="142"/>
      </w:pPr>
      <w:r>
        <w:rPr>
          <w:color w:val="637286"/>
          <w:sz w:val="18"/>
        </w:rPr>
        <w:t>此文件是项目交接索引和已确认约束的摘录，不创建新的控制平台。当前交付只有文档，不能据此报告软件已开发。</w:t>
      </w:r>
    </w:p>
    <w:p>
      <w:pPr>
        <w:pStyle w:val="Heading2"/>
      </w:pPr>
      <w:r>
        <w:t>先读什么</w:t>
      </w:r>
    </w:p>
    <w:p>
      <w:r>
        <w:t>先读 README、首版范围、ARCHITECTURE。然后按具体任务读取 模块索引 所列 FD 的完整相关章节与验收场景；不要只看摘要或海报开始实施。</w:t>
      </w:r>
    </w:p>
    <w:p>
      <w:r>
        <w:t xml:space="preserve">任务必须写清所引用的编号，例如 </w:t>
      </w:r>
      <w:r>
        <w:rPr>
          <w:rFonts w:ascii="Consolas" w:hAnsi="Consolas" w:eastAsia="Noto Sans CJK SC"/>
          <w:sz w:val="18"/>
        </w:rPr>
        <w:t>FD-02/N18</w:t>
      </w:r>
      <w:r>
        <w:t>、</w:t>
      </w:r>
      <w:r>
        <w:rPr>
          <w:rFonts w:ascii="Consolas" w:hAnsi="Consolas" w:eastAsia="Noto Sans CJK SC"/>
          <w:sz w:val="18"/>
        </w:rPr>
        <w:t>FD-03/F29</w:t>
      </w:r>
      <w:r>
        <w:t>、</w:t>
      </w:r>
      <w:r>
        <w:rPr>
          <w:rFonts w:ascii="Consolas" w:hAnsi="Consolas" w:eastAsia="Noto Sans CJK SC"/>
          <w:sz w:val="18"/>
        </w:rPr>
        <w:t>FD-04/A01</w:t>
      </w:r>
      <w:r>
        <w:t>。FD-02 的功能前缀是 N，其他三个模块是 F；不要重新编号原文。</w:t>
      </w:r>
    </w:p>
    <w:p>
      <w:pPr>
        <w:pStyle w:val="Heading2"/>
      </w:pPr>
      <w:r>
        <w:t>不得擅自改变的内容</w:t>
      </w:r>
    </w:p>
    <w:p>
      <w:pPr>
        <w:pStyle w:val="ListNumber"/>
      </w:pPr>
      <w:r>
        <w:t>首版不建隔离工作台、不要求安装 WSL／Docker、不新增独立浏览器引擎；已有环境按声明范围识别。</w:t>
      </w:r>
    </w:p>
    <w:p>
      <w:pPr>
        <w:pStyle w:val="ListNumber"/>
      </w:pPr>
      <w:r>
        <w:t>没有聊天框；AI 只读诊断、请求授权范围内的补充检查、提供建议，不持任意终端或直接系统写权限。</w:t>
      </w:r>
    </w:p>
    <w:p>
      <w:pPr>
        <w:pStyle w:val="ListNumber"/>
      </w:pPr>
      <w:r>
        <w:t>Clash 在应用内。后台托管方案、资源与配额，普通用户不填写订阅和代理参数；自助编辑范围是日常直连白名单。</w:t>
      </w:r>
    </w:p>
    <w:p>
      <w:pPr>
        <w:pStyle w:val="ListNumber"/>
      </w:pPr>
      <w:r>
        <w:t>日常单 IP、Claude 单 IP、Claude 双 IP 三套方案不改语义。Claude 用 A，双 IP 的其他流量用 B，不轮换。</w:t>
      </w:r>
    </w:p>
    <w:p>
      <w:pPr>
        <w:pStyle w:val="ListNumber"/>
      </w:pPr>
      <w:r>
        <w:t>同一套受管配置、同一个配额权威来源、同一个声明版本的路由分类器。不按模块另建配置副本、账本或过滤器。</w:t>
      </w:r>
    </w:p>
    <w:p>
      <w:pPr>
        <w:pStyle w:val="ListNumber"/>
      </w:pPr>
      <w:r>
        <w:t>单次具体确认、首次范围授权的常规维护、预授权紧急保护，是三种不同授权。扫描和审计不是任意写入许可。</w:t>
      </w:r>
    </w:p>
    <w:p>
      <w:pPr>
        <w:pStyle w:val="ListNumber"/>
      </w:pPr>
      <w:r>
        <w:t>当前 WRONG_ROUTE 或关键保护失效，由客户端程序立即按预授权保护，不等待 AI、后台、两小时归档或日报；动作与生效结果分开。</w:t>
      </w:r>
    </w:p>
    <w:p>
      <w:pPr>
        <w:pStyle w:val="ListNumber"/>
      </w:pPr>
      <w:r>
        <w:t>项目记录、项目记忆和项目配置保留。正常账号资料按用户回答保留，受限账号资料识别后由用户确认处理；不自动裁定风控。</w:t>
      </w:r>
    </w:p>
    <w:p>
      <w:pPr>
        <w:pStyle w:val="ListNumber"/>
      </w:pPr>
      <w:r>
        <w:t>配额由服务端执行；本机重装、模式切换或恢复不能重置账目。超额、故障和上报失败均不能用未知直连解围。</w:t>
      </w:r>
    </w:p>
    <w:p>
      <w:pPr>
        <w:pStyle w:val="ListNumber"/>
      </w:pPr>
      <w:r>
        <w:t>每两小时归档；America/Los_Angeles 09:00 后首个可用唤醒补日报。非 PASS 也算交付；窗口、去重、旧 v2 分类及历史不改写规则遵守 FD-04。</w:t>
      </w:r>
    </w:p>
    <w:p>
      <w:pPr>
        <w:pStyle w:val="ListNumber"/>
      </w:pPr>
      <w:r>
        <w:t>监控在用日志、当前审计窗口证据、已生成日报不进入普通默认清理；归档／审计本身不联网、不造测试流量、不改网、不删文件。</w:t>
      </w:r>
    </w:p>
    <w:p>
      <w:pPr>
        <w:pStyle w:val="ListNumber"/>
      </w:pPr>
      <w:r>
        <w:t>日报明细默认留本地；后台只收用量汇总和最小事件。秘密不进入模型、普通报告或公开仓库。</w:t>
      </w:r>
    </w:p>
    <w:p>
      <w:pPr>
        <w:pStyle w:val="Heading2"/>
      </w:pPr>
      <w:r>
        <w:t>实施纪律</w:t>
      </w:r>
    </w:p>
    <w:p>
      <w:pPr>
        <w:pStyle w:val="ListBullet"/>
      </w:pPr>
      <w:r>
        <w:t>关键歧义会改变需求、授权、计量或验收时，先说明未知并澄清。不得猜测后一路自洽推进。</w:t>
      </w:r>
    </w:p>
    <w:p>
      <w:pPr>
        <w:pStyle w:val="ListBullet"/>
      </w:pPr>
      <w:r>
        <w:t>优先复用现成可用能力；采用前核对固定版本、许可与实际行为。不照搬上游的默认风险分或破坏性操作。</w:t>
      </w:r>
    </w:p>
    <w:p>
      <w:pPr>
        <w:pStyle w:val="ListBullet"/>
      </w:pPr>
      <w:r>
        <w:t>技术栈、供应商、API 路径、数据库和工期见待定决策，不从图片或偏好补成已定结论。</w:t>
      </w:r>
    </w:p>
    <w:p>
      <w:pPr>
        <w:pStyle w:val="ListBullet"/>
      </w:pPr>
      <w:r>
        <w:t>先实现可验证的小闭环，再扩大范围；不为预留扩展先造微服务、多级总线或万能 Agent。</w:t>
      </w:r>
    </w:p>
    <w:p>
      <w:pPr>
        <w:pStyle w:val="ListBullet"/>
      </w:pPr>
      <w:r>
        <w:t>只修改本任务涉及的原文和实现；提出需求变更必须显式说明，不用测试代码偷偷改变行为。</w:t>
      </w:r>
    </w:p>
    <w:p>
      <w:pPr>
        <w:pStyle w:val="ListBullet"/>
      </w:pPr>
      <w:r>
        <w:t>读到已有项目仓库时，以实际代码与运行证据核对现状。本包“未实施证明”不等于断言外部没有任何代码。</w:t>
      </w:r>
    </w:p>
    <w:p>
      <w:pPr>
        <w:pStyle w:val="Heading2"/>
      </w:pPr>
      <w:r>
        <w:t>每次交接保留四项</w:t>
      </w:r>
    </w:p>
    <w:p>
      <w:r>
        <w:t>本次涉及的 FD 编号；实际修改和未修改范围；运行了哪些检查及结果；仍未决定或未验证的条件。示例和计划不得记成测试 PASS。</w:t>
      </w:r>
    </w:p>
    <w:p>
      <w:r>
        <w:t>评审只按可复现失败、明确违约或真实风险指出 BLOCK／MAJOR／MINOR；不以极端猜测无限增加要求。停止条件是本任务必要项关闭、验收可说明，未解决事项如实记录。</w:t>
      </w:r>
    </w:p>
    <w:p>
      <w:pPr>
        <w:pStyle w:val="Heading2"/>
      </w:pPr>
      <w:r>
        <w:t>详细材料</w:t>
      </w:r>
    </w:p>
    <w:p>
      <w:r>
        <w:t>逻辑接口 · 综合验收 · 待定决策 · 安全边界</w:t>
      </w:r>
    </w:p>
    <w:sectPr w:rsidR="00FC693F" w:rsidRPr="0006063C" w:rsidSect="00034616">
      <w:pgSz w:w="11906" w:h="16838"/>
      <w:pgMar w:top="850" w:right="935" w:bottom="850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开发阅读版  v1.1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CLAUDE 环境管理  /  项目说明与逻辑架构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Calibri" w:hAnsi="Calibri" w:eastAsia="Noto Sans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Noto Sans CJK SC"/>
      <w:b w:val="0"/>
      <w:color w:val="637286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Noto Sans CJK SC"/>
      <w:b w:val="0"/>
      <w:color w:val="637286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7324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40"/>
    </w:pPr>
    <w:rPr>
      <w:rFonts w:asciiTheme="majorHAnsi" w:eastAsiaTheme="majorEastAsia" w:hAnsiTheme="majorHAnsi" w:cstheme="majorBidi" w:ascii="Calibri" w:hAnsi="Calibri" w:eastAsia="Noto Sans CJK SC"/>
      <w:b w:val="0"/>
      <w:i/>
      <w:iCs/>
      <w:color w:val="63728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Calibri" w:hAnsi="Calibri" w:eastAsia="Noto Sans CJK SC"/>
      <w:b w:val="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Noto Sans CJK S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Noto Sans CJK S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Noto Sans CJK SC"/>
      <w:b w:val="0"/>
      <w:bCs/>
      <w:color w:val="63728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环境管理应用｜项目说明与系统架构</dc:title>
  <dc:subject>四模块首版；Markdown 为主；逻辑架构及范围裁定</dc:subject>
  <dc:creator/>
  <cp:keywords>FD-01, FD-02, FD-03, FD-04, ARCH-00, SCOPE-01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