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pPr>
      <w:r>
        <w:rPr>
          <w:sz w:val="50"/>
        </w:rPr>
        <w:t>内置 Clash</w:t>
        <w:br/>
      </w:r>
      <w:r>
        <w:rPr>
          <w:sz w:val="50"/>
        </w:rPr>
        <w:t>托管网络方案与用户流量配额管理</w:t>
      </w:r>
    </w:p>
    <w:p>
      <w:pPr>
        <w:pStyle w:val="Subtitle"/>
      </w:pPr>
      <w:r>
        <w:rPr>
          <w:b w:val="0"/>
          <w:i w:val="0"/>
        </w:rPr>
        <w:t>功能需求文档 · 03 · v1.0</w:t>
      </w:r>
    </w:p>
    <w:tbl>
      <w:tblPr>
        <w:tblW w:type="dxa" w:w="9582"/>
        <w:jc w:val="center"/>
        <w:tblLayout w:type="fixed"/>
        <w:tblLook w:firstColumn="1" w:firstRow="1" w:lastColumn="0" w:lastRow="0" w:noHBand="0" w:noVBand="1" w:val="04A0"/>
        <w:tblBorders>
          <w:top w:val="single" w:sz="4" w:color="DCE4E8"/>
          <w:left w:val="single" w:sz="4" w:color="DCE4E8"/>
          <w:bottom w:val="single" w:sz="4" w:color="DCE4E8"/>
          <w:right w:val="single" w:sz="4" w:color="DCE4E8"/>
          <w:insideH w:val="single" w:sz="4" w:color="DCE4E8"/>
          <w:insideV w:val="single" w:sz="4" w:color="DCE4E8"/>
        </w:tblBorders>
      </w:tblPr>
      <w:tblGrid>
        <w:gridCol w:w="2300"/>
        <w:gridCol w:w="7282"/>
      </w:tblGrid>
      <w:tr>
        <w:trPr>
          <w:cantSplit/>
          <w:tblHeader/>
        </w:trPr>
        <w:tc>
          <w:tcPr>
            <w:tcW w:type="dxa" w:w="2300"/>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文档属性</w:t>
            </w:r>
          </w:p>
        </w:tc>
        <w:tc>
          <w:tcPr>
            <w:tcW w:type="dxa" w:w="7282"/>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内容</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所属产品</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Claude 环境管理应用（产品名称未定）</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文档编号</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FD-03</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整理日期</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2026-09-12</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版本性质</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按本轮已确认讨论整理的第一版功能需求基线；不代表已开发、接入供应商或通过验收</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本份范围</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应用内置 Clash、三套托管网络方案、按用户分配资源、日常直连白名单、自动更新、月度流量计量与限额</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关键前提</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方案和网络资源由我们在后台配置；用户不填写订阅、代理参数或规则，只选择并启用可用方案</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关联文档</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FD-01 本地文件环境检测与清理；FD-02 网络与浏览器环境检测、诊断及优化</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交付用途</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产品设计、开发拆解、评审和验收依据；不是可执行网络配置、供应商合同或实际运行报告</w:t>
            </w:r>
          </w:p>
        </w:tc>
      </w:tr>
    </w:tbl>
    <w:p>
      <w:pPr>
        <w:keepNext w:val="0"/>
        <w:spacing w:before="0" w:after="0" w:line="240" w:lineRule="auto"/>
      </w:pPr>
      <w:r>
        <w:rPr>
          <w:sz w:val="6"/>
        </w:rPr>
      </w:r>
    </w:p>
    <w:p>
      <w:pPr>
        <w:spacing w:after="120"/>
      </w:pPr>
      <w:r>
        <w:rPr>
          <w:b w:val="0"/>
          <w:i w:val="0"/>
          <w:sz w:val="20"/>
        </w:rPr>
      </w:r>
      <w:r>
        <w:rPr>
          <w:b/>
          <w:i w:val="0"/>
          <w:sz w:val="20"/>
        </w:rPr>
        <w:t>一句话定义</w:t>
      </w:r>
      <w:r>
        <w:rPr>
          <w:b w:val="0"/>
          <w:i w:val="0"/>
          <w:sz w:val="20"/>
        </w:rPr>
        <w:t>：后台按用户配置机场订阅、前置代理和单／双固定出口，并统一维护规则与月度流量额度；客户端内置 Clash，用户一键启用或切换方案，按需管理日常直连白名单，应用完成配置、验证、更新与恢复。</w:t>
      </w:r>
    </w:p>
    <w:p>
      <w:pPr>
        <w:spacing w:after="120"/>
      </w:pPr>
      <w:r>
        <w:rPr>
          <w:b w:val="0"/>
          <w:i w:val="0"/>
          <w:sz w:val="20"/>
        </w:rPr>
      </w:r>
      <w:r>
        <w:rPr>
          <w:b/>
          <w:i w:val="0"/>
          <w:sz w:val="20"/>
        </w:rPr>
        <w:t>用户主流程</w:t>
      </w:r>
      <w:r>
        <w:rPr>
          <w:b w:val="0"/>
          <w:i w:val="0"/>
          <w:sz w:val="20"/>
        </w:rPr>
        <w:t>：取得已分配方案 → 查看推荐及影响 → 启用或切换 → 自动验证 → 日常使用 → 查看用量与异常 → 按条件恢复。</w:t>
      </w:r>
    </w:p>
    <w:p>
      <w:pPr>
        <w:spacing w:after="120"/>
      </w:pPr>
      <w:r>
        <w:rPr>
          <w:b w:val="0"/>
          <w:i w:val="0"/>
          <w:sz w:val="20"/>
        </w:rPr>
      </w:r>
      <w:r>
        <w:rPr>
          <w:b/>
          <w:i w:val="0"/>
          <w:sz w:val="20"/>
        </w:rPr>
        <w:t>后台主流程</w:t>
      </w:r>
      <w:r>
        <w:rPr>
          <w:b w:val="0"/>
          <w:i w:val="0"/>
          <w:sz w:val="20"/>
        </w:rPr>
        <w:t>：维护模板和资源 → 按用户分配 → 设置额度与周期 → 验证并发布 → 接收应用与用量状态 → 自动维护或处理异常。</w:t>
      </w:r>
    </w:p>
    <w:p>
      <w:pPr>
        <w:spacing w:after="120"/>
      </w:pPr>
      <w:r>
        <w:rPr>
          <w:b w:val="0"/>
          <w:i w:val="0"/>
          <w:sz w:val="20"/>
        </w:rPr>
      </w:r>
      <w:r>
        <w:rPr>
          <w:b/>
          <w:i w:val="0"/>
          <w:sz w:val="20"/>
        </w:rPr>
        <w:t>阅读约定</w:t>
      </w:r>
      <w:r>
        <w:rPr>
          <w:b w:val="0"/>
          <w:i w:val="0"/>
          <w:sz w:val="20"/>
        </w:rPr>
        <w:t>：本文件以用户最后确认的需求为准。250 GB 是可配置额度的示例，三类 Claude 用户对应关系是本产品推荐策略，不是官方风险分级。具体供应商、计量实现、数值参数与兼容性仍待验证；不得用需求清单冒充已完成能力。</w:t>
      </w:r>
    </w:p>
    <w:p>
      <w:r>
        <w:br w:type="page"/>
      </w:r>
    </w:p>
    <w:p>
      <w:pPr>
        <w:pStyle w:val="Heading1"/>
      </w:pPr>
      <w:r>
        <w:rPr>
          <w:b w:val="0"/>
          <w:i w:val="0"/>
        </w:rPr>
        <w:t>1. 产品目标、边界与文档衔接</w:t>
      </w:r>
    </w:p>
    <w:p>
      <w:pPr>
        <w:pStyle w:val="Heading2"/>
      </w:pPr>
      <w:r>
        <w:rPr>
          <w:b w:val="0"/>
          <w:i w:val="0"/>
        </w:rPr>
        <w:t>1.1 目标</w:t>
      </w:r>
    </w:p>
    <w:p>
      <w:r>
        <w:rPr>
          <w:b w:val="0"/>
          <w:i w:val="0"/>
        </w:rPr>
        <w:t>把网络配置的技术工作集中到管理后台，使普通用户不必理解订阅 URL、前置代理、固定出口、TUN、DNS 或规则语法。用户主要操作是选择方案、启用或切换、查看状态和流量，日常直连白名单是明确开放的自助配置入口。</w:t>
      </w:r>
    </w:p>
    <w:p>
      <w:r>
        <w:rPr>
          <w:b w:val="0"/>
          <w:i w:val="0"/>
        </w:rPr>
        <w:t>本板块既支持首次搭建，也支持正常运行中的方案管理。FD-02 发现问题后可以直接调用同一套能力处理，不要求用户在检测页、代理页和外部 Clash 之间搬运报告或手工重复操作。[U1—U4；FD02 §5]</w:t>
      </w:r>
    </w:p>
    <w:p>
      <w:pPr>
        <w:pStyle w:val="Heading2"/>
      </w:pPr>
      <w:r>
        <w:rPr>
          <w:b w:val="0"/>
          <w:i w:val="0"/>
        </w:rPr>
        <w:t>1.2 包含与不包含</w:t>
      </w:r>
    </w:p>
    <w:tbl>
      <w:tblPr>
        <w:tblW w:type="dxa" w:w="9582"/>
        <w:jc w:val="center"/>
        <w:tblLayout w:type="fixed"/>
        <w:tblLook w:firstColumn="1" w:firstRow="1" w:lastColumn="0" w:lastRow="0" w:noHBand="0" w:noVBand="1" w:val="04A0"/>
        <w:tblBorders>
          <w:top w:val="single" w:sz="4" w:color="DCE4E8"/>
          <w:left w:val="single" w:sz="4" w:color="DCE4E8"/>
          <w:bottom w:val="single" w:sz="4" w:color="DCE4E8"/>
          <w:right w:val="single" w:sz="4" w:color="DCE4E8"/>
          <w:insideH w:val="single" w:sz="4" w:color="DCE4E8"/>
          <w:insideV w:val="single" w:sz="4" w:color="DCE4E8"/>
        </w:tblBorders>
      </w:tblPr>
      <w:tblGrid>
        <w:gridCol w:w="2300"/>
        <w:gridCol w:w="7282"/>
      </w:tblGrid>
      <w:tr>
        <w:trPr>
          <w:cantSplit/>
          <w:tblHeader/>
        </w:trPr>
        <w:tc>
          <w:tcPr>
            <w:tcW w:type="dxa" w:w="2300"/>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范围</w:t>
            </w:r>
          </w:p>
        </w:tc>
        <w:tc>
          <w:tcPr>
            <w:tcW w:type="dxa" w:w="7282"/>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本份规定</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应用内置 Clash</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包含运行状态、方案应用、规则和订阅更新、复查与恢复；不依赖外部 Clash 窗口</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管理后台</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包含模板、订阅、前置代理、出口、用户分配、额度、发布和状态管理</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三套网络方案</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日常单 IP、Claude 专用单 IP、Claude 专用双 IP</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用户直连白名单</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日常模式中允许用户管理；专用模式保存但不启用</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月度代理流量配额</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按应用用户计量、汇总、提示、限额和恢复；不是仅客户端显示</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FD-02 的检测与处理</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共享受管配置、执行能力和复查；不重新建立另一套评分或修复入口</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文件、Cookie、账号资料清理</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继续归 FD-01；切换网络方案不附带清理登录或项目资料</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常驻流量分析与长期行为报告</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本份规定额度所需计量与状态；完整流量监测板块另行定义</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多设备与虚拟环境</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对已支持环境标注作用范围；若允许同一用户多端使用则合并额度，不在此确定设备数或虚拟化产品</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商城、支付、复杂计费与多级代理商</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不因加入额度管理而自动扩展到第一版</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自动识别账号风控、伪装身份、解封</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不建设；本产品账号与 Claude 账号分开，不以切换方案保证解封</w:t>
            </w:r>
          </w:p>
        </w:tc>
      </w:tr>
    </w:tbl>
    <w:p>
      <w:pPr>
        <w:keepNext w:val="0"/>
        <w:spacing w:before="0" w:after="0" w:line="240" w:lineRule="auto"/>
      </w:pPr>
      <w:r>
        <w:rPr>
          <w:sz w:val="6"/>
        </w:rPr>
      </w:r>
    </w:p>
    <w:p>
      <w:r>
        <w:rPr>
          <w:b w:val="0"/>
          <w:i w:val="0"/>
        </w:rPr>
        <w:t>这里的管理后台负责资源与配置托管，必须对接服务端计量及限额能力，但不强制管理后台本身转发用户流量。实际线路是否需要新增受管接入节点，由供应商能力验证决定。</w:t>
      </w:r>
    </w:p>
    <w:p>
      <w:pPr>
        <w:pStyle w:val="Heading2"/>
      </w:pPr>
      <w:r>
        <w:rPr>
          <w:b w:val="0"/>
          <w:i w:val="0"/>
        </w:rPr>
        <w:t>1.3 本份对既有表达的限定与补充</w:t>
      </w:r>
    </w:p>
    <w:tbl>
      <w:tblPr>
        <w:tblW w:type="dxa" w:w="9582"/>
        <w:jc w:val="center"/>
        <w:tblLayout w:type="fixed"/>
        <w:tblLook w:firstColumn="1" w:firstRow="1" w:lastColumn="0" w:lastRow="0" w:noHBand="0" w:noVBand="1" w:val="04A0"/>
        <w:tblBorders>
          <w:top w:val="single" w:sz="4" w:color="DCE4E8"/>
          <w:left w:val="single" w:sz="4" w:color="DCE4E8"/>
          <w:bottom w:val="single" w:sz="4" w:color="DCE4E8"/>
          <w:right w:val="single" w:sz="4" w:color="DCE4E8"/>
          <w:insideH w:val="single" w:sz="4" w:color="DCE4E8"/>
          <w:insideV w:val="single" w:sz="4" w:color="DCE4E8"/>
        </w:tblBorders>
      </w:tblPr>
      <w:tblGrid>
        <w:gridCol w:w="2300"/>
        <w:gridCol w:w="7282"/>
      </w:tblGrid>
      <w:tr>
        <w:trPr>
          <w:cantSplit/>
          <w:tblHeader/>
        </w:trPr>
        <w:tc>
          <w:tcPr>
            <w:tcW w:type="dxa" w:w="2300"/>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既有表达或位置</w:t>
            </w:r>
          </w:p>
        </w:tc>
        <w:tc>
          <w:tcPr>
            <w:tcW w:type="dxa" w:w="7282"/>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本份增量规定</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早期讨论让普通用户导入订阅、填写代理、组合线路</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从普通用户主流程移除；由我们在后台配置和分配</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FD-02 §5.2 提到用户高级规则编辑</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托管方案下不默认开放任意规则／YAML 编辑；第一版明确开放日常直连白名单，其他受管设置由后台维护</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FD-02 §3、§8 的确认后执行</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单次诊断处理仍按确认执行；新增首次启用时对自动维护的范围授权，范围内常规更新不反复弹窗</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早期“后台只发布配置”</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增加对实际代理服务的用户计量、额度和停用能力接入；不能只靠客户端计数限制用量</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固定出口与不得静默回落</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继续有效，并明确适用于额度耗尽、更新失败、方案切换和资源异常</w:t>
            </w:r>
          </w:p>
        </w:tc>
      </w:tr>
    </w:tbl>
    <w:p>
      <w:pPr>
        <w:keepNext w:val="0"/>
        <w:spacing w:before="0" w:after="0" w:line="240" w:lineRule="auto"/>
      </w:pPr>
      <w:r>
        <w:rPr>
          <w:sz w:val="6"/>
        </w:rPr>
      </w:r>
    </w:p>
    <w:p>
      <w:r>
        <w:rPr>
          <w:b w:val="0"/>
          <w:i w:val="0"/>
        </w:rPr>
        <w:t>上述为本轮明确的局部修订，不修改 FD-01／FD-02 原文件。项目保护、无聊天框、用户确认账号状态、诊断证据与实际复查要求继续有效；不得将自动维护授权扩展成任意文件清理或系统改动。[FD01 §2—3、§6；FD02 §2、§5、§8]</w:t>
      </w:r>
    </w:p>
    <w:p>
      <w:pPr>
        <w:pStyle w:val="Heading1"/>
      </w:pPr>
      <w:r>
        <w:rPr>
          <w:b w:val="0"/>
          <w:i w:val="0"/>
        </w:rPr>
        <w:t>2. 已确定的核心产品规则</w:t>
      </w:r>
    </w:p>
    <w:tbl>
      <w:tblPr>
        <w:tblW w:type="dxa" w:w="9582"/>
        <w:jc w:val="center"/>
        <w:tblLayout w:type="fixed"/>
        <w:tblLook w:firstColumn="1" w:firstRow="1" w:lastColumn="0" w:lastRow="0" w:noHBand="0" w:noVBand="1" w:val="04A0"/>
        <w:tblBorders>
          <w:top w:val="single" w:sz="4" w:color="DCE4E8"/>
          <w:left w:val="single" w:sz="4" w:color="DCE4E8"/>
          <w:bottom w:val="single" w:sz="4" w:color="DCE4E8"/>
          <w:right w:val="single" w:sz="4" w:color="DCE4E8"/>
          <w:insideH w:val="single" w:sz="4" w:color="DCE4E8"/>
          <w:insideV w:val="single" w:sz="4" w:color="DCE4E8"/>
        </w:tblBorders>
      </w:tblPr>
      <w:tblGrid>
        <w:gridCol w:w="1054"/>
        <w:gridCol w:w="8528"/>
      </w:tblGrid>
      <w:tr>
        <w:trPr>
          <w:cantSplit/>
          <w:tblHeader/>
        </w:trPr>
        <w:tc>
          <w:tcPr>
            <w:tcW w:type="dxa" w:w="1054"/>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编号</w:t>
            </w:r>
          </w:p>
        </w:tc>
        <w:tc>
          <w:tcPr>
            <w:tcW w:type="dxa" w:w="8528"/>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规则</w:t>
            </w:r>
          </w:p>
        </w:tc>
      </w:tr>
      <w:tr>
        <w:trPr>
          <w:cantSplit/>
        </w:trPr>
        <w:tc>
          <w:tcPr>
            <w:tcW w:type="dxa" w:w="105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R01</w:t>
            </w:r>
          </w:p>
        </w:tc>
        <w:tc>
          <w:tcPr>
            <w:tcW w:type="dxa" w:w="8528"/>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Clash 集成在本应用内；后台、客户端、检测页使用同一套受管配置关系。</w:t>
            </w:r>
          </w:p>
        </w:tc>
      </w:tr>
      <w:tr>
        <w:trPr>
          <w:cantSplit/>
        </w:trPr>
        <w:tc>
          <w:tcPr>
            <w:tcW w:type="dxa" w:w="105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R02</w:t>
            </w:r>
          </w:p>
        </w:tc>
        <w:tc>
          <w:tcPr>
            <w:tcW w:type="dxa" w:w="8528"/>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普通用户不用配置订阅、代理参数或复杂规则；方案由我们做好并按用户分配。</w:t>
            </w:r>
          </w:p>
        </w:tc>
      </w:tr>
      <w:tr>
        <w:trPr>
          <w:cantSplit/>
        </w:trPr>
        <w:tc>
          <w:tcPr>
            <w:tcW w:type="dxa" w:w="105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R03</w:t>
            </w:r>
          </w:p>
        </w:tc>
        <w:tc>
          <w:tcPr>
            <w:tcW w:type="dxa" w:w="8528"/>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第一版有日常单 IP、Claude 专用单 IP、Claude 专用双 IP 三套方案。</w:t>
            </w:r>
          </w:p>
        </w:tc>
      </w:tr>
      <w:tr>
        <w:trPr>
          <w:cantSplit/>
        </w:trPr>
        <w:tc>
          <w:tcPr>
            <w:tcW w:type="dxa" w:w="105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R04</w:t>
            </w:r>
          </w:p>
        </w:tc>
        <w:tc>
          <w:tcPr>
            <w:tcW w:type="dxa" w:w="8528"/>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每用户明确分配订阅、前置代理、固定出口 A／B、可用方案、有效期和流量额度。</w:t>
            </w:r>
          </w:p>
        </w:tc>
      </w:tr>
      <w:tr>
        <w:trPr>
          <w:cantSplit/>
        </w:trPr>
        <w:tc>
          <w:tcPr>
            <w:tcW w:type="dxa" w:w="105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R05</w:t>
            </w:r>
          </w:p>
        </w:tc>
        <w:tc>
          <w:tcPr>
            <w:tcW w:type="dxa" w:w="8528"/>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三套方案尽量保持 Claude 最终出口 A 不变；双 IP 不是 Claude 在两个出口之间轮换。</w:t>
            </w:r>
          </w:p>
        </w:tc>
      </w:tr>
      <w:tr>
        <w:trPr>
          <w:cantSplit/>
        </w:trPr>
        <w:tc>
          <w:tcPr>
            <w:tcW w:type="dxa" w:w="105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R06</w:t>
            </w:r>
          </w:p>
        </w:tc>
        <w:tc>
          <w:tcPr>
            <w:tcW w:type="dxa" w:w="8528"/>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日常模式中仅命中允许直连白名单的普通目标可直连；未命中仍可访问，但走固定出口。</w:t>
            </w:r>
          </w:p>
        </w:tc>
      </w:tr>
      <w:tr>
        <w:trPr>
          <w:cantSplit/>
        </w:trPr>
        <w:tc>
          <w:tcPr>
            <w:tcW w:type="dxa" w:w="105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R07</w:t>
            </w:r>
          </w:p>
        </w:tc>
        <w:tc>
          <w:tcPr>
            <w:tcW w:type="dxa" w:w="8528"/>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Claude 受保护连接规则优先于用户直连白名单，白名单不能将其放开到直连。</w:t>
            </w:r>
          </w:p>
        </w:tc>
      </w:tr>
      <w:tr>
        <w:trPr>
          <w:cantSplit/>
        </w:trPr>
        <w:tc>
          <w:tcPr>
            <w:tcW w:type="dxa" w:w="105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R08</w:t>
            </w:r>
          </w:p>
        </w:tc>
        <w:tc>
          <w:tcPr>
            <w:tcW w:type="dxa" w:w="8528"/>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Claude 专用模式以 TUN 接管公网流量，默认不启用国内公网直连白名单；必要基础通信另行限定。</w:t>
            </w:r>
          </w:p>
        </w:tc>
      </w:tr>
      <w:tr>
        <w:trPr>
          <w:cantSplit/>
        </w:trPr>
        <w:tc>
          <w:tcPr>
            <w:tcW w:type="dxa" w:w="105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R09</w:t>
            </w:r>
          </w:p>
        </w:tc>
        <w:tc>
          <w:tcPr>
            <w:tcW w:type="dxa" w:w="8528"/>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日常白名单在专用模式中保留但不生效；切回后恢复，不要求用户重新录入。</w:t>
            </w:r>
          </w:p>
        </w:tc>
      </w:tr>
      <w:tr>
        <w:trPr>
          <w:cantSplit/>
        </w:trPr>
        <w:tc>
          <w:tcPr>
            <w:tcW w:type="dxa" w:w="105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R10</w:t>
            </w:r>
          </w:p>
        </w:tc>
        <w:tc>
          <w:tcPr>
            <w:tcW w:type="dxa" w:w="8528"/>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方案推荐对应免费／Pro／Max 5x／Max 20x，是产品推荐，不是官方账号风控分级。</w:t>
            </w:r>
          </w:p>
        </w:tc>
      </w:tr>
      <w:tr>
        <w:trPr>
          <w:cantSplit/>
        </w:trPr>
        <w:tc>
          <w:tcPr>
            <w:tcW w:type="dxa" w:w="105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R11</w:t>
            </w:r>
          </w:p>
        </w:tc>
        <w:tc>
          <w:tcPr>
            <w:tcW w:type="dxa" w:w="8528"/>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月度额度由后台按用户配置，250 GB 为示例，不写死为所有用户的统一值。</w:t>
            </w:r>
          </w:p>
        </w:tc>
      </w:tr>
      <w:tr>
        <w:trPr>
          <w:cantSplit/>
        </w:trPr>
        <w:tc>
          <w:tcPr>
            <w:tcW w:type="dxa" w:w="105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R12</w:t>
            </w:r>
          </w:p>
        </w:tc>
        <w:tc>
          <w:tcPr>
            <w:tcW w:type="dxa" w:w="8528"/>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用户用量按代理上传＋下载汇总；双 IP 合计，允许的多设备合计，代理链不重复向用户扣量。</w:t>
            </w:r>
          </w:p>
        </w:tc>
      </w:tr>
      <w:tr>
        <w:trPr>
          <w:cantSplit/>
        </w:trPr>
        <w:tc>
          <w:tcPr>
            <w:tcW w:type="dxa" w:w="105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R13</w:t>
            </w:r>
          </w:p>
        </w:tc>
        <w:tc>
          <w:tcPr>
            <w:tcW w:type="dxa" w:w="8528"/>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白名单真实直连及本机／局域网通信不计入托管代理额度；不能仅按目标名称推定计量归属。</w:t>
            </w:r>
          </w:p>
        </w:tc>
      </w:tr>
      <w:tr>
        <w:trPr>
          <w:cantSplit/>
        </w:trPr>
        <w:tc>
          <w:tcPr>
            <w:tcW w:type="dxa" w:w="105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R14</w:t>
            </w:r>
          </w:p>
        </w:tc>
        <w:tc>
          <w:tcPr>
            <w:tcW w:type="dxa" w:w="8528"/>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硬限额必须由可控的服务端或具备相应能力的上游执行，客户端计数用于展示和辅助核对。</w:t>
            </w:r>
          </w:p>
        </w:tc>
      </w:tr>
      <w:tr>
        <w:trPr>
          <w:cantSplit/>
        </w:trPr>
        <w:tc>
          <w:tcPr>
            <w:tcW w:type="dxa" w:w="105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R15</w:t>
            </w:r>
          </w:p>
        </w:tc>
        <w:tc>
          <w:tcPr>
            <w:tcW w:type="dxa" w:w="8528"/>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重启、重装、切换模式、恢复配置不能重置服务端用量或绕过用户额度。</w:t>
            </w:r>
          </w:p>
        </w:tc>
      </w:tr>
      <w:tr>
        <w:trPr>
          <w:cantSplit/>
        </w:trPr>
        <w:tc>
          <w:tcPr>
            <w:tcW w:type="dxa" w:w="105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R16</w:t>
            </w:r>
          </w:p>
        </w:tc>
        <w:tc>
          <w:tcPr>
            <w:tcW w:type="dxa" w:w="8528"/>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额度耗尽暂停托管代理，不自动解除 TUN／出口保护、不换未知出口、不降级直连。</w:t>
            </w:r>
          </w:p>
        </w:tc>
      </w:tr>
      <w:tr>
        <w:trPr>
          <w:cantSplit/>
        </w:trPr>
        <w:tc>
          <w:tcPr>
            <w:tcW w:type="dxa" w:w="105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R17</w:t>
            </w:r>
          </w:p>
        </w:tc>
        <w:tc>
          <w:tcPr>
            <w:tcW w:type="dxa" w:w="8528"/>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常规更新在已授权范围内自动完成；改变 Claude 最终出口、地区或保护边界不得伪装成普通刷新。</w:t>
            </w:r>
          </w:p>
        </w:tc>
      </w:tr>
      <w:tr>
        <w:trPr>
          <w:cantSplit/>
        </w:trPr>
        <w:tc>
          <w:tcPr>
            <w:tcW w:type="dxa" w:w="105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R18</w:t>
            </w:r>
          </w:p>
        </w:tc>
        <w:tc>
          <w:tcPr>
            <w:tcW w:type="dxa" w:w="8528"/>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新配置先验证再应用，应用后复查；失败时保留或恢复仍有效、仍获授权的配置。</w:t>
            </w:r>
          </w:p>
        </w:tc>
      </w:tr>
      <w:tr>
        <w:trPr>
          <w:cantSplit/>
        </w:trPr>
        <w:tc>
          <w:tcPr>
            <w:tcW w:type="dxa" w:w="105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R19</w:t>
            </w:r>
          </w:p>
        </w:tc>
        <w:tc>
          <w:tcPr>
            <w:tcW w:type="dxa" w:w="8528"/>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后台不可达时可沿用本地最后有效配置，但不能绕过服务端到期、暂停或额度限制。</w:t>
            </w:r>
          </w:p>
        </w:tc>
      </w:tr>
      <w:tr>
        <w:trPr>
          <w:cantSplit/>
        </w:trPr>
        <w:tc>
          <w:tcPr>
            <w:tcW w:type="dxa" w:w="105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R20</w:t>
            </w:r>
          </w:p>
        </w:tc>
        <w:tc>
          <w:tcPr>
            <w:tcW w:type="dxa" w:w="8528"/>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用户点击切换后，运行态和路径通过检查才显示切换成功；不能仅切换界面标签。</w:t>
            </w:r>
          </w:p>
        </w:tc>
      </w:tr>
      <w:tr>
        <w:trPr>
          <w:cantSplit/>
        </w:trPr>
        <w:tc>
          <w:tcPr>
            <w:tcW w:type="dxa" w:w="105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R21</w:t>
            </w:r>
          </w:p>
        </w:tc>
        <w:tc>
          <w:tcPr>
            <w:tcW w:type="dxa" w:w="8528"/>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AI 为只读分析辅助，无聊天框；代理运行、更新、计量、保护与恢复不依赖模型在线。</w:t>
            </w:r>
          </w:p>
        </w:tc>
      </w:tr>
      <w:tr>
        <w:trPr>
          <w:cantSplit/>
        </w:trPr>
        <w:tc>
          <w:tcPr>
            <w:tcW w:type="dxa" w:w="105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R22</w:t>
            </w:r>
          </w:p>
        </w:tc>
        <w:tc>
          <w:tcPr>
            <w:tcW w:type="dxa" w:w="8528"/>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网络资源与凭据按用户隔离；不采集 Claude 密码、OAuth Token 和对话正文来分配网络服务。</w:t>
            </w:r>
          </w:p>
        </w:tc>
      </w:tr>
    </w:tbl>
    <w:p>
      <w:pPr>
        <w:keepNext w:val="0"/>
        <w:spacing w:before="0" w:after="0" w:line="240" w:lineRule="auto"/>
      </w:pPr>
      <w:r>
        <w:rPr>
          <w:sz w:val="6"/>
        </w:rPr>
      </w:r>
    </w:p>
    <w:p>
      <w:r>
        <w:rPr>
          <w:b w:val="0"/>
          <w:i w:val="0"/>
        </w:rPr>
        <w:t>本节编号是前后规则的索引，不要求新增另一套状态机或独立控制系统。</w:t>
      </w:r>
    </w:p>
    <w:p>
      <w:pPr>
        <w:pStyle w:val="Heading1"/>
      </w:pPr>
      <w:r>
        <w:rPr>
          <w:b w:val="0"/>
          <w:i w:val="0"/>
        </w:rPr>
        <w:t>3. 三套预设网络方案</w:t>
      </w:r>
    </w:p>
    <w:p>
      <w:pPr>
        <w:pStyle w:val="Heading2"/>
      </w:pPr>
      <w:r>
        <w:rPr>
          <w:b w:val="0"/>
          <w:i w:val="0"/>
        </w:rPr>
        <w:t>3.1 方案矩阵</w:t>
      </w:r>
    </w:p>
    <w:tbl>
      <w:tblPr>
        <w:tblW w:type="dxa" w:w="9582"/>
        <w:jc w:val="center"/>
        <w:tblLayout w:type="fixed"/>
        <w:tblLook w:firstColumn="1" w:firstRow="1" w:lastColumn="0" w:lastRow="0" w:noHBand="0" w:noVBand="1" w:val="04A0"/>
        <w:tblBorders>
          <w:top w:val="single" w:sz="4" w:color="DCE4E8"/>
          <w:left w:val="single" w:sz="4" w:color="DCE4E8"/>
          <w:bottom w:val="single" w:sz="4" w:color="DCE4E8"/>
          <w:right w:val="single" w:sz="4" w:color="DCE4E8"/>
          <w:insideH w:val="single" w:sz="4" w:color="DCE4E8"/>
          <w:insideV w:val="single" w:sz="4" w:color="DCE4E8"/>
        </w:tblBorders>
      </w:tblPr>
      <w:tblGrid>
        <w:gridCol w:w="2348"/>
        <w:gridCol w:w="1629"/>
        <w:gridCol w:w="2348"/>
        <w:gridCol w:w="1821"/>
        <w:gridCol w:w="1437"/>
      </w:tblGrid>
      <w:tr>
        <w:trPr>
          <w:cantSplit/>
          <w:tblHeader/>
        </w:trPr>
        <w:tc>
          <w:tcPr>
            <w:tcW w:type="dxa" w:w="2348"/>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方案</w:t>
            </w:r>
          </w:p>
        </w:tc>
        <w:tc>
          <w:tcPr>
            <w:tcW w:type="dxa" w:w="1629"/>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Claude 流量</w:t>
            </w:r>
          </w:p>
        </w:tc>
        <w:tc>
          <w:tcPr>
            <w:tcW w:type="dxa" w:w="2348"/>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其他普通公网流量</w:t>
            </w:r>
          </w:p>
        </w:tc>
        <w:tc>
          <w:tcPr>
            <w:tcW w:type="dxa" w:w="1821"/>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国内公网直连</w:t>
            </w:r>
          </w:p>
        </w:tc>
        <w:tc>
          <w:tcPr>
            <w:tcW w:type="dxa" w:w="1437"/>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推荐用户</w:t>
            </w:r>
          </w:p>
        </w:tc>
      </w:tr>
      <w:tr>
        <w:trPr>
          <w:cantSplit/>
        </w:trPr>
        <w:tc>
          <w:tcPr>
            <w:tcW w:type="dxa" w:w="2348"/>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日常模式：单固定 IP</w:t>
            </w:r>
          </w:p>
        </w:tc>
        <w:tc>
          <w:tcPr>
            <w:tcW w:type="dxa" w:w="1629"/>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固定出口 A</w:t>
            </w:r>
          </w:p>
        </w:tc>
        <w:tc>
          <w:tcPr>
            <w:tcW w:type="dxa" w:w="2348"/>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未命中直连白名单的流量走 A</w:t>
            </w:r>
          </w:p>
        </w:tc>
        <w:tc>
          <w:tcPr>
            <w:tcW w:type="dxa" w:w="1821"/>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仅批准的白名单目标直连</w:t>
            </w:r>
          </w:p>
        </w:tc>
        <w:tc>
          <w:tcPr>
            <w:tcW w:type="dxa" w:w="143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Claude 免费用户</w:t>
            </w:r>
          </w:p>
        </w:tc>
      </w:tr>
      <w:tr>
        <w:trPr>
          <w:cantSplit/>
        </w:trPr>
        <w:tc>
          <w:tcPr>
            <w:tcW w:type="dxa" w:w="2348"/>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Claude 专用：单固定 IP</w:t>
            </w:r>
          </w:p>
        </w:tc>
        <w:tc>
          <w:tcPr>
            <w:tcW w:type="dxa" w:w="1629"/>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TUN 接管，固定出口 A</w:t>
            </w:r>
          </w:p>
        </w:tc>
        <w:tc>
          <w:tcPr>
            <w:tcW w:type="dxa" w:w="2348"/>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TUN 接管，固定出口 A</w:t>
            </w:r>
          </w:p>
        </w:tc>
        <w:tc>
          <w:tcPr>
            <w:tcW w:type="dxa" w:w="1821"/>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默认不启用日常白名单</w:t>
            </w:r>
          </w:p>
        </w:tc>
        <w:tc>
          <w:tcPr>
            <w:tcW w:type="dxa" w:w="143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Pro、Max 5x</w:t>
            </w:r>
          </w:p>
        </w:tc>
      </w:tr>
      <w:tr>
        <w:trPr>
          <w:cantSplit/>
        </w:trPr>
        <w:tc>
          <w:tcPr>
            <w:tcW w:type="dxa" w:w="2348"/>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Claude 专用：双固定 IP</w:t>
            </w:r>
          </w:p>
        </w:tc>
        <w:tc>
          <w:tcPr>
            <w:tcW w:type="dxa" w:w="1629"/>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TUN 接管，Claude 专用出口 A</w:t>
            </w:r>
          </w:p>
        </w:tc>
        <w:tc>
          <w:tcPr>
            <w:tcW w:type="dxa" w:w="2348"/>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TUN 接管，日常出口 B</w:t>
            </w:r>
          </w:p>
        </w:tc>
        <w:tc>
          <w:tcPr>
            <w:tcW w:type="dxa" w:w="1821"/>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默认不启用日常白名单</w:t>
            </w:r>
          </w:p>
        </w:tc>
        <w:tc>
          <w:tcPr>
            <w:tcW w:type="dxa" w:w="143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Max 20x</w:t>
            </w:r>
          </w:p>
        </w:tc>
      </w:tr>
    </w:tbl>
    <w:p>
      <w:pPr>
        <w:keepNext w:val="0"/>
        <w:spacing w:before="0" w:after="0" w:line="240" w:lineRule="auto"/>
      </w:pPr>
      <w:r>
        <w:rPr>
          <w:sz w:val="6"/>
        </w:rPr>
      </w:r>
    </w:p>
    <w:p>
      <w:r>
        <w:rPr>
          <w:b w:val="0"/>
          <w:i w:val="0"/>
        </w:rPr>
        <w:t>推荐对象沿用本轮用户要求；前台是否显示某方案、能否启用，以后台实际分配与资源就绪为准。不能仅凭用户选择了某种 Claude 套餐，就宣称其账号风险高低或资源已经开通。</w:t>
      </w:r>
    </w:p>
    <w:p>
      <w:pPr>
        <w:pStyle w:val="Heading2"/>
      </w:pPr>
      <w:r>
        <w:rPr>
          <w:b w:val="0"/>
          <w:i w:val="0"/>
        </w:rPr>
        <w:t>3.2 单 IP 与双 IP 的准确含义</w:t>
      </w:r>
    </w:p>
    <w:p>
      <w:r>
        <w:rPr>
          <w:b w:val="0"/>
          <w:i w:val="0"/>
        </w:rPr>
        <w:t>单 IP 指应走托管代理的业务流量共用一个固定出口。日常模式仍有白名单直连；Claude 专用单 IP 则默认让普通公网业务统一通过 TUN 走固定出口 A。</w:t>
      </w:r>
    </w:p>
    <w:p>
      <w:r>
        <w:rPr>
          <w:b w:val="0"/>
          <w:i w:val="0"/>
        </w:rPr>
        <w:t>双 IP 指同一用户使用两个分工明确的最终出口：Claude 走 A，其他普通公网流量走 B。它不表示随机轮换、自动借用其他用户出口，也不表示每条线路分别获得一份完整月流量额度。</w:t>
      </w:r>
    </w:p>
    <w:p>
      <w:r>
        <w:rPr>
          <w:b w:val="0"/>
          <w:i w:val="0"/>
        </w:rPr>
        <w:t>固定出口不自动等于独享出口。后台必须单独记录实际资源是否共享或独享，前台只能按已分配资源说明；本份没有承诺所有用户都获得独享 IP。</w:t>
      </w:r>
    </w:p>
    <w:p>
      <w:pPr>
        <w:pStyle w:val="Heading2"/>
      </w:pPr>
      <w:r>
        <w:rPr>
          <w:b w:val="0"/>
          <w:i w:val="0"/>
        </w:rPr>
        <w:t>3.3 TUN、直连与基础通信</w:t>
      </w:r>
    </w:p>
    <w:p>
      <w:r>
        <w:rPr>
          <w:b w:val="0"/>
          <w:i w:val="0"/>
        </w:rPr>
        <w:t>TUN 是方案的流量接管方式，不与“日常分流”构成互斥关系。日常模式底层是否使用 TUN，留待技术验证；不能把“日常模式”写死为关闭 TUN 后仅依赖系统代理。</w:t>
      </w:r>
    </w:p>
    <w:p>
      <w:r>
        <w:rPr>
          <w:b w:val="0"/>
          <w:i w:val="0"/>
        </w:rPr>
        <w:t>本机回环、已批准的局域网通信，以及建立前置代理与固定出口链路所必需的基础通信，由模板定义必要范围。这些不是普通公网业务的任意直连通道。具体 DNS、控制通信、局域网和连接建立例外，必须在配置与验收时明确，不在此补写未知地址清单。</w:t>
      </w:r>
    </w:p>
    <w:p>
      <w:r>
        <w:rPr>
          <w:b w:val="0"/>
          <w:i w:val="0"/>
        </w:rPr>
        <w:t>“统一走固定出口”指方案覆盖的业务连接遵守路由，不表示无需建立到底层代理服务的连接。客户端、浏览器、WSL 等具体覆盖范围要声明并验证；没有验证到的对象不能被概括成全机已受保护。</w:t>
      </w:r>
    </w:p>
    <w:p>
      <w:pPr>
        <w:pStyle w:val="Heading2"/>
      </w:pPr>
      <w:r>
        <w:rPr>
          <w:b w:val="0"/>
          <w:i w:val="0"/>
        </w:rPr>
        <w:t>3.4 不同“模式”分开表达</w:t>
      </w:r>
    </w:p>
    <w:p>
      <w:r>
        <w:rPr>
          <w:b w:val="0"/>
          <w:i w:val="0"/>
        </w:rPr>
        <w:t>本节三套是网络方案；FD-01／FD-02 的标准模式与 AI 增强模式是诊断方式，二者不互相替代。用户不需要在首页面对六种组合，网络方案卡片与 AI 状态分别展示即可。</w:t>
      </w:r>
    </w:p>
    <w:p>
      <w:pPr>
        <w:pStyle w:val="Heading1"/>
      </w:pPr>
      <w:r>
        <w:rPr>
          <w:b w:val="0"/>
          <w:i w:val="0"/>
        </w:rPr>
        <w:t>4. 后台托管与按用户资源分配</w:t>
      </w:r>
    </w:p>
    <w:p>
      <w:pPr>
        <w:pStyle w:val="Heading2"/>
      </w:pPr>
      <w:r>
        <w:rPr>
          <w:b w:val="0"/>
          <w:i w:val="0"/>
        </w:rPr>
        <w:t>4.1 后台管理职责</w:t>
      </w:r>
    </w:p>
    <w:tbl>
      <w:tblPr>
        <w:tblW w:type="dxa" w:w="9582"/>
        <w:jc w:val="center"/>
        <w:tblLayout w:type="fixed"/>
        <w:tblLook w:firstColumn="1" w:firstRow="1" w:lastColumn="0" w:lastRow="0" w:noHBand="0" w:noVBand="1" w:val="04A0"/>
        <w:tblBorders>
          <w:top w:val="single" w:sz="4" w:color="DCE4E8"/>
          <w:left w:val="single" w:sz="4" w:color="DCE4E8"/>
          <w:bottom w:val="single" w:sz="4" w:color="DCE4E8"/>
          <w:right w:val="single" w:sz="4" w:color="DCE4E8"/>
          <w:insideH w:val="single" w:sz="4" w:color="DCE4E8"/>
          <w:insideV w:val="single" w:sz="4" w:color="DCE4E8"/>
        </w:tblBorders>
      </w:tblPr>
      <w:tblGrid>
        <w:gridCol w:w="2300"/>
        <w:gridCol w:w="7282"/>
      </w:tblGrid>
      <w:tr>
        <w:trPr>
          <w:cantSplit/>
          <w:tblHeader/>
        </w:trPr>
        <w:tc>
          <w:tcPr>
            <w:tcW w:type="dxa" w:w="2300"/>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管理对象</w:t>
            </w:r>
          </w:p>
        </w:tc>
        <w:tc>
          <w:tcPr>
            <w:tcW w:type="dxa" w:w="7282"/>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功能要求</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方案模板</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维护三套方案的路由、DNS、保护、必要直连范围及版本，不让每个用户自行拼配置</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机场订阅</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后台配置订阅来源、刷新状态和可用资源；不将完整共享订阅默认下发给所有用户</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前置代理</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为到达固定出口选择已批准的前置资源，记录其与最终出口的关系</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固定出口 A／B</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记录实际地址、连接参数、角色、资源属性和有效期；双出口分工明确</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用户分配</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为具体应用用户分配可用方案、资源、额度与有效状态；缺资源时不显示可立即启用</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发布与恢复</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保存配置版本、发布结果、客户端应用状态及可恢复版本</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用量与服务状态</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对接用户用量、额度、周期、暂停与恢复，区分用户限额和上游资源问题</w:t>
            </w:r>
          </w:p>
        </w:tc>
      </w:tr>
    </w:tbl>
    <w:p>
      <w:pPr>
        <w:keepNext w:val="0"/>
        <w:spacing w:before="0" w:after="0" w:line="240" w:lineRule="auto"/>
      </w:pPr>
      <w:r>
        <w:rPr>
          <w:sz w:val="6"/>
        </w:rPr>
      </w:r>
    </w:p>
    <w:p>
      <w:r>
        <w:rPr>
          <w:b w:val="0"/>
          <w:i w:val="0"/>
        </w:rPr>
        <w:t>后台用户标识属于本应用，与 Claude 账号标识分开。用户绑定或登录本应用的具体方式尚未选择；本版不引入 Claude 账号池或读取其认证资料的流程。</w:t>
      </w:r>
    </w:p>
    <w:p>
      <w:pPr>
        <w:pStyle w:val="Heading2"/>
      </w:pPr>
      <w:r>
        <w:rPr>
          <w:b w:val="0"/>
          <w:i w:val="0"/>
        </w:rPr>
        <w:t>4.2 每用户分配记录</w:t>
      </w:r>
    </w:p>
    <w:p>
      <w:r>
        <w:rPr>
          <w:b w:val="0"/>
          <w:i w:val="0"/>
        </w:rPr>
        <w:t>至少记录：应用用户标识、已分配网络方案、订阅或资源引用、前置代理、出口 A／B 及角色、资源共享／独享属性、有效期、额度与周期、服务状态、配置版本和客户端最近应用状态。</w:t>
      </w:r>
    </w:p>
    <w:p>
      <w:r>
        <w:rPr>
          <w:b w:val="0"/>
          <w:i w:val="0"/>
        </w:rPr>
        <w:t>日常直连白名单作为用户可编辑部分，与后台保护规则和模板分开保存。模板升级不能覆盖用户清单；用户清单也不能修改后台保护边界。</w:t>
      </w:r>
    </w:p>
    <w:p>
      <w:pPr>
        <w:pStyle w:val="Heading2"/>
      </w:pPr>
      <w:r>
        <w:rPr>
          <w:b w:val="0"/>
          <w:i w:val="0"/>
        </w:rPr>
        <w:t>4.3 管理后台与实际传输路径</w:t>
      </w:r>
    </w:p>
    <w:p>
      <w:r>
        <w:rPr>
          <w:b w:val="0"/>
          <w:i w:val="0"/>
        </w:rPr>
        <w:t>建议的职责关系沿用已确认讨论：管理后台负责资源分配、发布、额度与状态；客户端内置 Clash 依据分配结果建立实际连接。后台不因提供管理界面就必须处于每条用户请求的转发路径。</w:t>
      </w:r>
    </w:p>
    <w:p>
      <w:r>
        <w:rPr>
          <w:b w:val="0"/>
          <w:i w:val="0"/>
        </w:rPr>
        <w:t>但新增月流量限制后，所有交付给用户的可用代理路径都必须纳入服务端配额控制。可复用供应商的用户／子账号计量与限额接口；不满足时才评估受管接入节点，不先把方案扩成通用网关平台。</w:t>
      </w:r>
    </w:p>
    <w:p>
      <w:pPr>
        <w:pStyle w:val="Heading2"/>
      </w:pPr>
      <w:r>
        <w:rPr>
          <w:b w:val="0"/>
          <w:i w:val="0"/>
        </w:rPr>
        <w:t>4.4 资源隔离与分配边界</w:t>
      </w:r>
    </w:p>
    <w:p>
      <w:r>
        <w:rPr>
          <w:b w:val="0"/>
          <w:i w:val="0"/>
        </w:rPr>
        <w:t>客户端只取得本用户所需的配置或凭据，不获得其他用户的出口或后台全部资源。真实订阅 URL、代理密码和固定出口凭据不进入公开仓库、普通报告或模型输入。</w:t>
      </w:r>
    </w:p>
    <w:p>
      <w:r>
        <w:rPr>
          <w:b w:val="0"/>
          <w:i w:val="0"/>
        </w:rPr>
        <w:t>开源代码与托管资源分开：开源不代表公开可使用的网络凭据。具体密钥存储、配置分发和权限实现待技术设计，不能承诺仅靠隐藏客户端界面即可实现资源保密或防止配额绕过。</w:t>
      </w:r>
    </w:p>
    <w:p>
      <w:pPr>
        <w:pStyle w:val="Heading1"/>
      </w:pPr>
      <w:r>
        <w:rPr>
          <w:b w:val="0"/>
          <w:i w:val="0"/>
        </w:rPr>
        <w:t>5. 路由规则与用户直连白名单</w:t>
      </w:r>
    </w:p>
    <w:p>
      <w:pPr>
        <w:pStyle w:val="Heading2"/>
      </w:pPr>
      <w:r>
        <w:rPr>
          <w:b w:val="0"/>
          <w:i w:val="0"/>
        </w:rPr>
        <w:t>5.1 日常模式的规则语义</w:t>
      </w:r>
    </w:p>
    <w:p>
      <w:r>
        <w:rPr>
          <w:b w:val="0"/>
          <w:i w:val="0"/>
        </w:rPr>
        <w:t>日常模式采用“直连许可清单”，不是“访问许可清单”。只允许清单内的普通目标直连；未命中的目标不是禁止访问，而是继续走用户固定出口 A。</w:t>
      </w:r>
    </w:p>
    <w:p>
      <w:r>
        <w:rPr>
          <w:b w:val="0"/>
          <w:i w:val="0"/>
        </w:rPr>
        <w:t>不默认添加“所有国内网站／所有国内 IP 直连”的宽泛兜底。Claude 的受保护连接不能因为命中用户域名条目而从固定出口变为直连。</w:t>
      </w:r>
    </w:p>
    <w:tbl>
      <w:tblPr>
        <w:tblW w:type="dxa" w:w="9582"/>
        <w:jc w:val="center"/>
        <w:tblLayout w:type="fixed"/>
        <w:tblLook w:firstColumn="1" w:firstRow="1" w:lastColumn="0" w:lastRow="0" w:noHBand="0" w:noVBand="1" w:val="04A0"/>
        <w:tblBorders>
          <w:top w:val="single" w:sz="4" w:color="DCE4E8"/>
          <w:left w:val="single" w:sz="4" w:color="DCE4E8"/>
          <w:bottom w:val="single" w:sz="4" w:color="DCE4E8"/>
          <w:right w:val="single" w:sz="4" w:color="DCE4E8"/>
          <w:insideH w:val="single" w:sz="4" w:color="DCE4E8"/>
          <w:insideV w:val="single" w:sz="4" w:color="DCE4E8"/>
        </w:tblBorders>
      </w:tblPr>
      <w:tblGrid>
        <w:gridCol w:w="2683"/>
        <w:gridCol w:w="2300"/>
        <w:gridCol w:w="2300"/>
        <w:gridCol w:w="2300"/>
      </w:tblGrid>
      <w:tr>
        <w:trPr>
          <w:cantSplit/>
          <w:tblHeader/>
        </w:trPr>
        <w:tc>
          <w:tcPr>
            <w:tcW w:type="dxa" w:w="2683"/>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流量类别</w:t>
            </w:r>
          </w:p>
        </w:tc>
        <w:tc>
          <w:tcPr>
            <w:tcW w:type="dxa" w:w="2300"/>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日常单 IP</w:t>
            </w:r>
          </w:p>
        </w:tc>
        <w:tc>
          <w:tcPr>
            <w:tcW w:type="dxa" w:w="2300"/>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Claude 专用单 IP</w:t>
            </w:r>
          </w:p>
        </w:tc>
        <w:tc>
          <w:tcPr>
            <w:tcW w:type="dxa" w:w="2300"/>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Claude 专用双 IP</w:t>
            </w:r>
          </w:p>
        </w:tc>
      </w:tr>
      <w:tr>
        <w:trPr>
          <w:cantSplit/>
        </w:trPr>
        <w:tc>
          <w:tcPr>
            <w:tcW w:type="dxa" w:w="2683"/>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受保护的 Claude 连接</w:t>
            </w:r>
          </w:p>
        </w:tc>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A；不受普通直连白名单放行</w:t>
            </w:r>
          </w:p>
        </w:tc>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A</w:t>
            </w:r>
          </w:p>
        </w:tc>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A</w:t>
            </w:r>
          </w:p>
        </w:tc>
      </w:tr>
      <w:tr>
        <w:trPr>
          <w:cantSplit/>
        </w:trPr>
        <w:tc>
          <w:tcPr>
            <w:tcW w:type="dxa" w:w="2683"/>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命中日常白名单的其他公网连接</w:t>
            </w:r>
          </w:p>
        </w:tc>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按已确认范围直连</w:t>
            </w:r>
          </w:p>
        </w:tc>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白名单停用，走 A</w:t>
            </w:r>
          </w:p>
        </w:tc>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白名单停用，走 B</w:t>
            </w:r>
          </w:p>
        </w:tc>
      </w:tr>
      <w:tr>
        <w:trPr>
          <w:cantSplit/>
        </w:trPr>
        <w:tc>
          <w:tcPr>
            <w:tcW w:type="dxa" w:w="2683"/>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未命中白名单的其他公网连接</w:t>
            </w:r>
          </w:p>
        </w:tc>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A</w:t>
            </w:r>
          </w:p>
        </w:tc>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A</w:t>
            </w:r>
          </w:p>
        </w:tc>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B</w:t>
            </w:r>
          </w:p>
        </w:tc>
      </w:tr>
      <w:tr>
        <w:trPr>
          <w:cantSplit/>
        </w:trPr>
        <w:tc>
          <w:tcPr>
            <w:tcW w:type="dxa" w:w="2683"/>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本机、批准的局域网与必要基础通信</w:t>
            </w:r>
          </w:p>
        </w:tc>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按模板明确的范围处理</w:t>
            </w:r>
          </w:p>
        </w:tc>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按模板明确的范围处理</w:t>
            </w:r>
          </w:p>
        </w:tc>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按模板明确的范围处理</w:t>
            </w:r>
          </w:p>
        </w:tc>
      </w:tr>
    </w:tbl>
    <w:p>
      <w:pPr>
        <w:keepNext w:val="0"/>
        <w:spacing w:before="0" w:after="0" w:line="240" w:lineRule="auto"/>
      </w:pPr>
      <w:r>
        <w:rPr>
          <w:sz w:val="6"/>
        </w:rPr>
      </w:r>
    </w:p>
    <w:p>
      <w:pPr>
        <w:pStyle w:val="Heading2"/>
      </w:pPr>
      <w:r>
        <w:rPr>
          <w:b w:val="0"/>
          <w:i w:val="0"/>
        </w:rPr>
        <w:t>5.2 开放给用户的白名单功能</w:t>
      </w:r>
    </w:p>
    <w:p>
      <w:r>
        <w:rPr>
          <w:b w:val="0"/>
          <w:i w:val="0"/>
        </w:rPr>
        <w:t>提供添加、删除、启停和恢复默认清单。用户输入网址后，应用整理为域名规则，并明确展示“仅此域名”还是“包含子域名”，不要求用户写 YAML。</w:t>
      </w:r>
    </w:p>
    <w:p>
      <w:r>
        <w:rPr>
          <w:b w:val="0"/>
          <w:i w:val="0"/>
        </w:rPr>
        <w:t>修改前展示影响，修改后回读实际规则，必要时复查路径。范围过大或与 Claude 保护规则冲突时，解释原因与实际生效结果，不能因保存成功就显示全部目标已经获准直连。</w:t>
      </w:r>
    </w:p>
    <w:p>
      <w:r>
        <w:rPr>
          <w:b w:val="0"/>
          <w:i w:val="0"/>
        </w:rPr>
        <w:t>此白名单用于网络路由，不是以网页路径、Cookie 或账号为单位的访问控制；具体域名格式、匹配能力和默认条目需要在支持矩阵中明确。</w:t>
      </w:r>
    </w:p>
    <w:p>
      <w:pPr>
        <w:pStyle w:val="Heading2"/>
      </w:pPr>
      <w:r>
        <w:rPr>
          <w:b w:val="0"/>
          <w:i w:val="0"/>
        </w:rPr>
        <w:t>5.3 方案切换与白名单保存</w:t>
      </w:r>
    </w:p>
    <w:p>
      <w:r>
        <w:rPr>
          <w:b w:val="0"/>
          <w:i w:val="0"/>
        </w:rPr>
        <w:t>切入任一 Claude 专用模式时，日常白名单暂不生效，但用户原有条目保留。界面显示“当前方案未启用此清单”，允许查看；再次切回日常模式按当前有效清单恢复，不要求重录。</w:t>
      </w:r>
    </w:p>
    <w:p>
      <w:r>
        <w:rPr>
          <w:b w:val="0"/>
          <w:i w:val="0"/>
        </w:rPr>
        <w:t>后台规则更新应保留用户部分并重新检查优先级。恢复默认或删除用户条目属于用户明确操作，不由后台普通订阅刷新暗中执行。</w:t>
      </w:r>
    </w:p>
    <w:p>
      <w:pPr>
        <w:pStyle w:val="Heading2"/>
      </w:pPr>
      <w:r>
        <w:rPr>
          <w:b w:val="0"/>
          <w:i w:val="0"/>
        </w:rPr>
        <w:t>5.4 Claude 保护与本机适配</w:t>
      </w:r>
    </w:p>
    <w:p>
      <w:r>
        <w:rPr>
          <w:b w:val="0"/>
          <w:i w:val="0"/>
        </w:rPr>
        <w:t>模板需要覆盖实际支持的 Claude Web 登录与使用连接、Desktop、Code 及必要子进程。浏览器与其他应用共用进程、不同安装路径、Windows／WSL 网络差异等，不通过固定个人路径硬编码解决。</w:t>
      </w:r>
    </w:p>
    <w:p>
      <w:r>
        <w:rPr>
          <w:b w:val="0"/>
          <w:i w:val="0"/>
        </w:rPr>
        <w:t>精确应用识别、域名范围与不同环境接管方式留待技术验证；发现实际覆盖不足时交给 FD-02 检查并说明，不将配置模板存在等同于所有客户端均已验证。[FD02 §4.6、§5]</w:t>
      </w:r>
    </w:p>
    <w:p>
      <w:pPr>
        <w:pStyle w:val="Heading1"/>
      </w:pPr>
      <w:r>
        <w:rPr>
          <w:b w:val="0"/>
          <w:i w:val="0"/>
        </w:rPr>
        <w:t>6. 用户启用、方案切换与日常运行</w:t>
      </w:r>
    </w:p>
    <w:p>
      <w:pPr>
        <w:pStyle w:val="Heading2"/>
      </w:pPr>
      <w:r>
        <w:rPr>
          <w:b w:val="0"/>
          <w:i w:val="0"/>
        </w:rPr>
        <w:t>6.1 首次启用流程</w:t>
      </w:r>
    </w:p>
    <w:p>
      <w:r>
        <w:rPr>
          <w:b w:val="0"/>
          <w:i w:val="0"/>
        </w:rPr>
        <w:t>1. 客户端取得本应用用户已分配的方案与资源，显示就绪、未分配或暂不可用状态。</w:t>
      </w:r>
    </w:p>
    <w:p>
      <w:r>
        <w:rPr>
          <w:b w:val="0"/>
          <w:i w:val="0"/>
        </w:rPr>
        <w:t>2. 展示推荐方案、Claude 出口角色、日常直连规则、流量额度及必要影响说明。</w:t>
      </w:r>
    </w:p>
    <w:p>
      <w:r>
        <w:rPr>
          <w:b w:val="0"/>
          <w:i w:val="0"/>
        </w:rPr>
        <w:t>3. 用户选择方案，确认启用及约定范围内的自动维护，不填写网络技术参数。</w:t>
      </w:r>
    </w:p>
    <w:p>
      <w:r>
        <w:rPr>
          <w:b w:val="0"/>
          <w:i w:val="0"/>
        </w:rPr>
        <w:t>4. 应用准备受管配置，检查内核与本机接管条件；涉及系统权限时按实际操作提示。</w:t>
      </w:r>
    </w:p>
    <w:p>
      <w:r>
        <w:rPr>
          <w:b w:val="0"/>
          <w:i w:val="0"/>
        </w:rPr>
        <w:t>5. 应用配置后回读内核和相关设置，调用 FD-02 对相应环境与路径复查。</w:t>
      </w:r>
    </w:p>
    <w:p>
      <w:r>
        <w:rPr>
          <w:b w:val="0"/>
          <w:i w:val="0"/>
        </w:rPr>
        <w:t>6. 验证满足方案要求后显示“已启用”；否则显示具体未完成项并保留恢复入口。</w:t>
      </w:r>
    </w:p>
    <w:p>
      <w:r>
        <w:rPr>
          <w:b w:val="0"/>
          <w:i w:val="0"/>
        </w:rPr>
        <w:t>外部代理实例冲突、权限不足或资源缺失时，不自动强停用户其他软件、不把错误配置强行应用，也不要求用户通过手写规则来完成普通开通。[FD02 §4.6、§5.2]</w:t>
      </w:r>
    </w:p>
    <w:p>
      <w:pPr>
        <w:pStyle w:val="Heading2"/>
      </w:pPr>
      <w:r>
        <w:rPr>
          <w:b w:val="0"/>
          <w:i w:val="0"/>
        </w:rPr>
        <w:t>6.2 切换时保持 Claude 出口 A</w:t>
      </w:r>
    </w:p>
    <w:p>
      <w:r>
        <w:rPr>
          <w:b w:val="0"/>
          <w:i w:val="0"/>
        </w:rPr>
        <w:t>日常 A → Claude 单 IP A → Claude 双 IP A／B，均尽量保持 Claude 的最终出口 A。变化主要是普通流量是否直连、是否使用 B，以及相应接管和保护方式。</w:t>
      </w:r>
    </w:p>
    <w:p>
      <w:r>
        <w:rPr>
          <w:b w:val="0"/>
          <w:i w:val="0"/>
        </w:rPr>
        <w:t>双 IP 切回单 IP 时说明“其他代理流量将与 Claude 共用出口”；若后台资源条件导致必须改变 A，应转为明确的出口变更流程，不伪装成无影响切换。</w:t>
      </w:r>
    </w:p>
    <w:p>
      <w:r>
        <w:rPr>
          <w:b w:val="0"/>
          <w:i w:val="0"/>
        </w:rPr>
        <w:t>切换过程固定为：检查目标资源与授权 → 展示影响 → 应用配置 → 回读运行态 → 复测目标路径 → 确认成功。更新页面标签不算切换完成。</w:t>
      </w:r>
    </w:p>
    <w:p>
      <w:pPr>
        <w:pStyle w:val="Heading2"/>
      </w:pPr>
      <w:r>
        <w:rPr>
          <w:b w:val="0"/>
          <w:i w:val="0"/>
        </w:rPr>
        <w:t>6.3 运行中连接与切换失败</w:t>
      </w:r>
    </w:p>
    <w:p>
      <w:r>
        <w:rPr>
          <w:b w:val="0"/>
          <w:i w:val="0"/>
        </w:rPr>
        <w:t>涉及现有连接重建或短暂断网时提前说明。旧连接如何收尾、是否等待工作结束、具体等待时限由实现验证；本份不宣称每次切换都无感或所有长连接均可保留。</w:t>
      </w:r>
    </w:p>
    <w:p>
      <w:r>
        <w:rPr>
          <w:b w:val="0"/>
          <w:i w:val="0"/>
        </w:rPr>
        <w:t>切换失败时，保留或恢复此前仍有效、仍获授权的方案。无法恢复则说明失败并保持相应保护，不自动启用未知节点或放开公网直连。</w:t>
      </w:r>
    </w:p>
    <w:p>
      <w:pPr>
        <w:pStyle w:val="Heading2"/>
      </w:pPr>
      <w:r>
        <w:rPr>
          <w:b w:val="0"/>
          <w:i w:val="0"/>
        </w:rPr>
        <w:t>6.4 界面关闭、内核与保护状态</w:t>
      </w:r>
    </w:p>
    <w:p>
      <w:r>
        <w:rPr>
          <w:b w:val="0"/>
          <w:i w:val="0"/>
        </w:rPr>
        <w:t>关闭窗口、停止代理内核、解除网络保护是不同操作，名称与实际效果必须一致。日常页面展示已连接、线路异常、保护阻断、等待处理等用户可理解的状态。</w:t>
      </w:r>
    </w:p>
    <w:p>
      <w:r>
        <w:rPr>
          <w:b w:val="0"/>
          <w:i w:val="0"/>
        </w:rPr>
        <w:t>托盘、后台常驻、开机启动和关闭窗口后的默认行为列入实现待定，不在此假定某一种行为已经获得授权。代理运行和恢复不得依赖 AI 在线。</w:t>
      </w:r>
    </w:p>
    <w:p>
      <w:pPr>
        <w:pStyle w:val="Heading1"/>
      </w:pPr>
      <w:r>
        <w:rPr>
          <w:b w:val="0"/>
          <w:i w:val="0"/>
        </w:rPr>
        <w:t>7. 月度代理流量计量与限额</w:t>
      </w:r>
    </w:p>
    <w:p>
      <w:pPr>
        <w:pStyle w:val="Heading2"/>
      </w:pPr>
      <w:r>
        <w:rPr>
          <w:b w:val="0"/>
          <w:i w:val="0"/>
        </w:rPr>
        <w:t>7.1 配额对象与口径</w:t>
      </w:r>
    </w:p>
    <w:p>
      <w:r>
        <w:rPr>
          <w:b w:val="0"/>
          <w:i w:val="0"/>
        </w:rPr>
        <w:t>后台按应用用户配置月度上限，250 GB 为示例值。普通界面统一显示总额、已用、剩余、下一次重置时间与最近同步时间；具体 GB／GiB 单位和重置周期必须在接入计量后明确，不能混用。</w:t>
      </w:r>
    </w:p>
    <w:tbl>
      <w:tblPr>
        <w:tblW w:type="dxa" w:w="9582"/>
        <w:jc w:val="center"/>
        <w:tblLayout w:type="fixed"/>
        <w:tblLook w:firstColumn="1" w:firstRow="1" w:lastColumn="0" w:lastRow="0" w:noHBand="0" w:noVBand="1" w:val="04A0"/>
        <w:tblBorders>
          <w:top w:val="single" w:sz="4" w:color="DCE4E8"/>
          <w:left w:val="single" w:sz="4" w:color="DCE4E8"/>
          <w:bottom w:val="single" w:sz="4" w:color="DCE4E8"/>
          <w:right w:val="single" w:sz="4" w:color="DCE4E8"/>
          <w:insideH w:val="single" w:sz="4" w:color="DCE4E8"/>
          <w:insideV w:val="single" w:sz="4" w:color="DCE4E8"/>
        </w:tblBorders>
      </w:tblPr>
      <w:tblGrid>
        <w:gridCol w:w="2300"/>
        <w:gridCol w:w="7282"/>
      </w:tblGrid>
      <w:tr>
        <w:trPr>
          <w:cantSplit/>
          <w:tblHeader/>
        </w:trPr>
        <w:tc>
          <w:tcPr>
            <w:tcW w:type="dxa" w:w="2300"/>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计量项目</w:t>
            </w:r>
          </w:p>
        </w:tc>
        <w:tc>
          <w:tcPr>
            <w:tcW w:type="dxa" w:w="7282"/>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第一版规则</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计入额度</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经分配的托管代理服务实际传输的上传量＋下载量</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不计入额度</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日常白名单中真正直连的流量，以及本机／局域网通信</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双固定出口</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A、B 合并计入该应用用户的总额度，不默认每个出口各有一份额度</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多设备／多环境</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若允许使用，同一用户统一汇总，不按设备重新赠送一份额度</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前置代理＋固定出口</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选定明确计量点，同一份传输不因经过两段链路重复向用户扣量</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模式切换／重启／重装</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服务端用量连续保留，不重置、不依赖客户端缓存记账</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周期重置</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由后台／服务端定义并执行，前台展示时间，不由本机时间决定</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展开明细</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可查看 A／B 或对应用途的分项用量，分项与总量保持一致</w:t>
            </w:r>
          </w:p>
        </w:tc>
      </w:tr>
    </w:tbl>
    <w:p>
      <w:pPr>
        <w:keepNext w:val="0"/>
        <w:spacing w:before="0" w:after="0" w:line="240" w:lineRule="auto"/>
      </w:pPr>
      <w:r>
        <w:rPr>
          <w:sz w:val="6"/>
        </w:rPr>
      </w:r>
    </w:p>
    <w:p>
      <w:r>
        <w:rPr>
          <w:b w:val="0"/>
          <w:i w:val="0"/>
        </w:rPr>
        <w:t>是否有具体协议开销、失败连接等字节进入上游计量，须在供应商和计量点选定后公布口径；不能把用户展示量直接等同所有上游供应商各自的计费量。</w:t>
      </w:r>
    </w:p>
    <w:p>
      <w:pPr>
        <w:pStyle w:val="Heading2"/>
      </w:pPr>
      <w:r>
        <w:rPr>
          <w:b w:val="0"/>
          <w:i w:val="0"/>
        </w:rPr>
        <w:t>7.2 服务端是额度执行依据</w:t>
      </w:r>
    </w:p>
    <w:p>
      <w:r>
        <w:rPr>
          <w:b w:val="0"/>
          <w:i w:val="0"/>
        </w:rPr>
        <w:t>客户端实时流量统计用于显示和辅助核对，不能作为唯一配额依据。后台必须对接可控服务端或上游的用户用量、额度设置、暂停与恢复能力。</w:t>
      </w:r>
    </w:p>
    <w:p>
      <w:r>
        <w:rPr>
          <w:b w:val="0"/>
          <w:i w:val="0"/>
        </w:rPr>
        <w:t>所有实际下发的可用接入路径都应纳入同一用户额度，不能其中一条可以绕过限制。供应商只有共享总订阅而没有按用户控制能力时，不具备本版承诺的每用户硬限额条件；需要更换接入能力或补齐受管计量点后再交付。</w:t>
      </w:r>
    </w:p>
    <w:p>
      <w:r>
        <w:rPr>
          <w:b w:val="0"/>
          <w:i w:val="0"/>
        </w:rPr>
        <w:t>不规定某一供应商或自建完整代理面板。优先复用现成用户／子账号与配额能力；接口和实际行为验证是接入条件，不是已完成事实。[U3—U4]</w:t>
      </w:r>
    </w:p>
    <w:p>
      <w:pPr>
        <w:pStyle w:val="Heading2"/>
      </w:pPr>
      <w:r>
        <w:rPr>
          <w:b w:val="0"/>
          <w:i w:val="0"/>
        </w:rPr>
        <w:t>7.3 同步、周期与一致性</w:t>
      </w:r>
    </w:p>
    <w:p>
      <w:r>
        <w:rPr>
          <w:b w:val="0"/>
          <w:i w:val="0"/>
        </w:rPr>
        <w:t>前台用量必须附最近同步时间；同步延迟或失败时保留最后已知值并标记，不用零用量替代未知。到期、暂停、周期重置及后台调额应反映到用户状态。</w:t>
      </w:r>
    </w:p>
    <w:p>
      <w:r>
        <w:rPr>
          <w:b w:val="0"/>
          <w:i w:val="0"/>
        </w:rPr>
        <w:t>同一周期内重复上报、切换设备、恢复本地配置不能重复扣量或清空累计量。后台调整额度与周期需记录变更，不把普通配置更新当作新开周期。</w:t>
      </w:r>
    </w:p>
    <w:p>
      <w:r>
        <w:rPr>
          <w:b w:val="0"/>
          <w:i w:val="0"/>
        </w:rPr>
        <w:t>月初重置还是开通日起算、时区、告警阈值、统计间隔、计量精度与容许误差未锁定。实现硬限额前应明确达到上限时对新连接和正在传输连接的处理及生效时延，不能先承诺字节级即时截断再补实现。</w:t>
      </w:r>
    </w:p>
    <w:p>
      <w:pPr>
        <w:pStyle w:val="Heading2"/>
      </w:pPr>
      <w:r>
        <w:rPr>
          <w:b w:val="0"/>
          <w:i w:val="0"/>
        </w:rPr>
        <w:t>7.4 给用户的简化展示</w:t>
      </w:r>
    </w:p>
    <w:p>
      <w:pPr>
        <w:keepLines/>
        <w:spacing w:before="100" w:after="160"/>
        <w:ind w:left="170" w:right="170"/>
        <w:shd w:fill="EEF6F7"/>
      </w:pPr>
      <w:r>
        <w:rPr>
          <w:b w:val="0"/>
          <w:i w:val="0"/>
          <w:color w:val="126B78"/>
        </w:rPr>
        <w:t>本月代理流量：已用／总额</w:t>
      </w:r>
      <w:r>
        <w:br/>
      </w:r>
      <w:r>
        <w:rPr>
          <w:b w:val="0"/>
          <w:i w:val="0"/>
          <w:color w:val="126B78"/>
        </w:rPr>
        <w:t>剩余额度：按最新服务端结果显示</w:t>
      </w:r>
      <w:r>
        <w:br/>
      </w:r>
      <w:r>
        <w:rPr>
          <w:b w:val="0"/>
          <w:i w:val="0"/>
          <w:color w:val="126B78"/>
        </w:rPr>
        <w:t>下一次重置：显示具体时间与所用时区</w:t>
      </w:r>
      <w:r>
        <w:br/>
      </w:r>
      <w:r>
        <w:rPr>
          <w:b w:val="0"/>
          <w:i w:val="0"/>
          <w:color w:val="126B78"/>
        </w:rPr>
        <w:t>最近同步：显示时间；同步异常时明确提示</w:t>
      </w:r>
      <w:r>
        <w:br/>
      </w:r>
      <w:r>
        <w:rPr>
          <w:b w:val="0"/>
          <w:i w:val="0"/>
          <w:color w:val="126B78"/>
        </w:rPr>
        <w:t>【查看用量明细】　【查看当前方案】</w:t>
      </w:r>
    </w:p>
    <w:p>
      <w:r>
        <w:rPr>
          <w:b w:val="0"/>
          <w:i w:val="0"/>
        </w:rPr>
        <w:t>此为字段示意，不填造实际用户用量。双 IP 分项位于详情，普通页面不要求用户理解两个独立账本。</w:t>
      </w:r>
    </w:p>
    <w:p>
      <w:pPr>
        <w:pStyle w:val="Heading1"/>
      </w:pPr>
      <w:r>
        <w:rPr>
          <w:b w:val="0"/>
          <w:i w:val="0"/>
        </w:rPr>
        <w:t>8. 额度耗尽、服务异常与恢复</w:t>
      </w:r>
    </w:p>
    <w:p>
      <w:pPr>
        <w:pStyle w:val="Heading2"/>
      </w:pPr>
      <w:r>
        <w:rPr>
          <w:b w:val="0"/>
          <w:i w:val="0"/>
        </w:rPr>
        <w:t>8.1 限额状态与用户提醒</w:t>
      </w:r>
    </w:p>
    <w:p>
      <w:r>
        <w:rPr>
          <w:b w:val="0"/>
          <w:i w:val="0"/>
        </w:rPr>
        <w:t>接近额度上限时提前提醒，具体阈值待定。达到上限后，由服务端暂停对应托管代理服务，客户端同步显示原因，不把暂停包装成一般网络故障。</w:t>
      </w:r>
    </w:p>
    <w:p>
      <w:r>
        <w:rPr>
          <w:b w:val="0"/>
          <w:i w:val="0"/>
        </w:rPr>
        <w:t>额度耗尽不等于关闭 TUN、不等于解除保护，也不等于允许代理流量改用本地网络。客户端停止计量上报、重装或修改本机时间，都不能恢复服务端额度。</w:t>
      </w:r>
    </w:p>
    <w:p>
      <w:pPr>
        <w:pStyle w:val="Heading2"/>
      </w:pPr>
      <w:r>
        <w:rPr>
          <w:b w:val="0"/>
          <w:i w:val="0"/>
        </w:rPr>
        <w:t>8.2 各方案在额度耗尽后的行为</w:t>
      </w:r>
    </w:p>
    <w:tbl>
      <w:tblPr>
        <w:tblW w:type="dxa" w:w="9582"/>
        <w:jc w:val="center"/>
        <w:tblLayout w:type="fixed"/>
        <w:tblLook w:firstColumn="1" w:firstRow="1" w:lastColumn="0" w:lastRow="0" w:noHBand="0" w:noVBand="1" w:val="04A0"/>
        <w:tblBorders>
          <w:top w:val="single" w:sz="4" w:color="DCE4E8"/>
          <w:left w:val="single" w:sz="4" w:color="DCE4E8"/>
          <w:bottom w:val="single" w:sz="4" w:color="DCE4E8"/>
          <w:right w:val="single" w:sz="4" w:color="DCE4E8"/>
          <w:insideH w:val="single" w:sz="4" w:color="DCE4E8"/>
          <w:insideV w:val="single" w:sz="4" w:color="DCE4E8"/>
        </w:tblBorders>
      </w:tblPr>
      <w:tblGrid>
        <w:gridCol w:w="2204"/>
        <w:gridCol w:w="3689"/>
        <w:gridCol w:w="3689"/>
      </w:tblGrid>
      <w:tr>
        <w:trPr>
          <w:cantSplit/>
          <w:tblHeader/>
        </w:trPr>
        <w:tc>
          <w:tcPr>
            <w:tcW w:type="dxa" w:w="2204"/>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当前方案</w:t>
            </w:r>
          </w:p>
        </w:tc>
        <w:tc>
          <w:tcPr>
            <w:tcW w:type="dxa" w:w="3689"/>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额度耗尽后</w:t>
            </w:r>
          </w:p>
        </w:tc>
        <w:tc>
          <w:tcPr>
            <w:tcW w:type="dxa" w:w="3689"/>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必须保持的边界</w:t>
            </w:r>
          </w:p>
        </w:tc>
      </w:tr>
      <w:tr>
        <w:trPr>
          <w:cantSplit/>
        </w:trPr>
        <w:tc>
          <w:tcPr>
            <w:tcW w:type="dxa" w:w="220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日常单 IP</w:t>
            </w:r>
          </w:p>
        </w:tc>
        <w:tc>
          <w:tcPr>
            <w:tcW w:type="dxa" w:w="3689"/>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需要代理的流量停止；已经批准的普通直连白名单仍可使用</w:t>
            </w:r>
          </w:p>
        </w:tc>
        <w:tc>
          <w:tcPr>
            <w:tcW w:type="dxa" w:w="3689"/>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Claude 不因额度耗尽改为直连；未命中白名单的业务不被放行</w:t>
            </w:r>
          </w:p>
        </w:tc>
      </w:tr>
      <w:tr>
        <w:trPr>
          <w:cantSplit/>
        </w:trPr>
        <w:tc>
          <w:tcPr>
            <w:tcW w:type="dxa" w:w="220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Claude 专用单 IP</w:t>
            </w:r>
          </w:p>
        </w:tc>
        <w:tc>
          <w:tcPr>
            <w:tcW w:type="dxa" w:w="3689"/>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对应代理业务停止，保留必要本机通信</w:t>
            </w:r>
          </w:p>
        </w:tc>
        <w:tc>
          <w:tcPr>
            <w:tcW w:type="dxa" w:w="3689"/>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不自动启用日常白名单、不自动降级日常模式</w:t>
            </w:r>
          </w:p>
        </w:tc>
      </w:tr>
      <w:tr>
        <w:trPr>
          <w:cantSplit/>
        </w:trPr>
        <w:tc>
          <w:tcPr>
            <w:tcW w:type="dxa" w:w="220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Claude 专用双 IP</w:t>
            </w:r>
          </w:p>
        </w:tc>
        <w:tc>
          <w:tcPr>
            <w:tcW w:type="dxa" w:w="3689"/>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A、B 按同一用户总额度控制，代理业务暂停</w:t>
            </w:r>
          </w:p>
        </w:tc>
        <w:tc>
          <w:tcPr>
            <w:tcW w:type="dxa" w:w="3689"/>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不通过另一出口继续绕过额度，不借用其他用户资源</w:t>
            </w:r>
          </w:p>
        </w:tc>
      </w:tr>
    </w:tbl>
    <w:p>
      <w:pPr>
        <w:keepNext w:val="0"/>
        <w:spacing w:before="0" w:after="0" w:line="240" w:lineRule="auto"/>
      </w:pPr>
      <w:r>
        <w:rPr>
          <w:sz w:val="6"/>
        </w:rPr>
      </w:r>
    </w:p>
    <w:p>
      <w:r>
        <w:rPr>
          <w:b w:val="0"/>
          <w:i w:val="0"/>
        </w:rPr>
        <w:t>必要基础通信仍受模板范围约束，不能为了显示额度或恢复连接临时新增宽泛直连规则。具体控制服务的可达路径在实施前明确。</w:t>
      </w:r>
    </w:p>
    <w:p>
      <w:pPr>
        <w:pStyle w:val="Heading2"/>
      </w:pPr>
      <w:r>
        <w:rPr>
          <w:b w:val="0"/>
          <w:i w:val="0"/>
        </w:rPr>
        <w:t>8.3 不同异常分开归因</w:t>
      </w:r>
    </w:p>
    <w:tbl>
      <w:tblPr>
        <w:tblW w:type="dxa" w:w="9582"/>
        <w:jc w:val="center"/>
        <w:tblLayout w:type="fixed"/>
        <w:tblLook w:firstColumn="1" w:firstRow="1" w:lastColumn="0" w:lastRow="0" w:noHBand="0" w:noVBand="1" w:val="04A0"/>
        <w:tblBorders>
          <w:top w:val="single" w:sz="4" w:color="DCE4E8"/>
          <w:left w:val="single" w:sz="4" w:color="DCE4E8"/>
          <w:bottom w:val="single" w:sz="4" w:color="DCE4E8"/>
          <w:right w:val="single" w:sz="4" w:color="DCE4E8"/>
          <w:insideH w:val="single" w:sz="4" w:color="DCE4E8"/>
          <w:insideV w:val="single" w:sz="4" w:color="DCE4E8"/>
        </w:tblBorders>
      </w:tblPr>
      <w:tblGrid>
        <w:gridCol w:w="2300"/>
        <w:gridCol w:w="7282"/>
      </w:tblGrid>
      <w:tr>
        <w:trPr>
          <w:cantSplit/>
          <w:tblHeader/>
        </w:trPr>
        <w:tc>
          <w:tcPr>
            <w:tcW w:type="dxa" w:w="2300"/>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异常</w:t>
            </w:r>
          </w:p>
        </w:tc>
        <w:tc>
          <w:tcPr>
            <w:tcW w:type="dxa" w:w="7282"/>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说明与处理方向</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用户额度耗尽</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显示已用／上限、下一重置时间；等待周期重置或后台调整</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用户服务到期／暂停</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显示已知服务状态；不能用旧缓存配置继续绕过服务端授权</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上游共享资源先耗尽</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用户可能尚未用完自己的额度，属于我们需处理的资源问题，不归咎为用户超额</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线路或固定出口不可用</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显示线路异常及保护状态，不随机换路</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用量同步失败</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显示最后已知用量与同步缺口，不宣称额度为零或无限</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后台管理服务不可达</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可以沿用仍有效、已授权的本地配置；服务端配额、到期与暂停继续生效</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配置更新或切换失败</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恢复适用的旧配置，报告实际结果，不以解除保护隐藏失败</w:t>
            </w:r>
          </w:p>
        </w:tc>
      </w:tr>
    </w:tbl>
    <w:p>
      <w:pPr>
        <w:keepNext w:val="0"/>
        <w:spacing w:before="0" w:after="0" w:line="240" w:lineRule="auto"/>
      </w:pPr>
      <w:r>
        <w:rPr>
          <w:sz w:val="6"/>
        </w:rPr>
      </w:r>
    </w:p>
    <w:p>
      <w:pPr>
        <w:pStyle w:val="Heading2"/>
      </w:pPr>
      <w:r>
        <w:rPr>
          <w:b w:val="0"/>
          <w:i w:val="0"/>
        </w:rPr>
        <w:t>8.4 恢复条件</w:t>
      </w:r>
    </w:p>
    <w:p>
      <w:r>
        <w:rPr>
          <w:b w:val="0"/>
          <w:i w:val="0"/>
        </w:rPr>
        <w:t>周期重置、后台增加额度或恢复授权后，优先继续使用原来分配的 A／B。恢复额度不授权改变固定出口，恢复配置不授权重置用量。</w:t>
      </w:r>
    </w:p>
    <w:p>
      <w:r>
        <w:rPr>
          <w:b w:val="0"/>
          <w:i w:val="0"/>
        </w:rPr>
        <w:t>恢复后回读服务状态和线路，必要时触发 FD-02 复查。无法重新获得原线路时如实显示等待外部条件，不声称已经回到此前完全相同的环境。</w:t>
      </w:r>
    </w:p>
    <w:p>
      <w:pPr>
        <w:pStyle w:val="Heading1"/>
      </w:pPr>
      <w:r>
        <w:rPr>
          <w:b w:val="0"/>
          <w:i w:val="0"/>
        </w:rPr>
        <w:t>9. 自动更新、发布与配置恢复</w:t>
      </w:r>
    </w:p>
    <w:p>
      <w:pPr>
        <w:pStyle w:val="Heading2"/>
      </w:pPr>
      <w:r>
        <w:rPr>
          <w:b w:val="0"/>
          <w:i w:val="0"/>
        </w:rPr>
        <w:t>9.1 自动维护的授权范围</w:t>
      </w:r>
    </w:p>
    <w:p>
      <w:r>
        <w:rPr>
          <w:b w:val="0"/>
          <w:i w:val="0"/>
        </w:rPr>
        <w:t>首次启用方案时，一次性说明自动维护覆盖哪些内容并取得授权。以后范围内的常规订阅与规则更新自动完成，不反复要求用户确认技术细节。</w:t>
      </w:r>
    </w:p>
    <w:tbl>
      <w:tblPr>
        <w:tblW w:type="dxa" w:w="9582"/>
        <w:jc w:val="center"/>
        <w:tblLayout w:type="fixed"/>
        <w:tblLook w:firstColumn="1" w:firstRow="1" w:lastColumn="0" w:lastRow="0" w:noHBand="0" w:noVBand="1" w:val="04A0"/>
        <w:tblBorders>
          <w:top w:val="single" w:sz="4" w:color="DCE4E8"/>
          <w:left w:val="single" w:sz="4" w:color="DCE4E8"/>
          <w:bottom w:val="single" w:sz="4" w:color="DCE4E8"/>
          <w:right w:val="single" w:sz="4" w:color="DCE4E8"/>
          <w:insideH w:val="single" w:sz="4" w:color="DCE4E8"/>
          <w:insideV w:val="single" w:sz="4" w:color="DCE4E8"/>
        </w:tblBorders>
      </w:tblPr>
      <w:tblGrid>
        <w:gridCol w:w="2300"/>
        <w:gridCol w:w="7282"/>
      </w:tblGrid>
      <w:tr>
        <w:trPr>
          <w:cantSplit/>
          <w:tblHeader/>
        </w:trPr>
        <w:tc>
          <w:tcPr>
            <w:tcW w:type="dxa" w:w="2300"/>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更新内容</w:t>
            </w:r>
          </w:p>
        </w:tc>
        <w:tc>
          <w:tcPr>
            <w:tcW w:type="dxa" w:w="7282"/>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处理规则</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订阅列表、域名和规则集合</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自动获取、验证并按授权应用；不能覆盖用户白名单或突破保护边界</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已批准的前置资源维护</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可按已选方案维护或选择批准范围内资源；最终出口 A 的绑定与路径要求不随之改变</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变更 Claude 最终 IP、地区或保护范围</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不属于普通刷新；无明确预授权时须告知并确认</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需要重启或短暂断网</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自动取得与验证更新，在合适维护时机应用；影响与时机规则需明确</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核心程序／内核升级</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本版规定受控更新、验证和恢复原则；具体版本、打包、升级策略另行选择</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更新失败</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保留或恢复此前仍有效的配置，记录失败原因与用户可见状态</w:t>
            </w:r>
          </w:p>
        </w:tc>
      </w:tr>
    </w:tbl>
    <w:p>
      <w:pPr>
        <w:keepNext w:val="0"/>
        <w:spacing w:before="0" w:after="0" w:line="240" w:lineRule="auto"/>
      </w:pPr>
      <w:r>
        <w:rPr>
          <w:sz w:val="6"/>
        </w:rPr>
      </w:r>
    </w:p>
    <w:p>
      <w:r>
        <w:rPr>
          <w:b w:val="0"/>
          <w:i w:val="0"/>
        </w:rPr>
        <w:t>常规更新授权不是后台任意运行系统脚本、清理文件、停用用户其他软件或更改账号的授权。[FD01 §2—3；FD02 §8]</w:t>
      </w:r>
    </w:p>
    <w:p>
      <w:pPr>
        <w:pStyle w:val="Heading2"/>
      </w:pPr>
      <w:r>
        <w:rPr>
          <w:b w:val="0"/>
          <w:i w:val="0"/>
        </w:rPr>
        <w:t>9.2 发布与应用顺序</w:t>
      </w:r>
    </w:p>
    <w:p>
      <w:r>
        <w:rPr>
          <w:b w:val="0"/>
          <w:i w:val="0"/>
        </w:rPr>
        <w:t>新版本获取 → 校验配置与资源 → 检查本地适配和保护约束 → 应用 → 回读内核运行状态 → 复查对应路径 → 记录版本与结果。</w:t>
      </w:r>
    </w:p>
    <w:p>
      <w:r>
        <w:rPr>
          <w:b w:val="0"/>
          <w:i w:val="0"/>
        </w:rPr>
        <w:t>后台发布成功与客户端应用成功分别记录。下载成功、配置语法正确、内核加载成功、实际路径正确是不同阶段，不能统一显示“更新成功”而省略缺口。</w:t>
      </w:r>
    </w:p>
    <w:p>
      <w:pPr>
        <w:pStyle w:val="Heading2"/>
      </w:pPr>
      <w:r>
        <w:rPr>
          <w:b w:val="0"/>
          <w:i w:val="0"/>
        </w:rPr>
        <w:t>9.3 失败恢复与离线行为</w:t>
      </w:r>
    </w:p>
    <w:p>
      <w:r>
        <w:rPr>
          <w:b w:val="0"/>
          <w:i w:val="0"/>
        </w:rPr>
        <w:t>应用前记录本次要改变的配置、授权范围与可恢复对象。恢复只针对本次操作，不能覆盖不相关的新修改。旧版本已经到期、被撤销或资源失效时，不通过回滚继续绕过限制。</w:t>
      </w:r>
    </w:p>
    <w:p>
      <w:r>
        <w:rPr>
          <w:b w:val="0"/>
          <w:i w:val="0"/>
        </w:rPr>
        <w:t>后台短时离线时可继续使用本地最后有效配置；前提是对应网络资源与服务端授权仍可用。没有有效配置时显示未就绪，不自动使用公共订阅或未知节点。</w:t>
      </w:r>
    </w:p>
    <w:p>
      <w:r>
        <w:rPr>
          <w:b w:val="0"/>
          <w:i w:val="0"/>
        </w:rPr>
        <w:t>本地回滚不能回滚服务端流量账目，也不能复活已撤销的凭据。用户白名单、已批准出口绑定、配额和有效期分别保持正确边界。</w:t>
      </w:r>
    </w:p>
    <w:p>
      <w:pPr>
        <w:pStyle w:val="Heading2"/>
      </w:pPr>
      <w:r>
        <w:rPr>
          <w:b w:val="0"/>
          <w:i w:val="0"/>
        </w:rPr>
        <w:t>9.4 与单次诊断处理衔接</w:t>
      </w:r>
    </w:p>
    <w:p>
      <w:r>
        <w:rPr>
          <w:b w:val="0"/>
          <w:i w:val="0"/>
        </w:rPr>
        <w:t>FD-02 的一键修复仍基于用户确认的具体问题与动作。它调用本模块同一受管配置入口，而不是另写一份覆盖后台模板的配置。</w:t>
      </w:r>
    </w:p>
    <w:p>
      <w:r>
        <w:rPr>
          <w:b w:val="0"/>
          <w:i w:val="0"/>
        </w:rPr>
        <w:t>属于常规维护授权内的动作按本节执行；超出授权、改变 A 或保护边界的动作重新说明与确认。应用记录是“后台常规更新”“用户方案切换”还是“用户确认的问题修复”，便于复查和恢复。</w:t>
      </w:r>
    </w:p>
    <w:p>
      <w:pPr>
        <w:pStyle w:val="Heading1"/>
      </w:pPr>
      <w:r>
        <w:rPr>
          <w:b w:val="0"/>
          <w:i w:val="0"/>
        </w:rPr>
        <w:t>10. 界面、AI 与信息边界</w:t>
      </w:r>
    </w:p>
    <w:p>
      <w:pPr>
        <w:pStyle w:val="Heading2"/>
      </w:pPr>
      <w:r>
        <w:rPr>
          <w:b w:val="0"/>
          <w:i w:val="0"/>
        </w:rPr>
        <w:t>10.1 用户端页面</w:t>
      </w:r>
    </w:p>
    <w:tbl>
      <w:tblPr>
        <w:tblW w:type="dxa" w:w="9582"/>
        <w:jc w:val="center"/>
        <w:tblLayout w:type="fixed"/>
        <w:tblLook w:firstColumn="1" w:firstRow="1" w:lastColumn="0" w:lastRow="0" w:noHBand="0" w:noVBand="1" w:val="04A0"/>
        <w:tblBorders>
          <w:top w:val="single" w:sz="4" w:color="DCE4E8"/>
          <w:left w:val="single" w:sz="4" w:color="DCE4E8"/>
          <w:bottom w:val="single" w:sz="4" w:color="DCE4E8"/>
          <w:right w:val="single" w:sz="4" w:color="DCE4E8"/>
          <w:insideH w:val="single" w:sz="4" w:color="DCE4E8"/>
          <w:insideV w:val="single" w:sz="4" w:color="DCE4E8"/>
        </w:tblBorders>
      </w:tblPr>
      <w:tblGrid>
        <w:gridCol w:w="2300"/>
        <w:gridCol w:w="7282"/>
      </w:tblGrid>
      <w:tr>
        <w:trPr>
          <w:cantSplit/>
          <w:tblHeader/>
        </w:trPr>
        <w:tc>
          <w:tcPr>
            <w:tcW w:type="dxa" w:w="2300"/>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页面或区域</w:t>
            </w:r>
          </w:p>
        </w:tc>
        <w:tc>
          <w:tcPr>
            <w:tcW w:type="dxa" w:w="7282"/>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必须呈现</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网络方案首页</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当前方案、可用方案、推荐对象、连接／保护状态、固定出口角色、切换与体检入口</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方案确认卡片</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与当前方案的差异、直连变化、出口 A 是否变化、潜在短暂断网及自动维护授权</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日常直连网站</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添加、删除、启停、恢复默认；显示域名范围和当前方案下是否生效</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流量额度</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本月总额、已用、剩余、重置时间、最近同步；A／B 明细按需展开</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更新与恢复</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当前版本、最近更新、应用或复查状态、可恢复内容和限制</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异常提示</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区分额度、到期、资源、线路、配置、后台与同步问题，提供具体可行入口</w:t>
            </w:r>
          </w:p>
        </w:tc>
      </w:tr>
    </w:tbl>
    <w:p>
      <w:pPr>
        <w:keepNext w:val="0"/>
        <w:spacing w:before="0" w:after="0" w:line="240" w:lineRule="auto"/>
      </w:pPr>
      <w:r>
        <w:rPr>
          <w:sz w:val="6"/>
        </w:rPr>
      </w:r>
    </w:p>
    <w:p>
      <w:r>
        <w:rPr>
          <w:b w:val="0"/>
          <w:i w:val="0"/>
        </w:rPr>
        <w:t>普通用户不操作订阅 URL、代理密码、节点组合或原始规则。尚未分配或不具备资源的方案不能伪装成一键可用；可以显示未开通原因，具体开通业务流程不在本版锁定。</w:t>
      </w:r>
    </w:p>
    <w:p>
      <w:pPr>
        <w:pStyle w:val="Heading2"/>
      </w:pPr>
      <w:r>
        <w:rPr>
          <w:b w:val="0"/>
          <w:i w:val="0"/>
        </w:rPr>
        <w:t>10.2 后台页面</w:t>
      </w:r>
    </w:p>
    <w:p>
      <w:r>
        <w:rPr>
          <w:b w:val="0"/>
          <w:i w:val="0"/>
        </w:rPr>
        <w:t>后台提供方案模板、订阅与前置资源、A／B 出口、用户分配、额度与周期、发布版本及运行反馈等管理入口。管理员可以维护资源与调整额度，用户只能修改其获开放的清单或选择获分配方案。</w:t>
      </w:r>
    </w:p>
    <w:p>
      <w:r>
        <w:rPr>
          <w:b w:val="0"/>
          <w:i w:val="0"/>
        </w:rPr>
        <w:t>本版不扩展充值商城、复杂账单、代理商层级或销售体系。控制需要的用量与资源状态不等于采集用户浏览内容，完整访问行为分析另由后续流量监测需求定义。</w:t>
      </w:r>
    </w:p>
    <w:p>
      <w:pPr>
        <w:pStyle w:val="Heading2"/>
      </w:pPr>
      <w:r>
        <w:rPr>
          <w:b w:val="0"/>
          <w:i w:val="0"/>
        </w:rPr>
        <w:t>10.3 标准能力与 AI 增强</w:t>
      </w:r>
    </w:p>
    <w:tbl>
      <w:tblPr>
        <w:tblW w:type="dxa" w:w="9582"/>
        <w:jc w:val="center"/>
        <w:tblLayout w:type="fixed"/>
        <w:tblLook w:firstColumn="1" w:firstRow="1" w:lastColumn="0" w:lastRow="0" w:noHBand="0" w:noVBand="1" w:val="04A0"/>
        <w:tblBorders>
          <w:top w:val="single" w:sz="4" w:color="DCE4E8"/>
          <w:left w:val="single" w:sz="4" w:color="DCE4E8"/>
          <w:bottom w:val="single" w:sz="4" w:color="DCE4E8"/>
          <w:right w:val="single" w:sz="4" w:color="DCE4E8"/>
          <w:insideH w:val="single" w:sz="4" w:color="DCE4E8"/>
          <w:insideV w:val="single" w:sz="4" w:color="DCE4E8"/>
        </w:tblBorders>
      </w:tblPr>
      <w:tblGrid>
        <w:gridCol w:w="2204"/>
        <w:gridCol w:w="3689"/>
        <w:gridCol w:w="3689"/>
      </w:tblGrid>
      <w:tr>
        <w:trPr>
          <w:cantSplit/>
          <w:tblHeader/>
        </w:trPr>
        <w:tc>
          <w:tcPr>
            <w:tcW w:type="dxa" w:w="2204"/>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环节</w:t>
            </w:r>
          </w:p>
        </w:tc>
        <w:tc>
          <w:tcPr>
            <w:tcW w:type="dxa" w:w="3689"/>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程序必须独立完成</w:t>
            </w:r>
          </w:p>
        </w:tc>
        <w:tc>
          <w:tcPr>
            <w:tcW w:type="dxa" w:w="3689"/>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AI 可辅助的部分</w:t>
            </w:r>
          </w:p>
        </w:tc>
      </w:tr>
      <w:tr>
        <w:trPr>
          <w:cantSplit/>
        </w:trPr>
        <w:tc>
          <w:tcPr>
            <w:tcW w:type="dxa" w:w="220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方案获取与分配</w:t>
            </w:r>
          </w:p>
        </w:tc>
        <w:tc>
          <w:tcPr>
            <w:tcW w:type="dxa" w:w="3689"/>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读取授权、资源和配置版本</w:t>
            </w:r>
          </w:p>
        </w:tc>
        <w:tc>
          <w:tcPr>
            <w:tcW w:type="dxa" w:w="3689"/>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解释配置冲突或缺失</w:t>
            </w:r>
          </w:p>
        </w:tc>
      </w:tr>
      <w:tr>
        <w:trPr>
          <w:cantSplit/>
        </w:trPr>
        <w:tc>
          <w:tcPr>
            <w:tcW w:type="dxa" w:w="220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路由与保护</w:t>
            </w:r>
          </w:p>
        </w:tc>
        <w:tc>
          <w:tcPr>
            <w:tcW w:type="dxa" w:w="3689"/>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应用预设规则、执行固定出口约束</w:t>
            </w:r>
          </w:p>
        </w:tc>
        <w:tc>
          <w:tcPr>
            <w:tcW w:type="dxa" w:w="3689"/>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只读分析异常，不决定临场换路</w:t>
            </w:r>
          </w:p>
        </w:tc>
      </w:tr>
      <w:tr>
        <w:trPr>
          <w:cantSplit/>
        </w:trPr>
        <w:tc>
          <w:tcPr>
            <w:tcW w:type="dxa" w:w="220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用量与限额</w:t>
            </w:r>
          </w:p>
        </w:tc>
        <w:tc>
          <w:tcPr>
            <w:tcW w:type="dxa" w:w="3689"/>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服务端计量、额度控制与客户端展示</w:t>
            </w:r>
          </w:p>
        </w:tc>
        <w:tc>
          <w:tcPr>
            <w:tcW w:type="dxa" w:w="3689"/>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解释用量异常，不计算或改写权威账目</w:t>
            </w:r>
          </w:p>
        </w:tc>
      </w:tr>
      <w:tr>
        <w:trPr>
          <w:cantSplit/>
        </w:trPr>
        <w:tc>
          <w:tcPr>
            <w:tcW w:type="dxa" w:w="220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更新与恢复</w:t>
            </w:r>
          </w:p>
        </w:tc>
        <w:tc>
          <w:tcPr>
            <w:tcW w:type="dxa" w:w="3689"/>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按范围授权执行、复查、恢复</w:t>
            </w:r>
          </w:p>
        </w:tc>
        <w:tc>
          <w:tcPr>
            <w:tcW w:type="dxa" w:w="3689"/>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分析失败原因、提出受支持建议</w:t>
            </w:r>
          </w:p>
        </w:tc>
      </w:tr>
      <w:tr>
        <w:trPr>
          <w:cantSplit/>
        </w:trPr>
        <w:tc>
          <w:tcPr>
            <w:tcW w:type="dxa" w:w="220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用户交互</w:t>
            </w:r>
          </w:p>
        </w:tc>
        <w:tc>
          <w:tcPr>
            <w:tcW w:type="dxa" w:w="3689"/>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方案卡片、按钮、结果与提示</w:t>
            </w:r>
          </w:p>
        </w:tc>
        <w:tc>
          <w:tcPr>
            <w:tcW w:type="dxa" w:w="3689"/>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无对话框，不需要用户通过聊天完成配置</w:t>
            </w:r>
          </w:p>
        </w:tc>
      </w:tr>
    </w:tbl>
    <w:p>
      <w:pPr>
        <w:keepNext w:val="0"/>
        <w:spacing w:before="0" w:after="0" w:line="240" w:lineRule="auto"/>
      </w:pPr>
      <w:r>
        <w:rPr>
          <w:sz w:val="6"/>
        </w:rPr>
      </w:r>
    </w:p>
    <w:p>
      <w:r>
        <w:rPr>
          <w:b w:val="0"/>
          <w:i w:val="0"/>
        </w:rPr>
        <w:t>AI 不可用时，既有网络、额度控制、更新执行与恢复不失效。AI 不持有任意管理员终端，不接收 Claude 认证资料、代理秘密或用户对话全文。[FD01 §7；FD02 §6]</w:t>
      </w:r>
    </w:p>
    <w:p>
      <w:pPr>
        <w:pStyle w:val="Heading2"/>
      </w:pPr>
      <w:r>
        <w:rPr>
          <w:b w:val="0"/>
          <w:i w:val="0"/>
        </w:rPr>
        <w:t>10.4 日志、报告与开源边界</w:t>
      </w:r>
    </w:p>
    <w:p>
      <w:r>
        <w:rPr>
          <w:b w:val="0"/>
          <w:i w:val="0"/>
        </w:rPr>
        <w:t>至少记录用户／环境引用、方案、配置版本、授权来源、A／B 角色、应用结果、复查时间、用量来源与同步状态、限额或服务状态，以及更新／恢复结果。公开或用户导出默认脱敏，不包含代理密码、完整秘密订阅、私钥或其他用户资源。</w:t>
      </w:r>
    </w:p>
    <w:p>
      <w:r>
        <w:rPr>
          <w:b w:val="0"/>
          <w:i w:val="0"/>
        </w:rPr>
        <w:t>运行状态采集和配置分发所需的数据范围应在实际接入时说明。本份没有授权收集 Claude 密码、OAuth Token、Cookie 明文或对话正文。</w:t>
      </w:r>
    </w:p>
    <w:p>
      <w:pPr>
        <w:pStyle w:val="Heading1"/>
      </w:pPr>
      <w:r>
        <w:rPr>
          <w:b w:val="0"/>
          <w:i w:val="0"/>
        </w:rPr>
        <w:t>11. 可追踪功能清单</w:t>
      </w:r>
    </w:p>
    <w:p>
      <w:r>
        <w:rPr>
          <w:b w:val="0"/>
          <w:i w:val="0"/>
        </w:rPr>
        <w:t>本节仅将前文已确认范围编号化，便于开发拆解；不新增独立平台或功能层。</w:t>
      </w:r>
    </w:p>
    <w:tbl>
      <w:tblPr>
        <w:tblW w:type="dxa" w:w="9582"/>
        <w:jc w:val="center"/>
        <w:tblLayout w:type="fixed"/>
        <w:tblLook w:firstColumn="1" w:firstRow="1" w:lastColumn="0" w:lastRow="0" w:noHBand="0" w:noVBand="1" w:val="04A0"/>
        <w:tblBorders>
          <w:top w:val="single" w:sz="4" w:color="DCE4E8"/>
          <w:left w:val="single" w:sz="4" w:color="DCE4E8"/>
          <w:bottom w:val="single" w:sz="4" w:color="DCE4E8"/>
          <w:right w:val="single" w:sz="4" w:color="DCE4E8"/>
          <w:insideH w:val="single" w:sz="4" w:color="DCE4E8"/>
          <w:insideV w:val="single" w:sz="4" w:color="DCE4E8"/>
        </w:tblBorders>
      </w:tblPr>
      <w:tblGrid>
        <w:gridCol w:w="910"/>
        <w:gridCol w:w="2635"/>
        <w:gridCol w:w="6037"/>
      </w:tblGrid>
      <w:tr>
        <w:trPr>
          <w:cantSplit/>
          <w:tblHeader/>
        </w:trPr>
        <w:tc>
          <w:tcPr>
            <w:tcW w:type="dxa" w:w="910"/>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功能编号</w:t>
            </w:r>
          </w:p>
        </w:tc>
        <w:tc>
          <w:tcPr>
            <w:tcW w:type="dxa" w:w="2635"/>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功能</w:t>
            </w:r>
          </w:p>
        </w:tc>
        <w:tc>
          <w:tcPr>
            <w:tcW w:type="dxa" w:w="6037"/>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完成标准摘要</w:t>
            </w:r>
          </w:p>
        </w:tc>
      </w:tr>
      <w:tr>
        <w:trPr>
          <w:cantSplit/>
        </w:trPr>
        <w:tc>
          <w:tcPr>
            <w:tcW w:type="dxa" w:w="91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F01</w:t>
            </w:r>
          </w:p>
        </w:tc>
        <w:tc>
          <w:tcPr>
            <w:tcW w:type="dxa" w:w="2635"/>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用户与资源绑定</w:t>
            </w:r>
          </w:p>
        </w:tc>
        <w:tc>
          <w:tcPr>
            <w:tcW w:type="dxa" w:w="603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以应用用户识别分配结果，不依赖 Claude 凭据</w:t>
            </w:r>
          </w:p>
        </w:tc>
      </w:tr>
      <w:tr>
        <w:trPr>
          <w:cantSplit/>
        </w:trPr>
        <w:tc>
          <w:tcPr>
            <w:tcW w:type="dxa" w:w="91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F02</w:t>
            </w:r>
          </w:p>
        </w:tc>
        <w:tc>
          <w:tcPr>
            <w:tcW w:type="dxa" w:w="2635"/>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三套预设方案</w:t>
            </w:r>
          </w:p>
        </w:tc>
        <w:tc>
          <w:tcPr>
            <w:tcW w:type="dxa" w:w="603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日常单 IP、Claude 单 IP、Claude 双 IP 行为与矩阵一致</w:t>
            </w:r>
          </w:p>
        </w:tc>
      </w:tr>
      <w:tr>
        <w:trPr>
          <w:cantSplit/>
        </w:trPr>
        <w:tc>
          <w:tcPr>
            <w:tcW w:type="dxa" w:w="91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F03</w:t>
            </w:r>
          </w:p>
        </w:tc>
        <w:tc>
          <w:tcPr>
            <w:tcW w:type="dxa" w:w="2635"/>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简单推荐与可用性展示</w:t>
            </w:r>
          </w:p>
        </w:tc>
        <w:tc>
          <w:tcPr>
            <w:tcW w:type="dxa" w:w="603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按已定对象推荐，实际开通依后台资源，不判账号风险</w:t>
            </w:r>
          </w:p>
        </w:tc>
      </w:tr>
      <w:tr>
        <w:trPr>
          <w:cantSplit/>
        </w:trPr>
        <w:tc>
          <w:tcPr>
            <w:tcW w:type="dxa" w:w="91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F04</w:t>
            </w:r>
          </w:p>
        </w:tc>
        <w:tc>
          <w:tcPr>
            <w:tcW w:type="dxa" w:w="2635"/>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按用户方案分配</w:t>
            </w:r>
          </w:p>
        </w:tc>
        <w:tc>
          <w:tcPr>
            <w:tcW w:type="dxa" w:w="603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可用方案、有效期、额度和资源关系明确，不公开全部资源</w:t>
            </w:r>
          </w:p>
        </w:tc>
      </w:tr>
      <w:tr>
        <w:trPr>
          <w:cantSplit/>
        </w:trPr>
        <w:tc>
          <w:tcPr>
            <w:tcW w:type="dxa" w:w="91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F05</w:t>
            </w:r>
          </w:p>
        </w:tc>
        <w:tc>
          <w:tcPr>
            <w:tcW w:type="dxa" w:w="2635"/>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后台订阅管理</w:t>
            </w:r>
          </w:p>
        </w:tc>
        <w:tc>
          <w:tcPr>
            <w:tcW w:type="dxa" w:w="603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维护订阅来源、刷新与可用状态，用户无需自行导入</w:t>
            </w:r>
          </w:p>
        </w:tc>
      </w:tr>
      <w:tr>
        <w:trPr>
          <w:cantSplit/>
        </w:trPr>
        <w:tc>
          <w:tcPr>
            <w:tcW w:type="dxa" w:w="91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F06</w:t>
            </w:r>
          </w:p>
        </w:tc>
        <w:tc>
          <w:tcPr>
            <w:tcW w:type="dxa" w:w="2635"/>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前置代理与固定出口绑定</w:t>
            </w:r>
          </w:p>
        </w:tc>
        <w:tc>
          <w:tcPr>
            <w:tcW w:type="dxa" w:w="603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链路由后台设置，区分前置与最终出口，能验证角色</w:t>
            </w:r>
          </w:p>
        </w:tc>
      </w:tr>
      <w:tr>
        <w:trPr>
          <w:cantSplit/>
        </w:trPr>
        <w:tc>
          <w:tcPr>
            <w:tcW w:type="dxa" w:w="91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F07</w:t>
            </w:r>
          </w:p>
        </w:tc>
        <w:tc>
          <w:tcPr>
            <w:tcW w:type="dxa" w:w="2635"/>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单／双固定出口分工</w:t>
            </w:r>
          </w:p>
        </w:tc>
        <w:tc>
          <w:tcPr>
            <w:tcW w:type="dxa" w:w="603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单出口共用；双出口 Claude 用 A、其他用 B，不轮换</w:t>
            </w:r>
          </w:p>
        </w:tc>
      </w:tr>
      <w:tr>
        <w:trPr>
          <w:cantSplit/>
        </w:trPr>
        <w:tc>
          <w:tcPr>
            <w:tcW w:type="dxa" w:w="91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F08</w:t>
            </w:r>
          </w:p>
        </w:tc>
        <w:tc>
          <w:tcPr>
            <w:tcW w:type="dxa" w:w="2635"/>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资源就绪与有效性检查</w:t>
            </w:r>
          </w:p>
        </w:tc>
        <w:tc>
          <w:tcPr>
            <w:tcW w:type="dxa" w:w="603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缺失、到期或不可用时不能伪报可启用</w:t>
            </w:r>
          </w:p>
        </w:tc>
      </w:tr>
      <w:tr>
        <w:trPr>
          <w:cantSplit/>
        </w:trPr>
        <w:tc>
          <w:tcPr>
            <w:tcW w:type="dxa" w:w="91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F09</w:t>
            </w:r>
          </w:p>
        </w:tc>
        <w:tc>
          <w:tcPr>
            <w:tcW w:type="dxa" w:w="2635"/>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首次启用与自动维护授权</w:t>
            </w:r>
          </w:p>
        </w:tc>
        <w:tc>
          <w:tcPr>
            <w:tcW w:type="dxa" w:w="603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显示方案影响和更新范围，确认后自动完成支持的配置</w:t>
            </w:r>
          </w:p>
        </w:tc>
      </w:tr>
      <w:tr>
        <w:trPr>
          <w:cantSplit/>
        </w:trPr>
        <w:tc>
          <w:tcPr>
            <w:tcW w:type="dxa" w:w="91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F10</w:t>
            </w:r>
          </w:p>
        </w:tc>
        <w:tc>
          <w:tcPr>
            <w:tcW w:type="dxa" w:w="2635"/>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内置 Clash 统一管理</w:t>
            </w:r>
          </w:p>
        </w:tc>
        <w:tc>
          <w:tcPr>
            <w:tcW w:type="dxa" w:w="603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无外部客户端手工操作依赖，所有入口写同一受管状态</w:t>
            </w:r>
          </w:p>
        </w:tc>
      </w:tr>
      <w:tr>
        <w:trPr>
          <w:cantSplit/>
        </w:trPr>
        <w:tc>
          <w:tcPr>
            <w:tcW w:type="dxa" w:w="91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F11</w:t>
            </w:r>
          </w:p>
        </w:tc>
        <w:tc>
          <w:tcPr>
            <w:tcW w:type="dxa" w:w="2635"/>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日常规则分流</w:t>
            </w:r>
          </w:p>
        </w:tc>
        <w:tc>
          <w:tcPr>
            <w:tcW w:type="dxa" w:w="603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仅批准白名单直连，其他代理流量走 A</w:t>
            </w:r>
          </w:p>
        </w:tc>
      </w:tr>
      <w:tr>
        <w:trPr>
          <w:cantSplit/>
        </w:trPr>
        <w:tc>
          <w:tcPr>
            <w:tcW w:type="dxa" w:w="91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F12</w:t>
            </w:r>
          </w:p>
        </w:tc>
        <w:tc>
          <w:tcPr>
            <w:tcW w:type="dxa" w:w="2635"/>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Claude 单 IP 方案</w:t>
            </w:r>
          </w:p>
        </w:tc>
        <w:tc>
          <w:tcPr>
            <w:tcW w:type="dxa" w:w="603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TUN 接管相应公网流量并统一走 A，日常白名单不启用</w:t>
            </w:r>
          </w:p>
        </w:tc>
      </w:tr>
      <w:tr>
        <w:trPr>
          <w:cantSplit/>
        </w:trPr>
        <w:tc>
          <w:tcPr>
            <w:tcW w:type="dxa" w:w="91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F13</w:t>
            </w:r>
          </w:p>
        </w:tc>
        <w:tc>
          <w:tcPr>
            <w:tcW w:type="dxa" w:w="2635"/>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Claude 双 IP 方案</w:t>
            </w:r>
          </w:p>
        </w:tc>
        <w:tc>
          <w:tcPr>
            <w:tcW w:type="dxa" w:w="603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TUN 接管，Claude A／其他 B 分流，经实际路径验证</w:t>
            </w:r>
          </w:p>
        </w:tc>
      </w:tr>
      <w:tr>
        <w:trPr>
          <w:cantSplit/>
        </w:trPr>
        <w:tc>
          <w:tcPr>
            <w:tcW w:type="dxa" w:w="91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F14</w:t>
            </w:r>
          </w:p>
        </w:tc>
        <w:tc>
          <w:tcPr>
            <w:tcW w:type="dxa" w:w="2635"/>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必要基础通信范围</w:t>
            </w:r>
          </w:p>
        </w:tc>
        <w:tc>
          <w:tcPr>
            <w:tcW w:type="dxa" w:w="603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本机、局域网和链路建立例外明确，不变成普通直连漏洞</w:t>
            </w:r>
          </w:p>
        </w:tc>
      </w:tr>
      <w:tr>
        <w:trPr>
          <w:cantSplit/>
        </w:trPr>
        <w:tc>
          <w:tcPr>
            <w:tcW w:type="dxa" w:w="91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F15</w:t>
            </w:r>
          </w:p>
        </w:tc>
        <w:tc>
          <w:tcPr>
            <w:tcW w:type="dxa" w:w="2635"/>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用户直连清单管理</w:t>
            </w:r>
          </w:p>
        </w:tc>
        <w:tc>
          <w:tcPr>
            <w:tcW w:type="dxa" w:w="603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支持添加、删除、启停、恢复默认和域名范围说明</w:t>
            </w:r>
          </w:p>
        </w:tc>
      </w:tr>
      <w:tr>
        <w:trPr>
          <w:cantSplit/>
        </w:trPr>
        <w:tc>
          <w:tcPr>
            <w:tcW w:type="dxa" w:w="91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F16</w:t>
            </w:r>
          </w:p>
        </w:tc>
        <w:tc>
          <w:tcPr>
            <w:tcW w:type="dxa" w:w="2635"/>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保护优先级</w:t>
            </w:r>
          </w:p>
        </w:tc>
        <w:tc>
          <w:tcPr>
            <w:tcW w:type="dxa" w:w="603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用户白名单不放开 Claude 受保护连接</w:t>
            </w:r>
          </w:p>
        </w:tc>
      </w:tr>
      <w:tr>
        <w:trPr>
          <w:cantSplit/>
        </w:trPr>
        <w:tc>
          <w:tcPr>
            <w:tcW w:type="dxa" w:w="91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F17</w:t>
            </w:r>
          </w:p>
        </w:tc>
        <w:tc>
          <w:tcPr>
            <w:tcW w:type="dxa" w:w="2635"/>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清单保存与模式联动</w:t>
            </w:r>
          </w:p>
        </w:tc>
        <w:tc>
          <w:tcPr>
            <w:tcW w:type="dxa" w:w="603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专用模式保留但停用，切回恢复；模板更新不覆盖</w:t>
            </w:r>
          </w:p>
        </w:tc>
      </w:tr>
      <w:tr>
        <w:trPr>
          <w:cantSplit/>
        </w:trPr>
        <w:tc>
          <w:tcPr>
            <w:tcW w:type="dxa" w:w="91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F18</w:t>
            </w:r>
          </w:p>
        </w:tc>
        <w:tc>
          <w:tcPr>
            <w:tcW w:type="dxa" w:w="2635"/>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当前配置与路径回读</w:t>
            </w:r>
          </w:p>
        </w:tc>
        <w:tc>
          <w:tcPr>
            <w:tcW w:type="dxa" w:w="603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分清配置保存、内核应用、实际规则命中和最终出口</w:t>
            </w:r>
          </w:p>
        </w:tc>
      </w:tr>
      <w:tr>
        <w:trPr>
          <w:cantSplit/>
        </w:trPr>
        <w:tc>
          <w:tcPr>
            <w:tcW w:type="dxa" w:w="91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F19</w:t>
            </w:r>
          </w:p>
        </w:tc>
        <w:tc>
          <w:tcPr>
            <w:tcW w:type="dxa" w:w="2635"/>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一键方案切换</w:t>
            </w:r>
          </w:p>
        </w:tc>
        <w:tc>
          <w:tcPr>
            <w:tcW w:type="dxa" w:w="603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检查资源、展示影响、应用、复查；尽量保留 Claude A</w:t>
            </w:r>
          </w:p>
        </w:tc>
      </w:tr>
      <w:tr>
        <w:trPr>
          <w:cantSplit/>
        </w:trPr>
        <w:tc>
          <w:tcPr>
            <w:tcW w:type="dxa" w:w="91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F20</w:t>
            </w:r>
          </w:p>
        </w:tc>
        <w:tc>
          <w:tcPr>
            <w:tcW w:type="dxa" w:w="2635"/>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实际环境复查</w:t>
            </w:r>
          </w:p>
        </w:tc>
        <w:tc>
          <w:tcPr>
            <w:tcW w:type="dxa" w:w="603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调用 FD-02，按客户端／环境验证，不以标签切换代替</w:t>
            </w:r>
          </w:p>
        </w:tc>
      </w:tr>
      <w:tr>
        <w:trPr>
          <w:cantSplit/>
        </w:trPr>
        <w:tc>
          <w:tcPr>
            <w:tcW w:type="dxa" w:w="91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F21</w:t>
            </w:r>
          </w:p>
        </w:tc>
        <w:tc>
          <w:tcPr>
            <w:tcW w:type="dxa" w:w="2635"/>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失败回退与原状态恢复</w:t>
            </w:r>
          </w:p>
        </w:tc>
        <w:tc>
          <w:tcPr>
            <w:tcW w:type="dxa" w:w="603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只恢复仍有效且获授权内容，不解除保护掩盖失败</w:t>
            </w:r>
          </w:p>
        </w:tc>
      </w:tr>
      <w:tr>
        <w:trPr>
          <w:cantSplit/>
        </w:trPr>
        <w:tc>
          <w:tcPr>
            <w:tcW w:type="dxa" w:w="91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F22</w:t>
            </w:r>
          </w:p>
        </w:tc>
        <w:tc>
          <w:tcPr>
            <w:tcW w:type="dxa" w:w="2635"/>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日常运行状态管理</w:t>
            </w:r>
          </w:p>
        </w:tc>
        <w:tc>
          <w:tcPr>
            <w:tcW w:type="dxa" w:w="603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区分窗口、内核和保护动作，显示真实连接与故障状态</w:t>
            </w:r>
          </w:p>
        </w:tc>
      </w:tr>
      <w:tr>
        <w:trPr>
          <w:cantSplit/>
        </w:trPr>
        <w:tc>
          <w:tcPr>
            <w:tcW w:type="dxa" w:w="91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F23</w:t>
            </w:r>
          </w:p>
        </w:tc>
        <w:tc>
          <w:tcPr>
            <w:tcW w:type="dxa" w:w="2635"/>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自动订阅刷新</w:t>
            </w:r>
          </w:p>
        </w:tc>
        <w:tc>
          <w:tcPr>
            <w:tcW w:type="dxa" w:w="603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范围内自动获取并验证，不给用户增加配置步骤</w:t>
            </w:r>
          </w:p>
        </w:tc>
      </w:tr>
      <w:tr>
        <w:trPr>
          <w:cantSplit/>
        </w:trPr>
        <w:tc>
          <w:tcPr>
            <w:tcW w:type="dxa" w:w="91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F24</w:t>
            </w:r>
          </w:p>
        </w:tc>
        <w:tc>
          <w:tcPr>
            <w:tcW w:type="dxa" w:w="2635"/>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自动规则维护</w:t>
            </w:r>
          </w:p>
        </w:tc>
        <w:tc>
          <w:tcPr>
            <w:tcW w:type="dxa" w:w="603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保留用户清单和固定出口约束，版本与结果可追溯</w:t>
            </w:r>
          </w:p>
        </w:tc>
      </w:tr>
      <w:tr>
        <w:trPr>
          <w:cantSplit/>
        </w:trPr>
        <w:tc>
          <w:tcPr>
            <w:tcW w:type="dxa" w:w="91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F25</w:t>
            </w:r>
          </w:p>
        </w:tc>
        <w:tc>
          <w:tcPr>
            <w:tcW w:type="dxa" w:w="2635"/>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配置版本发布与应用</w:t>
            </w:r>
          </w:p>
        </w:tc>
        <w:tc>
          <w:tcPr>
            <w:tcW w:type="dxa" w:w="603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后台发布、客户端应用、复查结果分别记录</w:t>
            </w:r>
          </w:p>
        </w:tc>
      </w:tr>
      <w:tr>
        <w:trPr>
          <w:cantSplit/>
        </w:trPr>
        <w:tc>
          <w:tcPr>
            <w:tcW w:type="dxa" w:w="91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F26</w:t>
            </w:r>
          </w:p>
        </w:tc>
        <w:tc>
          <w:tcPr>
            <w:tcW w:type="dxa" w:w="2635"/>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敏感变更确认</w:t>
            </w:r>
          </w:p>
        </w:tc>
        <w:tc>
          <w:tcPr>
            <w:tcW w:type="dxa" w:w="603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最终出口／地区／保护边界变更不作为普通刷新静默执行</w:t>
            </w:r>
          </w:p>
        </w:tc>
      </w:tr>
      <w:tr>
        <w:trPr>
          <w:cantSplit/>
        </w:trPr>
        <w:tc>
          <w:tcPr>
            <w:tcW w:type="dxa" w:w="91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F27</w:t>
            </w:r>
          </w:p>
        </w:tc>
        <w:tc>
          <w:tcPr>
            <w:tcW w:type="dxa" w:w="2635"/>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后台离线与缓存配置</w:t>
            </w:r>
          </w:p>
        </w:tc>
        <w:tc>
          <w:tcPr>
            <w:tcW w:type="dxa" w:w="603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仅沿用最后有效授权配置，服务端限制继续有效</w:t>
            </w:r>
          </w:p>
        </w:tc>
      </w:tr>
      <w:tr>
        <w:trPr>
          <w:cantSplit/>
        </w:trPr>
        <w:tc>
          <w:tcPr>
            <w:tcW w:type="dxa" w:w="91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F28</w:t>
            </w:r>
          </w:p>
        </w:tc>
        <w:tc>
          <w:tcPr>
            <w:tcW w:type="dxa" w:w="2635"/>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用户月度额度设置</w:t>
            </w:r>
          </w:p>
        </w:tc>
        <w:tc>
          <w:tcPr>
            <w:tcW w:type="dxa" w:w="603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后台可配置上限、周期及用户状态，250 GB 为示例</w:t>
            </w:r>
          </w:p>
        </w:tc>
      </w:tr>
      <w:tr>
        <w:trPr>
          <w:cantSplit/>
        </w:trPr>
        <w:tc>
          <w:tcPr>
            <w:tcW w:type="dxa" w:w="91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F29</w:t>
            </w:r>
          </w:p>
        </w:tc>
        <w:tc>
          <w:tcPr>
            <w:tcW w:type="dxa" w:w="2635"/>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服务端计量与硬限额接入</w:t>
            </w:r>
          </w:p>
        </w:tc>
        <w:tc>
          <w:tcPr>
            <w:tcW w:type="dxa" w:w="603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每用户全部可用线路受控，不能只在客户端拦截</w:t>
            </w:r>
          </w:p>
        </w:tc>
      </w:tr>
      <w:tr>
        <w:trPr>
          <w:cantSplit/>
        </w:trPr>
        <w:tc>
          <w:tcPr>
            <w:tcW w:type="dxa" w:w="91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F30</w:t>
            </w:r>
          </w:p>
        </w:tc>
        <w:tc>
          <w:tcPr>
            <w:tcW w:type="dxa" w:w="2635"/>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上传下载合计与链路去重</w:t>
            </w:r>
          </w:p>
        </w:tc>
        <w:tc>
          <w:tcPr>
            <w:tcW w:type="dxa" w:w="603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明确计量点，双段不重复计量，口径可解释</w:t>
            </w:r>
          </w:p>
        </w:tc>
      </w:tr>
      <w:tr>
        <w:trPr>
          <w:cantSplit/>
        </w:trPr>
        <w:tc>
          <w:tcPr>
            <w:tcW w:type="dxa" w:w="91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F31</w:t>
            </w:r>
          </w:p>
        </w:tc>
        <w:tc>
          <w:tcPr>
            <w:tcW w:type="dxa" w:w="2635"/>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双 IP 与允许的多端汇总</w:t>
            </w:r>
          </w:p>
        </w:tc>
        <w:tc>
          <w:tcPr>
            <w:tcW w:type="dxa" w:w="603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A／B 及获准设备计入同一用户额度，切换不重置</w:t>
            </w:r>
          </w:p>
        </w:tc>
      </w:tr>
      <w:tr>
        <w:trPr>
          <w:cantSplit/>
        </w:trPr>
        <w:tc>
          <w:tcPr>
            <w:tcW w:type="dxa" w:w="91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F32</w:t>
            </w:r>
          </w:p>
        </w:tc>
        <w:tc>
          <w:tcPr>
            <w:tcW w:type="dxa" w:w="2635"/>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直连额度排除</w:t>
            </w:r>
          </w:p>
        </w:tc>
        <w:tc>
          <w:tcPr>
            <w:tcW w:type="dxa" w:w="603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真实白名单直连、本机与局域网不计入代理额度</w:t>
            </w:r>
          </w:p>
        </w:tc>
      </w:tr>
      <w:tr>
        <w:trPr>
          <w:cantSplit/>
        </w:trPr>
        <w:tc>
          <w:tcPr>
            <w:tcW w:type="dxa" w:w="91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F33</w:t>
            </w:r>
          </w:p>
        </w:tc>
        <w:tc>
          <w:tcPr>
            <w:tcW w:type="dxa" w:w="2635"/>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周期重置与用量展示</w:t>
            </w:r>
          </w:p>
        </w:tc>
        <w:tc>
          <w:tcPr>
            <w:tcW w:type="dxa" w:w="603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服务端定周期，前台显示同步与重置时间，不信本机时钟</w:t>
            </w:r>
          </w:p>
        </w:tc>
      </w:tr>
      <w:tr>
        <w:trPr>
          <w:cantSplit/>
        </w:trPr>
        <w:tc>
          <w:tcPr>
            <w:tcW w:type="dxa" w:w="91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F34</w:t>
            </w:r>
          </w:p>
        </w:tc>
        <w:tc>
          <w:tcPr>
            <w:tcW w:type="dxa" w:w="2635"/>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告警与异常区分</w:t>
            </w:r>
          </w:p>
        </w:tc>
        <w:tc>
          <w:tcPr>
            <w:tcW w:type="dxa" w:w="603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提前提示，区分用户超额、上游耗尽、到期和同步失败</w:t>
            </w:r>
          </w:p>
        </w:tc>
      </w:tr>
      <w:tr>
        <w:trPr>
          <w:cantSplit/>
        </w:trPr>
        <w:tc>
          <w:tcPr>
            <w:tcW w:type="dxa" w:w="91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F35</w:t>
            </w:r>
          </w:p>
        </w:tc>
        <w:tc>
          <w:tcPr>
            <w:tcW w:type="dxa" w:w="2635"/>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配额耗尽安全暂停</w:t>
            </w:r>
          </w:p>
        </w:tc>
        <w:tc>
          <w:tcPr>
            <w:tcW w:type="dxa" w:w="603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服务端限制生效，客户端不放直连、不自动降级或借路</w:t>
            </w:r>
          </w:p>
        </w:tc>
      </w:tr>
      <w:tr>
        <w:trPr>
          <w:cantSplit/>
        </w:trPr>
        <w:tc>
          <w:tcPr>
            <w:tcW w:type="dxa" w:w="91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F36</w:t>
            </w:r>
          </w:p>
        </w:tc>
        <w:tc>
          <w:tcPr>
            <w:tcW w:type="dxa" w:w="2635"/>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调额后恢复与账目连续</w:t>
            </w:r>
          </w:p>
        </w:tc>
        <w:tc>
          <w:tcPr>
            <w:tcW w:type="dxa" w:w="603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恢复原资源，重装／回滚不清零用量</w:t>
            </w:r>
          </w:p>
        </w:tc>
      </w:tr>
      <w:tr>
        <w:trPr>
          <w:cantSplit/>
        </w:trPr>
        <w:tc>
          <w:tcPr>
            <w:tcW w:type="dxa" w:w="91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F37</w:t>
            </w:r>
          </w:p>
        </w:tc>
        <w:tc>
          <w:tcPr>
            <w:tcW w:type="dxa" w:w="2635"/>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FD-02 修复联动</w:t>
            </w:r>
          </w:p>
        </w:tc>
        <w:tc>
          <w:tcPr>
            <w:tcW w:type="dxa" w:w="603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检测结果直接调用本模块执行并复查，不复制配置或搬报告</w:t>
            </w:r>
          </w:p>
        </w:tc>
      </w:tr>
      <w:tr>
        <w:trPr>
          <w:cantSplit/>
        </w:trPr>
        <w:tc>
          <w:tcPr>
            <w:tcW w:type="dxa" w:w="91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F38</w:t>
            </w:r>
          </w:p>
        </w:tc>
        <w:tc>
          <w:tcPr>
            <w:tcW w:type="dxa" w:w="2635"/>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AI 可选且只读</w:t>
            </w:r>
          </w:p>
        </w:tc>
        <w:tc>
          <w:tcPr>
            <w:tcW w:type="dxa" w:w="603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无聊天框，运行／保护／配额无需模型可用</w:t>
            </w:r>
          </w:p>
        </w:tc>
      </w:tr>
      <w:tr>
        <w:trPr>
          <w:cantSplit/>
        </w:trPr>
        <w:tc>
          <w:tcPr>
            <w:tcW w:type="dxa" w:w="91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F39</w:t>
            </w:r>
          </w:p>
        </w:tc>
        <w:tc>
          <w:tcPr>
            <w:tcW w:type="dxa" w:w="2635"/>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资源与秘密隔离</w:t>
            </w:r>
          </w:p>
        </w:tc>
        <w:tc>
          <w:tcPr>
            <w:tcW w:type="dxa" w:w="603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仅分发本用户所需内容，不收集 Claude 登录秘密</w:t>
            </w:r>
          </w:p>
        </w:tc>
      </w:tr>
      <w:tr>
        <w:trPr>
          <w:cantSplit/>
        </w:trPr>
        <w:tc>
          <w:tcPr>
            <w:tcW w:type="dxa" w:w="91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F40</w:t>
            </w:r>
          </w:p>
        </w:tc>
        <w:tc>
          <w:tcPr>
            <w:tcW w:type="dxa" w:w="2635"/>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变更报告与来源登记</w:t>
            </w:r>
          </w:p>
        </w:tc>
        <w:tc>
          <w:tcPr>
            <w:tcW w:type="dxa" w:w="603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记录授权、版本、结果、复查与候选来源；未知能力不写成完成</w:t>
            </w:r>
          </w:p>
        </w:tc>
      </w:tr>
    </w:tbl>
    <w:p>
      <w:pPr>
        <w:keepNext w:val="0"/>
        <w:spacing w:before="0" w:after="0" w:line="240" w:lineRule="auto"/>
      </w:pPr>
      <w:r>
        <w:rPr>
          <w:sz w:val="6"/>
        </w:rPr>
      </w:r>
    </w:p>
    <w:p>
      <w:pPr>
        <w:pStyle w:val="Heading1"/>
      </w:pPr>
      <w:r>
        <w:rPr>
          <w:b w:val="0"/>
          <w:i w:val="0"/>
        </w:rPr>
        <w:t>12. 验收场景</w:t>
      </w:r>
    </w:p>
    <w:tbl>
      <w:tblPr>
        <w:tblW w:type="dxa" w:w="9582"/>
        <w:jc w:val="center"/>
        <w:tblLayout w:type="fixed"/>
        <w:tblLook w:firstColumn="1" w:firstRow="1" w:lastColumn="0" w:lastRow="0" w:noHBand="0" w:noVBand="1" w:val="04A0"/>
        <w:tblBorders>
          <w:top w:val="single" w:sz="4" w:color="DCE4E8"/>
          <w:left w:val="single" w:sz="4" w:color="DCE4E8"/>
          <w:bottom w:val="single" w:sz="4" w:color="DCE4E8"/>
          <w:right w:val="single" w:sz="4" w:color="DCE4E8"/>
          <w:insideH w:val="single" w:sz="4" w:color="DCE4E8"/>
          <w:insideV w:val="single" w:sz="4" w:color="DCE4E8"/>
        </w:tblBorders>
      </w:tblPr>
      <w:tblGrid>
        <w:gridCol w:w="814"/>
        <w:gridCol w:w="2970"/>
        <w:gridCol w:w="5797"/>
      </w:tblGrid>
      <w:tr>
        <w:trPr>
          <w:cantSplit/>
          <w:tblHeader/>
        </w:trPr>
        <w:tc>
          <w:tcPr>
            <w:tcW w:type="dxa" w:w="814"/>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编号</w:t>
            </w:r>
          </w:p>
        </w:tc>
        <w:tc>
          <w:tcPr>
            <w:tcW w:type="dxa" w:w="2970"/>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场景</w:t>
            </w:r>
          </w:p>
        </w:tc>
        <w:tc>
          <w:tcPr>
            <w:tcW w:type="dxa" w:w="5797"/>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应达到的结果</w:t>
            </w:r>
          </w:p>
        </w:tc>
      </w:tr>
      <w:tr>
        <w:trPr>
          <w:cantSplit/>
        </w:trPr>
        <w:tc>
          <w:tcPr>
            <w:tcW w:type="dxa" w:w="81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A01</w:t>
            </w:r>
          </w:p>
        </w:tc>
        <w:tc>
          <w:tcPr>
            <w:tcW w:type="dxa" w:w="297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后台已为新用户分配资源</w:t>
            </w:r>
          </w:p>
        </w:tc>
        <w:tc>
          <w:tcPr>
            <w:tcW w:type="dxa" w:w="579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用户不输入订阅／代理参数即可看到已就绪方案，确认后启用</w:t>
            </w:r>
          </w:p>
        </w:tc>
      </w:tr>
      <w:tr>
        <w:trPr>
          <w:cantSplit/>
        </w:trPr>
        <w:tc>
          <w:tcPr>
            <w:tcW w:type="dxa" w:w="81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A02</w:t>
            </w:r>
          </w:p>
        </w:tc>
        <w:tc>
          <w:tcPr>
            <w:tcW w:type="dxa" w:w="297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用户未分配资源或无 B 出口</w:t>
            </w:r>
          </w:p>
        </w:tc>
        <w:tc>
          <w:tcPr>
            <w:tcW w:type="dxa" w:w="579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明确未就绪原因，不假报双 IP 可用，不借他人资源</w:t>
            </w:r>
          </w:p>
        </w:tc>
      </w:tr>
      <w:tr>
        <w:trPr>
          <w:cantSplit/>
        </w:trPr>
        <w:tc>
          <w:tcPr>
            <w:tcW w:type="dxa" w:w="81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A03</w:t>
            </w:r>
          </w:p>
        </w:tc>
        <w:tc>
          <w:tcPr>
            <w:tcW w:type="dxa" w:w="297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查看网络方案推荐</w:t>
            </w:r>
          </w:p>
        </w:tc>
        <w:tc>
          <w:tcPr>
            <w:tcW w:type="dxa" w:w="579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免费／Pro／Max 5x／Max 20x 对应建议正确，不称官方风控分级</w:t>
            </w:r>
          </w:p>
        </w:tc>
      </w:tr>
      <w:tr>
        <w:trPr>
          <w:cantSplit/>
        </w:trPr>
        <w:tc>
          <w:tcPr>
            <w:tcW w:type="dxa" w:w="81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A04</w:t>
            </w:r>
          </w:p>
        </w:tc>
        <w:tc>
          <w:tcPr>
            <w:tcW w:type="dxa" w:w="297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日常模式访问白名单与非白名单</w:t>
            </w:r>
          </w:p>
        </w:tc>
        <w:tc>
          <w:tcPr>
            <w:tcW w:type="dxa" w:w="579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普通白名单直连；其余走 A；非白名单不是禁止访问</w:t>
            </w:r>
          </w:p>
        </w:tc>
      </w:tr>
      <w:tr>
        <w:trPr>
          <w:cantSplit/>
        </w:trPr>
        <w:tc>
          <w:tcPr>
            <w:tcW w:type="dxa" w:w="81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A05</w:t>
            </w:r>
          </w:p>
        </w:tc>
        <w:tc>
          <w:tcPr>
            <w:tcW w:type="dxa" w:w="297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用户白名单与 Claude 连接范围冲突</w:t>
            </w:r>
          </w:p>
        </w:tc>
        <w:tc>
          <w:tcPr>
            <w:tcW w:type="dxa" w:w="579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保护规则不被覆盖，解释实际作用范围，不将 Claude 直连</w:t>
            </w:r>
          </w:p>
        </w:tc>
      </w:tr>
      <w:tr>
        <w:trPr>
          <w:cantSplit/>
        </w:trPr>
        <w:tc>
          <w:tcPr>
            <w:tcW w:type="dxa" w:w="81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A06</w:t>
            </w:r>
          </w:p>
        </w:tc>
        <w:tc>
          <w:tcPr>
            <w:tcW w:type="dxa" w:w="297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添加仅域名或含子域名条目</w:t>
            </w:r>
          </w:p>
        </w:tc>
        <w:tc>
          <w:tcPr>
            <w:tcW w:type="dxa" w:w="579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保存范围与展示一致，启停／删除／恢复默认可验证</w:t>
            </w:r>
          </w:p>
        </w:tc>
      </w:tr>
      <w:tr>
        <w:trPr>
          <w:cantSplit/>
        </w:trPr>
        <w:tc>
          <w:tcPr>
            <w:tcW w:type="dxa" w:w="81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A07</w:t>
            </w:r>
          </w:p>
        </w:tc>
        <w:tc>
          <w:tcPr>
            <w:tcW w:type="dxa" w:w="297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日常切到专用后再切回</w:t>
            </w:r>
          </w:p>
        </w:tc>
        <w:tc>
          <w:tcPr>
            <w:tcW w:type="dxa" w:w="579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白名单保留、专用中停用、切回恢复，不重复录入</w:t>
            </w:r>
          </w:p>
        </w:tc>
      </w:tr>
      <w:tr>
        <w:trPr>
          <w:cantSplit/>
        </w:trPr>
        <w:tc>
          <w:tcPr>
            <w:tcW w:type="dxa" w:w="81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A08</w:t>
            </w:r>
          </w:p>
        </w:tc>
        <w:tc>
          <w:tcPr>
            <w:tcW w:type="dxa" w:w="297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后台模板与规则更新</w:t>
            </w:r>
          </w:p>
        </w:tc>
        <w:tc>
          <w:tcPr>
            <w:tcW w:type="dxa" w:w="579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用户清单不丢失，保护优先级和已批准出口保持</w:t>
            </w:r>
          </w:p>
        </w:tc>
      </w:tr>
      <w:tr>
        <w:trPr>
          <w:cantSplit/>
        </w:trPr>
        <w:tc>
          <w:tcPr>
            <w:tcW w:type="dxa" w:w="81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A09</w:t>
            </w:r>
          </w:p>
        </w:tc>
        <w:tc>
          <w:tcPr>
            <w:tcW w:type="dxa" w:w="297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Claude 专用单 IP</w:t>
            </w:r>
          </w:p>
        </w:tc>
        <w:tc>
          <w:tcPr>
            <w:tcW w:type="dxa" w:w="579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已声明范围内公网业务由 TUN 接管并走 A，必要例外明确</w:t>
            </w:r>
          </w:p>
        </w:tc>
      </w:tr>
      <w:tr>
        <w:trPr>
          <w:cantSplit/>
        </w:trPr>
        <w:tc>
          <w:tcPr>
            <w:tcW w:type="dxa" w:w="81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A10</w:t>
            </w:r>
          </w:p>
        </w:tc>
        <w:tc>
          <w:tcPr>
            <w:tcW w:type="dxa" w:w="297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Claude 专用双 IP</w:t>
            </w:r>
          </w:p>
        </w:tc>
        <w:tc>
          <w:tcPr>
            <w:tcW w:type="dxa" w:w="579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Claude 走 A、其他走 B，不按请求在 A／B 间轮换</w:t>
            </w:r>
          </w:p>
        </w:tc>
      </w:tr>
      <w:tr>
        <w:trPr>
          <w:cantSplit/>
        </w:trPr>
        <w:tc>
          <w:tcPr>
            <w:tcW w:type="dxa" w:w="81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A11</w:t>
            </w:r>
          </w:p>
        </w:tc>
        <w:tc>
          <w:tcPr>
            <w:tcW w:type="dxa" w:w="297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三方案依次切换</w:t>
            </w:r>
          </w:p>
        </w:tc>
        <w:tc>
          <w:tcPr>
            <w:tcW w:type="dxa" w:w="579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资源允许时 Claude 始终 A，普通流量和直连行为按方案变化</w:t>
            </w:r>
          </w:p>
        </w:tc>
      </w:tr>
      <w:tr>
        <w:trPr>
          <w:cantSplit/>
        </w:trPr>
        <w:tc>
          <w:tcPr>
            <w:tcW w:type="dxa" w:w="81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A12</w:t>
            </w:r>
          </w:p>
        </w:tc>
        <w:tc>
          <w:tcPr>
            <w:tcW w:type="dxa" w:w="297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双 IP 切回单 IP且有运行中连接</w:t>
            </w:r>
          </w:p>
        </w:tc>
        <w:tc>
          <w:tcPr>
            <w:tcW w:type="dxa" w:w="579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提示共用出口和可能中断，完成实际切换及复查才显示成功</w:t>
            </w:r>
          </w:p>
        </w:tc>
      </w:tr>
      <w:tr>
        <w:trPr>
          <w:cantSplit/>
        </w:trPr>
        <w:tc>
          <w:tcPr>
            <w:tcW w:type="dxa" w:w="81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A13</w:t>
            </w:r>
          </w:p>
        </w:tc>
        <w:tc>
          <w:tcPr>
            <w:tcW w:type="dxa" w:w="297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外部代理冲突或权限不足</w:t>
            </w:r>
          </w:p>
        </w:tc>
        <w:tc>
          <w:tcPr>
            <w:tcW w:type="dxa" w:w="579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不强停／卸载其他软件，不要求手写配置，说明未完成与处理条件</w:t>
            </w:r>
          </w:p>
        </w:tc>
      </w:tr>
      <w:tr>
        <w:trPr>
          <w:cantSplit/>
        </w:trPr>
        <w:tc>
          <w:tcPr>
            <w:tcW w:type="dxa" w:w="81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A14</w:t>
            </w:r>
          </w:p>
        </w:tc>
        <w:tc>
          <w:tcPr>
            <w:tcW w:type="dxa" w:w="297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用户额度示例为每月 250 GB</w:t>
            </w:r>
          </w:p>
        </w:tc>
        <w:tc>
          <w:tcPr>
            <w:tcW w:type="dxa" w:w="579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单位、计量口径和周期明示，上限可由后台配置，不全局写死</w:t>
            </w:r>
          </w:p>
        </w:tc>
      </w:tr>
      <w:tr>
        <w:trPr>
          <w:cantSplit/>
        </w:trPr>
        <w:tc>
          <w:tcPr>
            <w:tcW w:type="dxa" w:w="81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A15</w:t>
            </w:r>
          </w:p>
        </w:tc>
        <w:tc>
          <w:tcPr>
            <w:tcW w:type="dxa" w:w="297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同用户双出口和获准多设备并发</w:t>
            </w:r>
          </w:p>
        </w:tc>
        <w:tc>
          <w:tcPr>
            <w:tcW w:type="dxa" w:w="579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用量合计，不每设备或每 IP 重新获得 250 GB</w:t>
            </w:r>
          </w:p>
        </w:tc>
      </w:tr>
      <w:tr>
        <w:trPr>
          <w:cantSplit/>
        </w:trPr>
        <w:tc>
          <w:tcPr>
            <w:tcW w:type="dxa" w:w="81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A16</w:t>
            </w:r>
          </w:p>
        </w:tc>
        <w:tc>
          <w:tcPr>
            <w:tcW w:type="dxa" w:w="297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前置代理与固定出口两段传输</w:t>
            </w:r>
          </w:p>
        </w:tc>
        <w:tc>
          <w:tcPr>
            <w:tcW w:type="dxa" w:w="579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用户计量不重复相加两段，能说明权威计量点</w:t>
            </w:r>
          </w:p>
        </w:tc>
      </w:tr>
      <w:tr>
        <w:trPr>
          <w:cantSplit/>
        </w:trPr>
        <w:tc>
          <w:tcPr>
            <w:tcW w:type="dxa" w:w="81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A17</w:t>
            </w:r>
          </w:p>
        </w:tc>
        <w:tc>
          <w:tcPr>
            <w:tcW w:type="dxa" w:w="297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日常直连与局域网通信</w:t>
            </w:r>
          </w:p>
        </w:tc>
        <w:tc>
          <w:tcPr>
            <w:tcW w:type="dxa" w:w="579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真正未经过托管代理的相应流量不计入代理额度</w:t>
            </w:r>
          </w:p>
        </w:tc>
      </w:tr>
      <w:tr>
        <w:trPr>
          <w:cantSplit/>
        </w:trPr>
        <w:tc>
          <w:tcPr>
            <w:tcW w:type="dxa" w:w="81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A18</w:t>
            </w:r>
          </w:p>
        </w:tc>
        <w:tc>
          <w:tcPr>
            <w:tcW w:type="dxa" w:w="297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切换方案、重启或重新安装客户端</w:t>
            </w:r>
          </w:p>
        </w:tc>
        <w:tc>
          <w:tcPr>
            <w:tcW w:type="dxa" w:w="579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服务端已用额度持续有效，不能清零或重开周期</w:t>
            </w:r>
          </w:p>
        </w:tc>
      </w:tr>
      <w:tr>
        <w:trPr>
          <w:cantSplit/>
        </w:trPr>
        <w:tc>
          <w:tcPr>
            <w:tcW w:type="dxa" w:w="81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A19</w:t>
            </w:r>
          </w:p>
        </w:tc>
        <w:tc>
          <w:tcPr>
            <w:tcW w:type="dxa" w:w="297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达额度上限且客户端统计被停止</w:t>
            </w:r>
          </w:p>
        </w:tc>
        <w:tc>
          <w:tcPr>
            <w:tcW w:type="dxa" w:w="579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服务端限制仍执行；验收覆盖新连接与在途连接的约定行为</w:t>
            </w:r>
          </w:p>
        </w:tc>
      </w:tr>
      <w:tr>
        <w:trPr>
          <w:cantSplit/>
        </w:trPr>
        <w:tc>
          <w:tcPr>
            <w:tcW w:type="dxa" w:w="81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A20</w:t>
            </w:r>
          </w:p>
        </w:tc>
        <w:tc>
          <w:tcPr>
            <w:tcW w:type="dxa" w:w="297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日常方案超额</w:t>
            </w:r>
          </w:p>
        </w:tc>
        <w:tc>
          <w:tcPr>
            <w:tcW w:type="dxa" w:w="579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批准的普通白名单仍可直连，代理业务停止，Claude 不转直连</w:t>
            </w:r>
          </w:p>
        </w:tc>
      </w:tr>
      <w:tr>
        <w:trPr>
          <w:cantSplit/>
        </w:trPr>
        <w:tc>
          <w:tcPr>
            <w:tcW w:type="dxa" w:w="81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A21</w:t>
            </w:r>
          </w:p>
        </w:tc>
        <w:tc>
          <w:tcPr>
            <w:tcW w:type="dxa" w:w="297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Claude 专用方案超额</w:t>
            </w:r>
          </w:p>
        </w:tc>
        <w:tc>
          <w:tcPr>
            <w:tcW w:type="dxa" w:w="579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代理业务停止，不启用日常白名单、不降级、不换另一路绕过额度</w:t>
            </w:r>
          </w:p>
        </w:tc>
      </w:tr>
      <w:tr>
        <w:trPr>
          <w:cantSplit/>
        </w:trPr>
        <w:tc>
          <w:tcPr>
            <w:tcW w:type="dxa" w:w="81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A22</w:t>
            </w:r>
          </w:p>
        </w:tc>
        <w:tc>
          <w:tcPr>
            <w:tcW w:type="dxa" w:w="297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上游余额耗尽但用户还有额度</w:t>
            </w:r>
          </w:p>
        </w:tc>
        <w:tc>
          <w:tcPr>
            <w:tcW w:type="dxa" w:w="579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显示资源异常，不显示用户已超额，保留原保护</w:t>
            </w:r>
          </w:p>
        </w:tc>
      </w:tr>
      <w:tr>
        <w:trPr>
          <w:cantSplit/>
        </w:trPr>
        <w:tc>
          <w:tcPr>
            <w:tcW w:type="dxa" w:w="81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A23</w:t>
            </w:r>
          </w:p>
        </w:tc>
        <w:tc>
          <w:tcPr>
            <w:tcW w:type="dxa" w:w="297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用量同步失败或本机时间变化</w:t>
            </w:r>
          </w:p>
        </w:tc>
        <w:tc>
          <w:tcPr>
            <w:tcW w:type="dxa" w:w="579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显示最后同步值与缺口，周期和额度不由本机时钟改变</w:t>
            </w:r>
          </w:p>
        </w:tc>
      </w:tr>
      <w:tr>
        <w:trPr>
          <w:cantSplit/>
        </w:trPr>
        <w:tc>
          <w:tcPr>
            <w:tcW w:type="dxa" w:w="81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A24</w:t>
            </w:r>
          </w:p>
        </w:tc>
        <w:tc>
          <w:tcPr>
            <w:tcW w:type="dxa" w:w="297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服务端周期重置或后台调整额度</w:t>
            </w:r>
          </w:p>
        </w:tc>
        <w:tc>
          <w:tcPr>
            <w:tcW w:type="dxa" w:w="579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前台同步状态，按条件恢复原 A／B，不能顺便改变出口</w:t>
            </w:r>
          </w:p>
        </w:tc>
      </w:tr>
      <w:tr>
        <w:trPr>
          <w:cantSplit/>
        </w:trPr>
        <w:tc>
          <w:tcPr>
            <w:tcW w:type="dxa" w:w="81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A25</w:t>
            </w:r>
          </w:p>
        </w:tc>
        <w:tc>
          <w:tcPr>
            <w:tcW w:type="dxa" w:w="297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授权范围内订阅／规则更新</w:t>
            </w:r>
          </w:p>
        </w:tc>
        <w:tc>
          <w:tcPr>
            <w:tcW w:type="dxa" w:w="579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自动完成检查与应用，不反复弹窗，不改变 A 或用户清单</w:t>
            </w:r>
          </w:p>
        </w:tc>
      </w:tr>
      <w:tr>
        <w:trPr>
          <w:cantSplit/>
        </w:trPr>
        <w:tc>
          <w:tcPr>
            <w:tcW w:type="dxa" w:w="81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A26</w:t>
            </w:r>
          </w:p>
        </w:tc>
        <w:tc>
          <w:tcPr>
            <w:tcW w:type="dxa" w:w="297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更新要求改变 A、地区或保护边界</w:t>
            </w:r>
          </w:p>
        </w:tc>
        <w:tc>
          <w:tcPr>
            <w:tcW w:type="dxa" w:w="579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不按普通刷新执行；无明确预授权时告知并确认</w:t>
            </w:r>
          </w:p>
        </w:tc>
      </w:tr>
      <w:tr>
        <w:trPr>
          <w:cantSplit/>
        </w:trPr>
        <w:tc>
          <w:tcPr>
            <w:tcW w:type="dxa" w:w="81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A27</w:t>
            </w:r>
          </w:p>
        </w:tc>
        <w:tc>
          <w:tcPr>
            <w:tcW w:type="dxa" w:w="297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下载成功但配置或路径验证失败</w:t>
            </w:r>
          </w:p>
        </w:tc>
        <w:tc>
          <w:tcPr>
            <w:tcW w:type="dxa" w:w="579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不显示全部成功，保留／恢复有效配置并说明问题</w:t>
            </w:r>
          </w:p>
        </w:tc>
      </w:tr>
      <w:tr>
        <w:trPr>
          <w:cantSplit/>
        </w:trPr>
        <w:tc>
          <w:tcPr>
            <w:tcW w:type="dxa" w:w="81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A28</w:t>
            </w:r>
          </w:p>
        </w:tc>
        <w:tc>
          <w:tcPr>
            <w:tcW w:type="dxa" w:w="297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后台离线但已有配置与资源仍有效</w:t>
            </w:r>
          </w:p>
        </w:tc>
        <w:tc>
          <w:tcPr>
            <w:tcW w:type="dxa" w:w="579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可继续原连接；服务端额度、到期和暂停依旧生效</w:t>
            </w:r>
          </w:p>
        </w:tc>
      </w:tr>
      <w:tr>
        <w:trPr>
          <w:cantSplit/>
        </w:trPr>
        <w:tc>
          <w:tcPr>
            <w:tcW w:type="dxa" w:w="81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A29</w:t>
            </w:r>
          </w:p>
        </w:tc>
        <w:tc>
          <w:tcPr>
            <w:tcW w:type="dxa" w:w="297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恢复旧配置时用户已超额或资源被撤销</w:t>
            </w:r>
          </w:p>
        </w:tc>
        <w:tc>
          <w:tcPr>
            <w:tcW w:type="dxa" w:w="579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不回滚用量，不通过旧凭据恢复未授权服务，不放开直连</w:t>
            </w:r>
          </w:p>
        </w:tc>
      </w:tr>
      <w:tr>
        <w:trPr>
          <w:cantSplit/>
        </w:trPr>
        <w:tc>
          <w:tcPr>
            <w:tcW w:type="dxa" w:w="81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A30</w:t>
            </w:r>
          </w:p>
        </w:tc>
        <w:tc>
          <w:tcPr>
            <w:tcW w:type="dxa" w:w="297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关闭界面、停止内核、保护演练</w:t>
            </w:r>
          </w:p>
        </w:tc>
        <w:tc>
          <w:tcPr>
            <w:tcW w:type="dxa" w:w="579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三种动作影响明确；演练单独授权，恢复状态可核验</w:t>
            </w:r>
          </w:p>
        </w:tc>
      </w:tr>
      <w:tr>
        <w:trPr>
          <w:cantSplit/>
        </w:trPr>
        <w:tc>
          <w:tcPr>
            <w:tcW w:type="dxa" w:w="81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A31</w:t>
            </w:r>
          </w:p>
        </w:tc>
        <w:tc>
          <w:tcPr>
            <w:tcW w:type="dxa" w:w="297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FD-02 提出修复且用户确认</w:t>
            </w:r>
          </w:p>
        </w:tc>
        <w:tc>
          <w:tcPr>
            <w:tcW w:type="dxa" w:w="579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同一配置入口执行并复查，不出现两个界面相互覆盖</w:t>
            </w:r>
          </w:p>
        </w:tc>
      </w:tr>
      <w:tr>
        <w:trPr>
          <w:cantSplit/>
        </w:trPr>
        <w:tc>
          <w:tcPr>
            <w:tcW w:type="dxa" w:w="81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A32</w:t>
            </w:r>
          </w:p>
        </w:tc>
        <w:tc>
          <w:tcPr>
            <w:tcW w:type="dxa" w:w="297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AI 不可用或未配置</w:t>
            </w:r>
          </w:p>
        </w:tc>
        <w:tc>
          <w:tcPr>
            <w:tcW w:type="dxa" w:w="579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方案使用、规则执行、额度控制、自动维护与恢复仍可用</w:t>
            </w:r>
          </w:p>
        </w:tc>
      </w:tr>
      <w:tr>
        <w:trPr>
          <w:cantSplit/>
        </w:trPr>
        <w:tc>
          <w:tcPr>
            <w:tcW w:type="dxa" w:w="81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A33</w:t>
            </w:r>
          </w:p>
        </w:tc>
        <w:tc>
          <w:tcPr>
            <w:tcW w:type="dxa" w:w="297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配置下发、后台操作及报告导出</w:t>
            </w:r>
          </w:p>
        </w:tc>
        <w:tc>
          <w:tcPr>
            <w:tcW w:type="dxa" w:w="5797"/>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不含其他用户资源，普通日志／模型输入无秘密，不收集 Claude 凭据</w:t>
            </w:r>
          </w:p>
        </w:tc>
      </w:tr>
      <w:tr>
        <w:trPr>
          <w:cantSplit/>
        </w:trPr>
        <w:tc>
          <w:tcPr>
            <w:tcW w:type="dxa" w:w="81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A34</w:t>
            </w:r>
          </w:p>
        </w:tc>
        <w:tc>
          <w:tcPr>
            <w:tcW w:type="dxa" w:w="297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未验证系统、分类方式或供应商能力</w:t>
            </w:r>
          </w:p>
        </w:tc>
        <w:tc>
          <w:tcPr>
            <w:tcW w:type="dxa" w:w="5797"/>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如实标记未支持／待验证；不称全机无绕行或每用户硬限额已实现</w:t>
            </w:r>
          </w:p>
        </w:tc>
      </w:tr>
    </w:tbl>
    <w:p>
      <w:pPr>
        <w:keepNext w:val="0"/>
        <w:spacing w:before="0" w:after="0" w:line="240" w:lineRule="auto"/>
      </w:pPr>
      <w:r>
        <w:rPr>
          <w:sz w:val="6"/>
        </w:rPr>
      </w:r>
    </w:p>
    <w:p>
      <w:r>
        <w:rPr>
          <w:b w:val="0"/>
          <w:i w:val="0"/>
        </w:rPr>
        <w:t>以上为应通过的功能场景，不是已经执行的测试报告。计量精度、超额容忍、停流时延、并发规模和恢复耗时等验收数值，需要结合供应商及实现确定，不在本版编造。</w:t>
      </w:r>
    </w:p>
    <w:p>
      <w:pPr>
        <w:pStyle w:val="Heading1"/>
      </w:pPr>
      <w:r>
        <w:rPr>
          <w:b w:val="0"/>
          <w:i w:val="0"/>
        </w:rPr>
        <w:t>13. 材料来源与现成能力复用</w:t>
      </w:r>
    </w:p>
    <w:p>
      <w:pPr>
        <w:pStyle w:val="Heading2"/>
      </w:pPr>
      <w:r>
        <w:rPr>
          <w:b w:val="0"/>
          <w:i w:val="0"/>
        </w:rPr>
        <w:t>13.1 需求依据与追溯</w:t>
      </w:r>
    </w:p>
    <w:tbl>
      <w:tblPr>
        <w:tblW w:type="dxa" w:w="9582"/>
        <w:jc w:val="center"/>
        <w:tblLayout w:type="fixed"/>
        <w:tblLook w:firstColumn="1" w:firstRow="1" w:lastColumn="0" w:lastRow="0" w:noHBand="0" w:noVBand="1" w:val="04A0"/>
        <w:tblBorders>
          <w:top w:val="single" w:sz="4" w:color="DCE4E8"/>
          <w:left w:val="single" w:sz="4" w:color="DCE4E8"/>
          <w:bottom w:val="single" w:sz="4" w:color="DCE4E8"/>
          <w:right w:val="single" w:sz="4" w:color="DCE4E8"/>
          <w:insideH w:val="single" w:sz="4" w:color="DCE4E8"/>
          <w:insideV w:val="single" w:sz="4" w:color="DCE4E8"/>
        </w:tblBorders>
      </w:tblPr>
      <w:tblGrid>
        <w:gridCol w:w="862"/>
        <w:gridCol w:w="3641"/>
        <w:gridCol w:w="5078"/>
      </w:tblGrid>
      <w:tr>
        <w:trPr>
          <w:cantSplit/>
          <w:tblHeader/>
        </w:trPr>
        <w:tc>
          <w:tcPr>
            <w:tcW w:type="dxa" w:w="862"/>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引用</w:t>
            </w:r>
          </w:p>
        </w:tc>
        <w:tc>
          <w:tcPr>
            <w:tcW w:type="dxa" w:w="3641"/>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材料</w:t>
            </w:r>
          </w:p>
        </w:tc>
        <w:tc>
          <w:tcPr>
            <w:tcW w:type="dxa" w:w="5078"/>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用途与限制</w:t>
            </w:r>
          </w:p>
        </w:tc>
      </w:tr>
      <w:tr>
        <w:trPr>
          <w:cantSplit/>
        </w:trPr>
        <w:tc>
          <w:tcPr>
            <w:tcW w:type="dxa" w:w="86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U1</w:t>
            </w:r>
          </w:p>
        </w:tc>
        <w:tc>
          <w:tcPr>
            <w:tcW w:type="dxa" w:w="3641"/>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用户明确“方案做好、只需切换；订阅和 IP 后台统一设置，自动更新”的要求</w:t>
            </w:r>
          </w:p>
        </w:tc>
        <w:tc>
          <w:tcPr>
            <w:tcW w:type="dxa" w:w="5078"/>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确定托管型而非自助代理配置工具，撤回普通用户填写参数流程</w:t>
            </w:r>
          </w:p>
        </w:tc>
      </w:tr>
      <w:tr>
        <w:trPr>
          <w:cantSplit/>
        </w:trPr>
        <w:tc>
          <w:tcPr>
            <w:tcW w:type="dxa" w:w="86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U2</w:t>
            </w:r>
          </w:p>
        </w:tc>
        <w:tc>
          <w:tcPr>
            <w:tcW w:type="dxa" w:w="3641"/>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用户确认单／双 IP 是共用一个固定出口或 Claude A／日常 B 分工</w:t>
            </w:r>
          </w:p>
        </w:tc>
        <w:tc>
          <w:tcPr>
            <w:tcW w:type="dxa" w:w="5078"/>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确定出口角色，不解释为 Claude 双出口轮换</w:t>
            </w:r>
          </w:p>
        </w:tc>
      </w:tr>
      <w:tr>
        <w:trPr>
          <w:cantSplit/>
        </w:trPr>
        <w:tc>
          <w:tcPr>
            <w:tcW w:type="dxa" w:w="86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U3</w:t>
            </w:r>
          </w:p>
        </w:tc>
        <w:tc>
          <w:tcPr>
            <w:tcW w:type="dxa" w:w="3641"/>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用户明确按用户匹配单／双 IP、机场订阅、每月 250G 示例、日常白名单及三类推荐对象</w:t>
            </w:r>
          </w:p>
        </w:tc>
        <w:tc>
          <w:tcPr>
            <w:tcW w:type="dxa" w:w="5078"/>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确定资源、分流与额度核心需求；推荐是用户的产品策略</w:t>
            </w:r>
          </w:p>
        </w:tc>
      </w:tr>
      <w:tr>
        <w:trPr>
          <w:cantSplit/>
        </w:trPr>
        <w:tc>
          <w:tcPr>
            <w:tcW w:type="dxa" w:w="86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U4</w:t>
            </w:r>
          </w:p>
        </w:tc>
        <w:tc>
          <w:tcPr>
            <w:tcW w:type="dxa" w:w="3641"/>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用户认可随后整理的功能清单满足第一版，并要求成文</w:t>
            </w:r>
          </w:p>
        </w:tc>
        <w:tc>
          <w:tcPr>
            <w:tcW w:type="dxa" w:w="5078"/>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确认上传＋下载、A／B 汇总、服务端限额、超额保护、更新与切换原则作为本份基线</w:t>
            </w:r>
          </w:p>
        </w:tc>
      </w:tr>
      <w:tr>
        <w:trPr>
          <w:cantSplit/>
        </w:trPr>
        <w:tc>
          <w:tcPr>
            <w:tcW w:type="dxa" w:w="86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FD01</w:t>
            </w:r>
          </w:p>
        </w:tc>
        <w:tc>
          <w:tcPr>
            <w:tcW w:type="dxa" w:w="3641"/>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《01_Claude检测_本地文件环境检测与清理_功能文档_v1.0.md》§2—3、§6—7</w:t>
            </w:r>
          </w:p>
        </w:tc>
        <w:tc>
          <w:tcPr>
            <w:tcW w:type="dxa" w:w="5078"/>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继承项目保护、正常账号保留、账号状态由用户确认、AI 只读与无聊天框</w:t>
            </w:r>
          </w:p>
        </w:tc>
      </w:tr>
      <w:tr>
        <w:trPr>
          <w:cantSplit/>
        </w:trPr>
        <w:tc>
          <w:tcPr>
            <w:tcW w:type="dxa" w:w="86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FD02</w:t>
            </w:r>
          </w:p>
        </w:tc>
        <w:tc>
          <w:tcPr>
            <w:tcW w:type="dxa" w:w="3641"/>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《02_Claude检测_网络与浏览器环境检测诊断及优化_功能文档_v1.0.md》§2—3、§5—8、§13—14</w:t>
            </w:r>
          </w:p>
        </w:tc>
        <w:tc>
          <w:tcPr>
            <w:tcW w:type="dxa" w:w="5078"/>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继承内置 Clash、唯一受管配置、确认执行与复查；本份 §1.3 明确托管模式增量</w:t>
            </w:r>
          </w:p>
        </w:tc>
      </w:tr>
      <w:tr>
        <w:trPr>
          <w:cantSplit/>
        </w:trPr>
        <w:tc>
          <w:tcPr>
            <w:tcW w:type="dxa" w:w="86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H</w:t>
            </w:r>
          </w:p>
        </w:tc>
        <w:tc>
          <w:tcPr>
            <w:tcW w:type="dxa" w:w="3641"/>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本轮已引用的旧单／双固定出口方案及失败保护要求</w:t>
            </w:r>
          </w:p>
        </w:tc>
        <w:tc>
          <w:tcPr>
            <w:tcW w:type="dxa" w:w="5078"/>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作为产品意图参考，不复制个人节点名、路径或宣称当前电脑已重新验收</w:t>
            </w:r>
          </w:p>
        </w:tc>
      </w:tr>
    </w:tbl>
    <w:p>
      <w:pPr>
        <w:keepNext w:val="0"/>
        <w:spacing w:before="0" w:after="0" w:line="240" w:lineRule="auto"/>
      </w:pPr>
      <w:r>
        <w:rPr>
          <w:sz w:val="6"/>
        </w:rPr>
      </w:r>
    </w:p>
    <w:p>
      <w:r>
        <w:rPr>
          <w:b w:val="0"/>
          <w:i w:val="0"/>
        </w:rPr>
        <w:t>本文件根据已确认讨论与已提供文档整理，未新做网络扫描、供应商测试或全量仓库审计。历史清理附件不是本模块配额策略或网络配置的直接依据；未将其删除清单移入本份。</w:t>
      </w:r>
    </w:p>
    <w:p>
      <w:pPr>
        <w:pStyle w:val="Heading2"/>
      </w:pPr>
      <w:r>
        <w:rPr>
          <w:b w:val="0"/>
          <w:i w:val="0"/>
        </w:rPr>
        <w:t>13.2 候选能力与复用边界</w:t>
      </w:r>
    </w:p>
    <w:tbl>
      <w:tblPr>
        <w:tblW w:type="dxa" w:w="9582"/>
        <w:jc w:val="center"/>
        <w:tblLayout w:type="fixed"/>
        <w:tblLook w:firstColumn="1" w:firstRow="1" w:lastColumn="0" w:lastRow="0" w:noHBand="0" w:noVBand="1" w:val="04A0"/>
        <w:tblBorders>
          <w:top w:val="single" w:sz="4" w:color="DCE4E8"/>
          <w:left w:val="single" w:sz="4" w:color="DCE4E8"/>
          <w:bottom w:val="single" w:sz="4" w:color="DCE4E8"/>
          <w:right w:val="single" w:sz="4" w:color="DCE4E8"/>
          <w:insideH w:val="single" w:sz="4" w:color="DCE4E8"/>
          <w:insideV w:val="single" w:sz="4" w:color="DCE4E8"/>
        </w:tblBorders>
      </w:tblPr>
      <w:tblGrid>
        <w:gridCol w:w="2204"/>
        <w:gridCol w:w="3689"/>
        <w:gridCol w:w="3689"/>
      </w:tblGrid>
      <w:tr>
        <w:trPr>
          <w:cantSplit/>
          <w:tblHeader/>
        </w:trPr>
        <w:tc>
          <w:tcPr>
            <w:tcW w:type="dxa" w:w="2204"/>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能力</w:t>
            </w:r>
          </w:p>
        </w:tc>
        <w:tc>
          <w:tcPr>
            <w:tcW w:type="dxa" w:w="3689"/>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已讨论的候选方向</w:t>
            </w:r>
          </w:p>
        </w:tc>
        <w:tc>
          <w:tcPr>
            <w:tcW w:type="dxa" w:w="3689"/>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采用前需要确认</w:t>
            </w:r>
          </w:p>
        </w:tc>
      </w:tr>
      <w:tr>
        <w:trPr>
          <w:cantSplit/>
        </w:trPr>
        <w:tc>
          <w:tcPr>
            <w:tcW w:type="dxa" w:w="220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代理内核与链式连接</w:t>
            </w:r>
          </w:p>
        </w:tc>
        <w:tc>
          <w:tcPr>
            <w:tcW w:type="dxa" w:w="3689"/>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Mihomo／Clash 相关现成能力；讨论中提到 dialer-proxy</w:t>
            </w:r>
          </w:p>
        </w:tc>
        <w:tc>
          <w:tcPr>
            <w:tcW w:type="dxa" w:w="3689"/>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内核版本、协议支持、固定出口角色、配置载入和故障行为</w:t>
            </w:r>
          </w:p>
        </w:tc>
      </w:tr>
      <w:tr>
        <w:trPr>
          <w:cantSplit/>
        </w:trPr>
        <w:tc>
          <w:tcPr>
            <w:tcW w:type="dxa" w:w="220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订阅与规则刷新</w:t>
            </w:r>
          </w:p>
        </w:tc>
        <w:tc>
          <w:tcPr>
            <w:tcW w:type="dxa" w:w="3689"/>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现成代理集合与规则集合的更新机制</w:t>
            </w:r>
          </w:p>
        </w:tc>
        <w:tc>
          <w:tcPr>
            <w:tcW w:type="dxa" w:w="3689"/>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只刷新授权资源，模板与用户清单分离，更新不改变 A</w:t>
            </w:r>
          </w:p>
        </w:tc>
      </w:tr>
      <w:tr>
        <w:trPr>
          <w:cantSplit/>
        </w:trPr>
        <w:tc>
          <w:tcPr>
            <w:tcW w:type="dxa" w:w="220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桌面与系统集成</w:t>
            </w:r>
          </w:p>
        </w:tc>
        <w:tc>
          <w:tcPr>
            <w:tcW w:type="dxa" w:w="3689"/>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已讨论的 Clash Verge Rev 等实现参考</w:t>
            </w:r>
          </w:p>
        </w:tc>
        <w:tc>
          <w:tcPr>
            <w:tcW w:type="dxa" w:w="3689"/>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与本应用技术栈的适配、后台常驻／权限、版本与许可</w:t>
            </w:r>
          </w:p>
        </w:tc>
      </w:tr>
      <w:tr>
        <w:trPr>
          <w:cantSplit/>
        </w:trPr>
        <w:tc>
          <w:tcPr>
            <w:tcW w:type="dxa" w:w="2204"/>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用户计量与配额</w:t>
            </w:r>
          </w:p>
        </w:tc>
        <w:tc>
          <w:tcPr>
            <w:tcW w:type="dxa" w:w="3689"/>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供应商用户／子账号接口；已提到 Remnawave 等管理方案可供评估</w:t>
            </w:r>
          </w:p>
        </w:tc>
        <w:tc>
          <w:tcPr>
            <w:tcW w:type="dxa" w:w="3689"/>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全部路径的按用户计量、暂停／恢复、周期、在途流量与限额精度</w:t>
            </w:r>
          </w:p>
        </w:tc>
      </w:tr>
      <w:tr>
        <w:trPr>
          <w:cantSplit/>
        </w:trPr>
        <w:tc>
          <w:tcPr>
            <w:tcW w:type="dxa" w:w="2204"/>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网络验证</w:t>
            </w:r>
          </w:p>
        </w:tc>
        <w:tc>
          <w:tcPr>
            <w:tcW w:type="dxa" w:w="3689"/>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复用 FD-02 的本机、浏览器和外部观测能力</w:t>
            </w:r>
          </w:p>
        </w:tc>
        <w:tc>
          <w:tcPr>
            <w:tcW w:type="dxa" w:w="3689"/>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对准实际客户端与环境，区分配置保存和实际路径验证</w:t>
            </w:r>
          </w:p>
        </w:tc>
      </w:tr>
    </w:tbl>
    <w:p>
      <w:pPr>
        <w:keepNext w:val="0"/>
        <w:spacing w:before="0" w:after="0" w:line="240" w:lineRule="auto"/>
      </w:pPr>
      <w:r>
        <w:rPr>
          <w:sz w:val="6"/>
        </w:rPr>
      </w:r>
    </w:p>
    <w:p>
      <w:r>
        <w:rPr>
          <w:b w:val="0"/>
          <w:i w:val="0"/>
        </w:rPr>
        <w:t>这里只登记候选与需求，不宣布采用某个仓库或供应商。优先复用能覆盖目标的成熟能力，只补齐分配、统一方案、必要适配和验收缺口；不要求串接多个完整代理面板，不把 README 声明当实测保证。</w:t>
      </w:r>
    </w:p>
    <w:p>
      <w:pPr>
        <w:pStyle w:val="Heading1"/>
      </w:pPr>
      <w:r>
        <w:rPr>
          <w:b w:val="0"/>
          <w:i w:val="0"/>
        </w:rPr>
        <w:t>14. 待定实现参数与完成定义</w:t>
      </w:r>
    </w:p>
    <w:p>
      <w:pPr>
        <w:pStyle w:val="Heading2"/>
      </w:pPr>
      <w:r>
        <w:rPr>
          <w:b w:val="0"/>
          <w:i w:val="0"/>
        </w:rPr>
        <w:t>14.1 尚未锁定的参数</w:t>
      </w:r>
    </w:p>
    <w:tbl>
      <w:tblPr>
        <w:tblW w:type="dxa" w:w="9582"/>
        <w:jc w:val="center"/>
        <w:tblLayout w:type="fixed"/>
        <w:tblLook w:firstColumn="1" w:firstRow="1" w:lastColumn="0" w:lastRow="0" w:noHBand="0" w:noVBand="1" w:val="04A0"/>
        <w:tblBorders>
          <w:top w:val="single" w:sz="4" w:color="DCE4E8"/>
          <w:left w:val="single" w:sz="4" w:color="DCE4E8"/>
          <w:bottom w:val="single" w:sz="4" w:color="DCE4E8"/>
          <w:right w:val="single" w:sz="4" w:color="DCE4E8"/>
          <w:insideH w:val="single" w:sz="4" w:color="DCE4E8"/>
          <w:insideV w:val="single" w:sz="4" w:color="DCE4E8"/>
        </w:tblBorders>
      </w:tblPr>
      <w:tblGrid>
        <w:gridCol w:w="2300"/>
        <w:gridCol w:w="7282"/>
      </w:tblGrid>
      <w:tr>
        <w:trPr>
          <w:cantSplit/>
          <w:tblHeader/>
        </w:trPr>
        <w:tc>
          <w:tcPr>
            <w:tcW w:type="dxa" w:w="2300"/>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待定项</w:t>
            </w:r>
          </w:p>
        </w:tc>
        <w:tc>
          <w:tcPr>
            <w:tcW w:type="dxa" w:w="7282"/>
            <w:vAlign w:val="center"/>
            <w:tcMar>
              <w:top w:w="75" w:type="dxa"/>
              <w:bottom w:w="75" w:type="dxa"/>
              <w:left w:w="100" w:type="dxa"/>
              <w:right w:w="100" w:type="dxa"/>
            </w:tcMar>
            <w:shd w:fill="18324A"/>
          </w:tcPr>
          <w:p>
            <w:pPr>
              <w:keepNext/>
              <w:keepLines/>
              <w:spacing w:before="0" w:after="0" w:line="276" w:lineRule="auto"/>
            </w:pPr>
            <w:r>
              <w:rPr>
                <w:b/>
                <w:i w:val="0"/>
                <w:color w:val="FFFFFF"/>
                <w:sz w:val="18"/>
              </w:rPr>
              <w:t>后续需要明确</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供应商与资源方式</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机场／前置／固定出口来源、用户或子账号能力、共享／独享属性、有效期与资源补给</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服务端计量点</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用户计量以哪一层为准；上传下载、协议开销、失败请求和同步差异的具体口径</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额度参数</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GB／GiB、自然月或开通日起算、时区、告警阈值、刷新间隔、精度与误差</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硬限额执行</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对新连接和在途流量的处理、停止生效时延、允许超额范围、供应商接口能力</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用户与设备</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本应用用户绑定方式、允许设备／环境数量、并发使用规则；允许多端时额度必须合并</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内置 Clash 与本机支持</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内核、版本、打包、权限、日常接管方式、Windows／WSL／其他环境兼容性</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规则与基础例外</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Claude 连接分类、共享浏览器处理、默认白名单、域名范围、DNS与必要控制／局域网通信</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更新与运行行为</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更新频率、维护时机、运行中连接收尾、托盘／常驻／开机启动及关闭窗口默认行为</w:t>
            </w:r>
          </w:p>
        </w:tc>
      </w:tr>
      <w:tr>
        <w:trPr>
          <w:cantSplit/>
        </w:trPr>
        <w:tc>
          <w:tcPr>
            <w:tcW w:type="dxa" w:w="2300"/>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配置分发与恢复</w:t>
            </w:r>
          </w:p>
        </w:tc>
        <w:tc>
          <w:tcPr>
            <w:tcW w:type="dxa" w:w="7282"/>
            <w:vAlign w:val="center"/>
            <w:tcMar>
              <w:top w:w="75" w:type="dxa"/>
              <w:bottom w:w="75" w:type="dxa"/>
              <w:left w:w="100" w:type="dxa"/>
              <w:right w:w="100" w:type="dxa"/>
            </w:tcMar>
            <w:shd w:fill="FFFFFF"/>
          </w:tcPr>
          <w:p>
            <w:pPr>
              <w:keepNext w:val="0"/>
              <w:keepLines/>
              <w:spacing w:before="0" w:after="0" w:line="276" w:lineRule="auto"/>
            </w:pPr>
            <w:r>
              <w:rPr>
                <w:b w:val="0"/>
                <w:i w:val="0"/>
                <w:color w:val="263541"/>
                <w:sz w:val="18"/>
              </w:rPr>
              <w:t>身份校验、资源授权、秘密保存、版本留存、失效配置与恢复冲突的实现</w:t>
            </w:r>
          </w:p>
        </w:tc>
      </w:tr>
      <w:tr>
        <w:trPr>
          <w:cantSplit/>
        </w:trPr>
        <w:tc>
          <w:tcPr>
            <w:tcW w:type="dxa" w:w="2300"/>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运行质量指标</w:t>
            </w:r>
          </w:p>
        </w:tc>
        <w:tc>
          <w:tcPr>
            <w:tcW w:type="dxa" w:w="7282"/>
            <w:vAlign w:val="center"/>
            <w:tcMar>
              <w:top w:w="75" w:type="dxa"/>
              <w:bottom w:w="75" w:type="dxa"/>
              <w:left w:w="100" w:type="dxa"/>
              <w:right w:w="100" w:type="dxa"/>
            </w:tcMar>
            <w:shd w:fill="F1F6F8"/>
          </w:tcPr>
          <w:p>
            <w:pPr>
              <w:keepNext w:val="0"/>
              <w:keepLines/>
              <w:spacing w:before="0" w:after="0" w:line="276" w:lineRule="auto"/>
            </w:pPr>
            <w:r>
              <w:rPr>
                <w:b w:val="0"/>
                <w:i w:val="0"/>
                <w:color w:val="263541"/>
                <w:sz w:val="18"/>
              </w:rPr>
              <w:t>方案切换时间、恢复耗时、检测覆盖率、资源容量与监控保留期限</w:t>
            </w:r>
          </w:p>
        </w:tc>
      </w:tr>
    </w:tbl>
    <w:p>
      <w:pPr>
        <w:keepNext w:val="0"/>
        <w:spacing w:before="0" w:after="0" w:line="240" w:lineRule="auto"/>
      </w:pPr>
      <w:r>
        <w:rPr>
          <w:sz w:val="6"/>
        </w:rPr>
      </w:r>
    </w:p>
    <w:p>
      <w:r>
        <w:rPr>
          <w:b w:val="0"/>
          <w:i w:val="0"/>
        </w:rPr>
        <w:t>这些待定项不能被解释成允许重新让普通用户填订阅和代理、默许双 IP 轮换、取消服务端限额、默认所有国内直连、增加聊天框，或静默解除保护。</w:t>
      </w:r>
    </w:p>
    <w:p>
      <w:pPr>
        <w:pStyle w:val="Heading2"/>
      </w:pPr>
      <w:r>
        <w:rPr>
          <w:b w:val="0"/>
          <w:i w:val="0"/>
        </w:rPr>
        <w:t>14.2 交付前必须验证的条件</w:t>
      </w:r>
    </w:p>
    <w:p>
      <w:r>
        <w:rPr>
          <w:b w:val="0"/>
          <w:i w:val="0"/>
        </w:rPr>
        <w:t>供应商或受管服务必须能够按用户计量并执行额度，双出口与允许的多端都在控制范围内；否则不能宣称已实现每用户 250 GB 硬限制。</w:t>
      </w:r>
    </w:p>
    <w:p>
      <w:r>
        <w:rPr>
          <w:b w:val="0"/>
          <w:i w:val="0"/>
        </w:rPr>
        <w:t>三套方案必须在声明支持的客户端和环境中验证实际流量路径、白名单行为、切换结果、固定出口故障及超额阻断。只提供界面、配置文件或客户端计数不算完成。</w:t>
      </w:r>
    </w:p>
    <w:p>
      <w:r>
        <w:rPr>
          <w:b w:val="0"/>
          <w:i w:val="0"/>
        </w:rPr>
        <w:t>具体数值指标在实现前补齐，功能验收按第 12 节执行。未支持范围、同步缺口、资源异常、恢复限制和未通过的验证始终对用户可见。</w:t>
      </w:r>
    </w:p>
    <w:p>
      <w:pPr>
        <w:pStyle w:val="Heading2"/>
      </w:pPr>
      <w:r>
        <w:rPr>
          <w:b w:val="0"/>
          <w:i w:val="0"/>
        </w:rPr>
        <w:t>14.3 本板块完成定义</w:t>
      </w:r>
    </w:p>
    <w:p>
      <w:r>
        <w:rPr>
          <w:b w:val="0"/>
          <w:i w:val="0"/>
        </w:rPr>
        <w:t>在已声明支持的范围内，管理员可以按用户分配并维护订阅、前置代理、A／B 固定出口、方案和月度额度；普通用户无需网络参数知识即可启用、切换和查看状态，日常直连白名单按许可范围生效。应用在授权内自动维护，变化有记录，失败可按范围恢复；用户用量由服务端统一计量并受限额控制，超额或故障不引发未批准直连或出口变更。</w:t>
      </w:r>
    </w:p>
    <w:p>
      <w:r>
        <w:rPr>
          <w:b w:val="0"/>
          <w:i w:val="0"/>
        </w:rPr>
      </w:r>
      <w:r>
        <w:rPr>
          <w:b/>
          <w:i w:val="0"/>
        </w:rPr>
        <w:t>本板块最终承诺的是：方案由我们做好，资源按用户分配，配置自动维护，用量真实计量，额度由服务端控制；用户只选方案，应用正确执行、验证并按范围恢复。不是把复杂配置换个界面交回用户，也不是以隐藏客户端按钮代替真正的服务端管理。</w:t>
      </w:r>
      <w:r>
        <w:rPr>
          <w:b w:val="0"/>
          <w:i w:val="0"/>
        </w:rPr>
      </w:r>
    </w:p>
    <w:sectPr>
      <w:headerReference w:type="default" r:id="rId9"/>
      <w:footerReference w:type="default" r:id="rId10"/>
      <w:headerReference w:type="first" r:id="rId11"/>
      <w:footerReference w:type="first" r:id="rId12"/>
      <w:headerReference w:type="even" r:id="rId13"/>
      <w:footerReference w:type="even" r:id="rId14"/>
      <w:pgSz w:w="11906" w:h="16838"/>
      <w:pgMar w:top="1106" w:right="1162" w:bottom="1049" w:left="1162" w:header="482" w:footer="48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7382"/>
        <w:sz w:val="16"/>
      </w:rPr>
      <w:t xml:space="preserve">FD-03  ·  2026-09-12     |     </w:t>
    </w:r>
    <w:fldSimple w:instr="PAGE">
      <w:r>
        <w:rPr>
          <w:sz w:val="16"/>
        </w:rPr>
        <w:t>1</w:t>
      </w:r>
    </w:fldSimple>
    <w:r>
      <w:rPr>
        <w:color w:val="607382"/>
        <w:sz w:val="16"/>
      </w:rPr>
      <w:t xml:space="preserve"> / </w:t>
    </w:r>
    <w:fldSimple w:instr="NUMPAGES">
      <w:r>
        <w:rPr>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4" w:color="CDD8DE" w:space="6"/>
      </w:pBdr>
    </w:pPr>
    <w:r>
      <w:rPr>
        <w:color w:val="607382"/>
        <w:sz w:val="16"/>
      </w:rPr>
      <w:t>CLAUDE 环境管理  /  功能文档 03        托管网络方案与配额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88" w:lineRule="auto"/>
    </w:pPr>
    <w:rPr>
      <w:rFonts w:ascii="Noto Sans CJK SC" w:hAnsi="Noto Sans CJK SC" w:eastAsia="Noto Sans CJK SC"/>
      <w:color w:val="2635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SC" w:hAnsi="Noto Sans CJK SC" w:eastAsia="Noto Sans CJK SC"/>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SC" w:hAnsi="Noto Sans CJK SC" w:eastAsia="Noto Sans CJK SC"/>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20" w:line="288" w:lineRule="auto"/>
      <w:outlineLvl w:val="0"/>
    </w:pPr>
    <w:rPr>
      <w:rFonts w:ascii="Noto Sans CJK SC" w:hAnsi="Noto Sans CJK SC" w:eastAsia="Noto Sans CJK SC"/>
      <w:b/>
      <w:bCs/>
      <w:color w:val="18324A"/>
      <w:sz w:val="32"/>
      <w:szCs w:val="28"/>
    </w:rPr>
  </w:style>
  <w:style w:type="paragraph" w:styleId="Heading2">
    <w:name w:val="heading 2"/>
    <w:basedOn w:val="Normal"/>
    <w:next w:val="Normal"/>
    <w:link w:val="Heading2Char"/>
    <w:uiPriority w:val="9"/>
    <w:unhideWhenUsed/>
    <w:qFormat/>
    <w:rsid w:val="00FC693F"/>
    <w:pPr>
      <w:keepNext/>
      <w:keepLines/>
      <w:widowControl/>
      <w:spacing w:before="160" w:after="120" w:line="288" w:lineRule="auto"/>
      <w:outlineLvl w:val="1"/>
    </w:pPr>
    <w:rPr>
      <w:rFonts w:ascii="Noto Sans CJK SC" w:hAnsi="Noto Sans CJK SC" w:eastAsia="Noto Sans CJK SC"/>
      <w:b/>
      <w:bCs/>
      <w:color w:val="126B78"/>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120" w:line="288" w:lineRule="auto"/>
      <w:outlineLvl w:val="2"/>
    </w:pPr>
    <w:rPr>
      <w:rFonts w:ascii="Noto Sans CJK SC" w:hAnsi="Noto Sans CJK SC" w:eastAsia="Noto Sans CJK SC"/>
      <w:b/>
      <w:bCs/>
      <w:color w:val="1832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00" w:line="288" w:lineRule="auto" w:before="360"/>
      <w:contextualSpacing/>
    </w:pPr>
    <w:rPr>
      <w:rFonts w:ascii="Noto Sans CJK SC" w:hAnsi="Noto Sans CJK SC" w:eastAsia="Noto Sans CJK SC"/>
      <w:b/>
      <w:color w:val="1832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spacing w:after="400" w:line="288" w:lineRule="auto" w:before="160"/>
    </w:pPr>
    <w:rPr>
      <w:rFonts w:ascii="Noto Sans CJK SC" w:hAnsi="Noto Sans CJK SC" w:eastAsia="Noto Sans CJK SC"/>
      <w:b w:val="0"/>
      <w:i w:val="0"/>
      <w:iCs/>
      <w:color w:val="12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spacing w:after="100" w:line="288" w:lineRule="auto"/>
      <w:ind w:left="720"/>
      <w:contextualSpacing/>
    </w:pPr>
    <w:rPr>
      <w:rFonts w:ascii="Noto Sans CJK SC" w:hAnsi="Noto Sans CJK SC" w:eastAsia="Noto Sans CJK SC"/>
      <w:color w:val="263541"/>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after="80" w:line="288" w:lineRule="auto"/>
      <w:ind w:left="170" w:right="113"/>
    </w:pPr>
    <w:rPr>
      <w:rFonts w:ascii="Noto Sans CJK SC" w:hAnsi="Noto Sans CJK SC" w:eastAsia="Noto Sans CJK SC"/>
      <w:i/>
      <w:iCs/>
      <w:color w:val="263541"/>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内置 Clash：托管网络方案与用户流量配额管理</dc:title>
  <dc:subject>Claude 环境管理应用 · FD-03 功能需求文档 v1.0</dc:subject>
  <dc:creator/>
  <cp:keywords>FD-03,Clash,托管网络,固定出口,白名单,流量配额</cp:keywords>
  <dc:description>基于已确认讨论整理；未进行产品实现或网络测试。</dc:description>
  <cp:lastModifiedBy/>
  <cp:revision>1</cp:revision>
  <dcterms:created xsi:type="dcterms:W3CDTF">2026-09-12T08:00:00Z</dcterms:created>
  <dcterms:modified xsi:type="dcterms:W3CDTF">2026-09-12T08:00:00Z</dcterms:modified>
  <cp:category/>
</cp:coreProperties>
</file>