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A0F1E"/>
        </w:rPr>
        <w:t xml:space="preserve">Project 1 — Wireframe Diagram</w:t>
      </w:r>
    </w:p>
    <w:p>
      <w:pPr>
        <w:spacing w:after="60"/>
      </w:pPr>
      <w:r>
        <w:rPr>
          <w:i/>
          <w:iCs/>
          <w:color w:val="5A5248"/>
          <w:sz w:val="22"/>
          <w:szCs w:val="22"/>
        </w:rPr>
        <w:t xml:space="preserve">Low-Fidelity Wireframe · Personal Developer Portfolio</w:t>
      </w:r>
    </w:p>
    <w:p>
      <w:pPr>
        <w:spacing w:after="300"/>
      </w:pPr>
      <w:r>
        <w:rPr>
          <w:color w:val="5A5248"/>
          <w:sz w:val="20"/>
          <w:szCs w:val="20"/>
        </w:rPr>
        <w:t xml:space="preserve">Muhammad Abdul Kareem · DecodeLabs Internship Program · Batch 2026</w:t>
      </w:r>
    </w:p>
    <w:p>
      <w:pPr>
        <w:pBdr>
          <w:bottom w:val="single" w:color="CCCCCC" w:sz="6" w:space="1"/>
        </w:pBdr>
      </w:pPr>
    </w:p>
    <w:p>
      <w:pPr>
        <w:pStyle w:val="Heading2"/>
      </w:pPr>
      <w:r>
        <w:t xml:space="preserve">Purpose</w:t>
      </w:r>
    </w:p>
    <w:p>
      <w:pPr>
        <w:spacing w:after="200"/>
      </w:pPr>
      <w:r>
        <w:rPr>
          <w:sz w:val="21"/>
          <w:szCs w:val="21"/>
        </w:rPr>
        <w:t xml:space="preserve">Per the brief's Pillar 1 (Strategy &amp; Blueprint): “If it doesn’t work in grayscale, color won’t fix it.” This wireframe was produced before any HTML, CSS, or color decisions were made, focusing purely on content hierarchy and page flow, mobile-first.</w:t>
      </w:r>
    </w:p>
    <w:p>
      <w:pPr>
        <w:spacing w:after="100" w:before="200"/>
        <w:jc w:val="center"/>
      </w:pPr>
      <w:r>
        <w:drawing>
          <wp:inline distT="0" distB="0" distL="0" distR="0">
            <wp:extent cx="4210050" cy="692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A5248"/>
          <w:sz w:val="18"/>
          <w:szCs w:val="18"/>
        </w:rPr>
        <w:t xml:space="preserve">Fig. 1 — Mobile-first low-fidelity wireframe (grayscale, no styling)</w:t>
      </w:r>
    </w:p>
    <w:p>
      <w:pPr>
        <w:pStyle w:val="Heading2"/>
      </w:pPr>
      <w:r>
        <w:t xml:space="preserve">Layout &amp; Flow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Single-column, top-to-bottom flow: Nav → Hero → About → Skills → Experience → Projects → Contact.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Hero limited to one headline, one bio line, and two CTAs — respecting the brief's 10-second attention window.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Skills and Projects use repeatable card blocks, designed to scale from 1 column (mobile) to 2-3 columns (tablet/desktop) via CSS Grid.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Experience uses a vertical timeline structure to show chronological progression clearly.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Contact form placed last by design — appearing only once credibility has been established earlier in the flow.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1"/>
          <w:szCs w:val="21"/>
        </w:rPr>
        <w:t xml:space="preserve">No colors, icons, or final copy were used at this stage — only boxes, lines, and labels to validate structure.</w:t>
      </w:r>
    </w:p>
    <w:p>
      <w:pPr>
        <w:pBdr>
          <w:top w:val="single" w:color="CCCCCC" w:sz="6" w:space="1"/>
        </w:pBdr>
        <w:spacing w:before="300"/>
      </w:pPr>
      <w:r>
        <w:rPr>
          <w:i/>
          <w:iCs/>
          <w:color w:val="5A5248"/>
          <w:sz w:val="18"/>
          <w:szCs w:val="18"/>
        </w:rPr>
        <w:t xml:space="preserve">DecodeLabs · Project 1: The Responsive Architecture · decodelabs.tech@gmail.com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00"/>
      <w:outlineLvl w:val="0"/>
    </w:pPr>
    <w:rPr>
      <w:rFonts w:ascii="Arial" w:cs="Arial" w:eastAsia="Arial" w:hAnsi="Arial"/>
      <w:b/>
      <w:bCs/>
      <w:color w:val="0A0F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077A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8615a00adf0b9f8649076f702266d622c23d73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2026-06-22T06:40:44.003Z</dcterms:created>
  <dcterms:modified xsi:type="dcterms:W3CDTF">2026-06-22T06:40:44.020Z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