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572836711"/>
        <w15:color w:val="DBDBDB"/>
      </w:sdtPr>
      <w:sdtEndPr>
        <w:rPr>
          <w:rFonts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_Toc764684411 </w:instrText>
          </w:r>
          <w:r>
            <w:fldChar w:fldCharType="separate"/>
          </w:r>
          <w:r>
            <w:t>一、类结构图</w:t>
          </w:r>
          <w:r>
            <w:tab/>
          </w:r>
          <w:r>
            <w:fldChar w:fldCharType="begin"/>
          </w:r>
          <w:r>
            <w:instrText xml:space="preserve"> PAGEREF _Toc764684411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_Toc1508752029 </w:instrText>
          </w:r>
          <w:r>
            <w:fldChar w:fldCharType="separate"/>
          </w:r>
          <w:r>
            <w:t>1.1 类结构图</w:t>
          </w:r>
          <w:r>
            <w:tab/>
          </w:r>
          <w:r>
            <w:fldChar w:fldCharType="begin"/>
          </w:r>
          <w:r>
            <w:instrText xml:space="preserve"> PAGEREF _Toc1508752029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_Toc108447627 </w:instrText>
          </w:r>
          <w:r>
            <w:fldChar w:fldCharType="separate"/>
          </w:r>
          <w:r>
            <w:t>1.2 ExcelFactoryConfig配置项(已过期)</w:t>
          </w:r>
          <w:r>
            <w:tab/>
          </w:r>
          <w:r>
            <w:fldChar w:fldCharType="begin"/>
          </w:r>
          <w:r>
            <w:instrText xml:space="preserve"> PAGEREF _Toc108447627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_Toc1613134333 </w:instrText>
          </w:r>
          <w:r>
            <w:fldChar w:fldCharType="separate"/>
          </w:r>
          <w:r>
            <w:t>1.3 ExcelFactoryConfigInner(3.25更新)</w:t>
          </w:r>
          <w:r>
            <w:tab/>
          </w:r>
          <w:r>
            <w:fldChar w:fldCharType="begin"/>
          </w:r>
          <w:r>
            <w:instrText xml:space="preserve"> PAGEREF _Toc1613134333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_Toc2115175003 </w:instrText>
          </w:r>
          <w:r>
            <w:fldChar w:fldCharType="separate"/>
          </w:r>
          <w:r>
            <w:t>1.4 ExcelFactory主体流程图</w:t>
          </w:r>
          <w:r>
            <w:tab/>
          </w:r>
          <w:r>
            <w:fldChar w:fldCharType="begin"/>
          </w:r>
          <w:r>
            <w:instrText xml:space="preserve"> PAGEREF _Toc2115175003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_Toc301982983 </w:instrText>
          </w:r>
          <w:r>
            <w:fldChar w:fldCharType="separate"/>
          </w:r>
          <w:r>
            <w:t>二、代码说明</w:t>
          </w:r>
          <w:r>
            <w:tab/>
          </w:r>
          <w:r>
            <w:fldChar w:fldCharType="begin"/>
          </w:r>
          <w:r>
            <w:instrText xml:space="preserve"> PAGEREF _Toc301982983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_Toc924137420 </w:instrText>
          </w:r>
          <w:r>
            <w:fldChar w:fldCharType="separate"/>
          </w:r>
          <w:r>
            <w:t>2.1 核心类说明</w:t>
          </w:r>
          <w:r>
            <w:tab/>
          </w:r>
          <w:r>
            <w:fldChar w:fldCharType="begin"/>
          </w:r>
          <w:r>
            <w:instrText xml:space="preserve"> PAGEREF _Toc924137420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_Toc1375882836 </w:instrText>
          </w:r>
          <w:r>
            <w:fldChar w:fldCharType="separate"/>
          </w:r>
          <w:r>
            <w:t>2.1.1 Column注解</w:t>
          </w:r>
          <w:r>
            <w:tab/>
          </w:r>
          <w:r>
            <w:fldChar w:fldCharType="begin"/>
          </w:r>
          <w:r>
            <w:instrText xml:space="preserve"> PAGEREF _Toc1375882836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_Toc358913756 </w:instrText>
          </w:r>
          <w:r>
            <w:fldChar w:fldCharType="separate"/>
          </w:r>
          <w:r>
            <w:t>2.1.2 Excel注解</w:t>
          </w:r>
          <w:r>
            <w:tab/>
          </w:r>
          <w:r>
            <w:fldChar w:fldCharType="begin"/>
          </w:r>
          <w:r>
            <w:instrText xml:space="preserve"> PAGEREF _Toc358913756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_Toc2129416316 </w:instrText>
          </w:r>
          <w:r>
            <w:fldChar w:fldCharType="separate"/>
          </w:r>
          <w:r>
            <w:t>2.1.3 ColumnWrap类</w:t>
          </w:r>
          <w:r>
            <w:tab/>
          </w:r>
          <w:r>
            <w:fldChar w:fldCharType="begin"/>
          </w:r>
          <w:r>
            <w:instrText xml:space="preserve"> PAGEREF _Toc2129416316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_Toc1285045757 </w:instrText>
          </w:r>
          <w:r>
            <w:fldChar w:fldCharType="separate"/>
          </w:r>
          <w:r>
            <w:t>2.1.4 Validator类</w:t>
          </w:r>
          <w:r>
            <w:tab/>
          </w:r>
          <w:r>
            <w:fldChar w:fldCharType="begin"/>
          </w:r>
          <w:r>
            <w:instrText xml:space="preserve"> PAGEREF _Toc1285045757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_Toc521000020 </w:instrText>
          </w:r>
          <w:r>
            <w:fldChar w:fldCharType="separate"/>
          </w:r>
          <w:r>
            <w:rPr>
              <w:rFonts w:hint="default"/>
            </w:rPr>
            <w:t>2.1.5 Converter接口说明</w:t>
          </w:r>
          <w:r>
            <w:tab/>
          </w:r>
          <w:r>
            <w:fldChar w:fldCharType="begin"/>
          </w:r>
          <w:r>
            <w:instrText xml:space="preserve"> PAGEREF _Toc521000020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_Toc1156507321 </w:instrText>
          </w:r>
          <w:r>
            <w:fldChar w:fldCharType="separate"/>
          </w:r>
          <w:r>
            <w:rPr>
              <w:rFonts w:hint="default"/>
            </w:rPr>
            <w:t>2.2 异常体系</w:t>
          </w:r>
          <w:r>
            <w:tab/>
          </w:r>
          <w:r>
            <w:fldChar w:fldCharType="begin"/>
          </w:r>
          <w:r>
            <w:instrText xml:space="preserve"> PAGEREF _Toc1156507321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_Toc544055050 </w:instrText>
          </w:r>
          <w:r>
            <w:fldChar w:fldCharType="separate"/>
          </w:r>
          <w:r>
            <w:rPr>
              <w:rFonts w:hint="default"/>
            </w:rPr>
            <w:t>2.2.1 异常体系继承图</w:t>
          </w:r>
          <w:r>
            <w:tab/>
          </w:r>
          <w:r>
            <w:fldChar w:fldCharType="begin"/>
          </w:r>
          <w:r>
            <w:instrText xml:space="preserve"> PAGEREF _Toc544055050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_Toc2095340071 </w:instrText>
          </w:r>
          <w:r>
            <w:fldChar w:fldCharType="separate"/>
          </w:r>
          <w:r>
            <w:t>2.2.2 异常继承关系说明</w:t>
          </w:r>
          <w:r>
            <w:tab/>
          </w:r>
          <w:r>
            <w:fldChar w:fldCharType="begin"/>
          </w:r>
          <w:r>
            <w:instrText xml:space="preserve"> PAGEREF _Toc2095340071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_Toc1943729791 </w:instrText>
          </w:r>
          <w:r>
            <w:fldChar w:fldCharType="separate"/>
          </w:r>
          <w:r>
            <w:rPr>
              <w:rFonts w:hint="default"/>
            </w:rPr>
            <w:t>三、相关拓展点</w:t>
          </w:r>
          <w:r>
            <w:tab/>
          </w:r>
          <w:r>
            <w:fldChar w:fldCharType="begin"/>
          </w:r>
          <w:r>
            <w:instrText xml:space="preserve"> PAGEREF _Toc1943729791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_Toc745359173 </w:instrText>
          </w:r>
          <w:r>
            <w:fldChar w:fldCharType="separate"/>
          </w:r>
          <w:r>
            <w:rPr>
              <w:rFonts w:hint="default"/>
            </w:rPr>
            <w:t>3.1 如果存在一个Bean有多个解析版本的情况</w:t>
          </w:r>
          <w:r>
            <w:tab/>
          </w:r>
          <w:r>
            <w:fldChar w:fldCharType="begin"/>
          </w:r>
          <w:r>
            <w:instrText xml:space="preserve"> PAGEREF _Toc745359173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_Toc979507660 </w:instrText>
          </w:r>
          <w:r>
            <w:fldChar w:fldCharType="separate"/>
          </w:r>
          <w:r>
            <w:rPr>
              <w:rFonts w:hint="default"/>
            </w:rPr>
            <w:t>3.1.1 多版本实现的方式</w:t>
          </w:r>
          <w:r>
            <w:tab/>
          </w:r>
          <w:r>
            <w:fldChar w:fldCharType="begin"/>
          </w:r>
          <w:r>
            <w:instrText xml:space="preserve"> PAGEREF _Toc979507660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_Toc2123087365 </w:instrText>
          </w:r>
          <w:r>
            <w:fldChar w:fldCharType="separate"/>
          </w:r>
          <w:r>
            <w:rPr>
              <w:rFonts w:hint="default"/>
            </w:rPr>
            <w:t>3.1.2 多版本实现的原理</w:t>
          </w:r>
          <w:r>
            <w:tab/>
          </w:r>
          <w:r>
            <w:fldChar w:fldCharType="begin"/>
          </w:r>
          <w:r>
            <w:instrText xml:space="preserve"> PAGEREF _Toc2123087365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_Toc141065003 </w:instrText>
          </w:r>
          <w:r>
            <w:fldChar w:fldCharType="separate"/>
          </w:r>
          <w:r>
            <w:rPr>
              <w:rFonts w:hint="default"/>
            </w:rPr>
            <w:t>3.2 动态表头的Excel</w:t>
          </w:r>
          <w:r>
            <w:tab/>
          </w:r>
          <w:r>
            <w:fldChar w:fldCharType="begin"/>
          </w:r>
          <w:r>
            <w:instrText xml:space="preserve"> PAGEREF _Toc141065003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_Toc57559133 </w:instrText>
          </w:r>
          <w:r>
            <w:fldChar w:fldCharType="separate"/>
          </w:r>
          <w:r>
            <w:rPr>
              <w:rFonts w:hint="default"/>
            </w:rPr>
            <w:t>3.2.1 核心类说明</w:t>
          </w:r>
          <w:r>
            <w:tab/>
          </w:r>
          <w:r>
            <w:fldChar w:fldCharType="begin"/>
          </w:r>
          <w:r>
            <w:instrText xml:space="preserve"> PAGEREF _Toc57559133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_Toc1028707181 </w:instrText>
          </w:r>
          <w:r>
            <w:fldChar w:fldCharType="separate"/>
          </w:r>
          <w:r>
            <w:rPr>
              <w:rFonts w:hint="default"/>
            </w:rPr>
            <w:t>3.3 配合Excel注解在Controller层中将Excel转换成Bean</w:t>
          </w:r>
          <w:r>
            <w:tab/>
          </w:r>
          <w:r>
            <w:fldChar w:fldCharType="begin"/>
          </w:r>
          <w:r>
            <w:instrText xml:space="preserve"> PAGEREF _Toc1028707181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_Toc90749070 </w:instrText>
          </w:r>
          <w:r>
            <w:fldChar w:fldCharType="separate"/>
          </w:r>
          <w:r>
            <w:rPr>
              <w:rFonts w:hint="default"/>
            </w:rPr>
            <w:t>3.3.1 springmvc扩展点简单说明</w:t>
          </w:r>
          <w:r>
            <w:tab/>
          </w:r>
          <w:r>
            <w:fldChar w:fldCharType="begin"/>
          </w:r>
          <w:r>
            <w:instrText xml:space="preserve"> PAGEREF _Toc90749070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_Toc506230120 </w:instrText>
          </w:r>
          <w:r>
            <w:fldChar w:fldCharType="separate"/>
          </w:r>
          <w:r>
            <w:rPr>
              <w:rFonts w:hint="default"/>
            </w:rPr>
            <w:t>3.3.2 @ExcelToBean注解说明</w:t>
          </w:r>
          <w:r>
            <w:tab/>
          </w:r>
          <w:r>
            <w:fldChar w:fldCharType="begin"/>
          </w:r>
          <w:r>
            <w:instrText xml:space="preserve"> PAGEREF _Toc506230120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_Toc2026901073 </w:instrText>
          </w:r>
          <w:r>
            <w:fldChar w:fldCharType="separate"/>
          </w:r>
          <w:r>
            <w:rPr>
              <w:rFonts w:hint="default"/>
            </w:rPr>
            <w:t>3.3.3 使用方法</w:t>
          </w:r>
          <w:r>
            <w:tab/>
          </w:r>
          <w:r>
            <w:fldChar w:fldCharType="begin"/>
          </w:r>
          <w:r>
            <w:instrText xml:space="preserve"> PAGEREF _Toc2026901073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_Toc593241550 </w:instrText>
          </w:r>
          <w:r>
            <w:fldChar w:fldCharType="separate"/>
          </w:r>
          <w:r>
            <w:rPr>
              <w:rFonts w:hint="default"/>
            </w:rPr>
            <w:t>3.4 举例行过滤(3.25新增功能)</w:t>
          </w:r>
          <w:r>
            <w:tab/>
          </w:r>
          <w:r>
            <w:fldChar w:fldCharType="begin"/>
          </w:r>
          <w:r>
            <w:instrText xml:space="preserve"> PAGEREF _Toc593241550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_Toc1991641476 </w:instrText>
          </w:r>
          <w:r>
            <w:fldChar w:fldCharType="separate"/>
          </w:r>
          <w:r>
            <w:rPr>
              <w:rFonts w:hint="default"/>
            </w:rPr>
            <w:t>3.5 全异常捕获(3.25新增)</w:t>
          </w:r>
          <w:r>
            <w:tab/>
          </w:r>
          <w:r>
            <w:fldChar w:fldCharType="begin"/>
          </w:r>
          <w:r>
            <w:instrText xml:space="preserve"> PAGEREF _Toc1991641476 </w:instrText>
          </w:r>
          <w:r>
            <w:fldChar w:fldCharType="separate"/>
          </w:r>
          <w:r>
            <w:t>15</w:t>
          </w:r>
          <w:r>
            <w:fldChar w:fldCharType="end"/>
          </w:r>
          <w:r>
            <w:fldChar w:fldCharType="end"/>
          </w:r>
        </w:p>
        <w:p>
          <w:pPr>
            <w:pStyle w:val="2"/>
            <w:bidi w:val="0"/>
            <w:rPr>
              <w:rFonts w:asciiTheme="minorHAnsi" w:hAnsiTheme="minorHAnsi" w:eastAsiaTheme="minorEastAsia" w:cstheme="minorBidi"/>
              <w:b/>
              <w:kern w:val="44"/>
              <w:sz w:val="44"/>
              <w:szCs w:val="24"/>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bookmarkStart w:id="27" w:name="_GoBack"/>
      <w:bookmarkEnd w:id="27"/>
    </w:p>
    <w:p>
      <w:pPr>
        <w:pStyle w:val="2"/>
        <w:bidi w:val="0"/>
      </w:pPr>
      <w:bookmarkStart w:id="0" w:name="_Toc764684411"/>
      <w:r>
        <w:t>一、类结构图</w:t>
      </w:r>
      <w:bookmarkEnd w:id="0"/>
    </w:p>
    <w:p>
      <w:pPr>
        <w:pStyle w:val="3"/>
        <w:bidi w:val="0"/>
      </w:pPr>
      <w:bookmarkStart w:id="1" w:name="_Toc1508752029"/>
      <w:r>
        <w:t>1.1 类结构图</w:t>
      </w:r>
      <w:bookmarkEnd w:id="1"/>
    </w:p>
    <w:p>
      <w:r>
        <w:drawing>
          <wp:inline distT="0" distB="0" distL="114300" distR="114300">
            <wp:extent cx="5266690" cy="3620770"/>
            <wp:effectExtent l="0" t="0" r="16510" b="11430"/>
            <wp:docPr id="1" name="图片 1" descr="截屏2020-06-28 下午6.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6-28 下午6.19.47"/>
                    <pic:cNvPicPr>
                      <a:picLocks noChangeAspect="1"/>
                    </pic:cNvPicPr>
                  </pic:nvPicPr>
                  <pic:blipFill>
                    <a:blip r:embed="rId4"/>
                    <a:stretch>
                      <a:fillRect/>
                    </a:stretch>
                  </pic:blipFill>
                  <pic:spPr>
                    <a:xfrm>
                      <a:off x="0" y="0"/>
                      <a:ext cx="5266690" cy="3620770"/>
                    </a:xfrm>
                    <a:prstGeom prst="rect">
                      <a:avLst/>
                    </a:prstGeom>
                  </pic:spPr>
                </pic:pic>
              </a:graphicData>
            </a:graphic>
          </wp:inline>
        </w:drawing>
      </w:r>
    </w:p>
    <w:p>
      <w:pPr>
        <w:pStyle w:val="3"/>
        <w:bidi w:val="0"/>
      </w:pPr>
      <w:bookmarkStart w:id="2" w:name="_Toc108447627"/>
      <w:r>
        <w:t>1.2 ExcelFactoryConfig配置项(已过期)</w:t>
      </w:r>
      <w:bookmarkEnd w:id="2"/>
    </w:p>
    <w:p>
      <w:r>
        <w:drawing>
          <wp:inline distT="0" distB="0" distL="114300" distR="114300">
            <wp:extent cx="5273675" cy="2219325"/>
            <wp:effectExtent l="0" t="0" r="9525" b="15875"/>
            <wp:docPr id="2" name="图片 2" descr="截屏2020-08-04 下午8.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8-04 下午8.40.50"/>
                    <pic:cNvPicPr>
                      <a:picLocks noChangeAspect="1"/>
                    </pic:cNvPicPr>
                  </pic:nvPicPr>
                  <pic:blipFill>
                    <a:blip r:embed="rId5"/>
                    <a:stretch>
                      <a:fillRect/>
                    </a:stretch>
                  </pic:blipFill>
                  <pic:spPr>
                    <a:xfrm>
                      <a:off x="0" y="0"/>
                      <a:ext cx="5273675" cy="2219325"/>
                    </a:xfrm>
                    <a:prstGeom prst="rect">
                      <a:avLst/>
                    </a:prstGeom>
                  </pic:spPr>
                </pic:pic>
              </a:graphicData>
            </a:graphic>
          </wp:inline>
        </w:drawing>
      </w:r>
    </w:p>
    <w:p>
      <w:r>
        <w:t>此配置项只提供了是否将空白单元格解析成空字符串，如果为true，则对应字段为null。</w:t>
      </w:r>
    </w:p>
    <w:p>
      <w:pPr>
        <w:rPr>
          <w:i/>
          <w:iCs/>
          <w:color w:val="AFABAB" w:themeColor="background2" w:themeShade="BF"/>
          <w:sz w:val="18"/>
          <w:szCs w:val="18"/>
        </w:rPr>
      </w:pPr>
      <w:r>
        <w:rPr>
          <w:i/>
          <w:iCs/>
          <w:color w:val="AFABAB" w:themeColor="background2" w:themeShade="BF"/>
          <w:sz w:val="18"/>
          <w:szCs w:val="18"/>
        </w:rPr>
        <w:t>#3.25更新</w:t>
      </w:r>
    </w:p>
    <w:p>
      <w:pPr>
        <w:rPr>
          <w:i/>
          <w:iCs/>
          <w:color w:val="AFABAB" w:themeColor="background2" w:themeShade="BF"/>
          <w:sz w:val="18"/>
          <w:szCs w:val="18"/>
        </w:rPr>
      </w:pPr>
      <w:r>
        <w:rPr>
          <w:i/>
          <w:iCs/>
          <w:color w:val="AFABAB" w:themeColor="background2" w:themeShade="BF"/>
          <w:sz w:val="18"/>
          <w:szCs w:val="18"/>
        </w:rPr>
        <w:t>此接口已经被标注为过期，请用1.3中ExcelFactoryConfigInner</w:t>
      </w:r>
    </w:p>
    <w:p/>
    <w:p>
      <w:pPr>
        <w:pStyle w:val="3"/>
        <w:bidi w:val="0"/>
      </w:pPr>
      <w:bookmarkStart w:id="3" w:name="_Toc1613134333"/>
      <w:r>
        <w:t>1.3 ExcelFactoryConfigInner(3.25更新)</w:t>
      </w:r>
      <w:bookmarkEnd w:id="3"/>
    </w:p>
    <w:p>
      <w:r>
        <w:drawing>
          <wp:inline distT="0" distB="0" distL="114300" distR="114300">
            <wp:extent cx="5270500" cy="2597150"/>
            <wp:effectExtent l="0" t="0" r="12700" b="19050"/>
            <wp:docPr id="3" name="图片 3" descr="截屏2020-08-04 下午9.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8-04 下午9.25.51"/>
                    <pic:cNvPicPr>
                      <a:picLocks noChangeAspect="1"/>
                    </pic:cNvPicPr>
                  </pic:nvPicPr>
                  <pic:blipFill>
                    <a:blip r:embed="rId6"/>
                    <a:stretch>
                      <a:fillRect/>
                    </a:stretch>
                  </pic:blipFill>
                  <pic:spPr>
                    <a:xfrm>
                      <a:off x="0" y="0"/>
                      <a:ext cx="5270500" cy="2597150"/>
                    </a:xfrm>
                    <a:prstGeom prst="rect">
                      <a:avLst/>
                    </a:prstGeom>
                  </pic:spPr>
                </pic:pic>
              </a:graphicData>
            </a:graphic>
          </wp:inline>
        </w:drawing>
      </w:r>
    </w:p>
    <w:p>
      <w:pPr>
        <w:ind w:firstLine="420" w:firstLineChars="0"/>
      </w:pPr>
      <w:r>
        <w:t>工厂的配置信息由1.2中的接口实现改成配置类聚合，目前提供了三种配置项目(原有的接口模式也保留，只是不推荐使用，以后新增的配置项皆走ExcelFactoryConfigInner)</w:t>
      </w:r>
    </w:p>
    <w:p/>
    <w:p>
      <w:pPr>
        <w:pStyle w:val="3"/>
        <w:bidi w:val="0"/>
      </w:pPr>
      <w:bookmarkStart w:id="4" w:name="_Toc2115175003"/>
      <w:r>
        <w:t>1.4 ExcelFactory主体流程图</w:t>
      </w:r>
      <w:bookmarkEnd w:id="4"/>
    </w:p>
    <w:p>
      <w:r>
        <w:drawing>
          <wp:inline distT="0" distB="0" distL="114300" distR="114300">
            <wp:extent cx="5267960" cy="4871720"/>
            <wp:effectExtent l="0" t="0" r="15240" b="5080"/>
            <wp:docPr id="10" name="图片 10" descr="截屏2020-08-05 下午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8-05 下午2.08.28"/>
                    <pic:cNvPicPr>
                      <a:picLocks noChangeAspect="1"/>
                    </pic:cNvPicPr>
                  </pic:nvPicPr>
                  <pic:blipFill>
                    <a:blip r:embed="rId7"/>
                    <a:stretch>
                      <a:fillRect/>
                    </a:stretch>
                  </pic:blipFill>
                  <pic:spPr>
                    <a:xfrm>
                      <a:off x="0" y="0"/>
                      <a:ext cx="5267960" cy="4871720"/>
                    </a:xfrm>
                    <a:prstGeom prst="rect">
                      <a:avLst/>
                    </a:prstGeom>
                  </pic:spPr>
                </pic:pic>
              </a:graphicData>
            </a:graphic>
          </wp:inline>
        </w:drawing>
      </w:r>
    </w:p>
    <w:p/>
    <w:p>
      <w:pPr>
        <w:pStyle w:val="2"/>
        <w:bidi w:val="0"/>
      </w:pPr>
      <w:bookmarkStart w:id="5" w:name="_Toc301982983"/>
      <w:r>
        <w:t>二、</w:t>
      </w:r>
      <w:r>
        <w:t>代码说明</w:t>
      </w:r>
      <w:bookmarkEnd w:id="5"/>
    </w:p>
    <w:p>
      <w:pPr>
        <w:pStyle w:val="3"/>
        <w:bidi w:val="0"/>
      </w:pPr>
      <w:bookmarkStart w:id="6" w:name="_Toc924137420"/>
      <w:r>
        <w:t>2.1 核心类说明</w:t>
      </w:r>
      <w:bookmarkEnd w:id="6"/>
    </w:p>
    <w:p>
      <w:pPr>
        <w:pStyle w:val="4"/>
        <w:bidi w:val="0"/>
      </w:pPr>
      <w:bookmarkStart w:id="7" w:name="_Toc1375882836"/>
      <w:r>
        <w:t>2.1.1 Column注解</w:t>
      </w:r>
      <w:bookmarkEnd w:id="7"/>
    </w:p>
    <w:p>
      <w:pPr>
        <w:numPr>
          <w:ilvl w:val="0"/>
          <w:numId w:val="0"/>
        </w:numPr>
      </w:pPr>
      <w:r>
        <w:t>Column注解的参数名意义如下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version</w:t>
            </w:r>
          </w:p>
        </w:tc>
        <w:tc>
          <w:tcPr>
            <w:tcW w:w="3168" w:type="dxa"/>
          </w:tcPr>
          <w:p>
            <w:pPr>
              <w:numPr>
                <w:ilvl w:val="0"/>
                <w:numId w:val="0"/>
              </w:numPr>
              <w:rPr>
                <w:vertAlign w:val="baseline"/>
              </w:rPr>
            </w:pPr>
            <w:r>
              <w:rPr>
                <w:vertAlign w:val="baseline"/>
              </w:rPr>
              <w:t>多版本控制</w:t>
            </w:r>
          </w:p>
        </w:tc>
        <w:tc>
          <w:tcPr>
            <w:tcW w:w="1848" w:type="dxa"/>
          </w:tcPr>
          <w:p>
            <w:pPr>
              <w:numPr>
                <w:ilvl w:val="0"/>
                <w:numId w:val="0"/>
              </w:numPr>
              <w:rPr>
                <w:vertAlign w:val="baseline"/>
              </w:rPr>
            </w:pPr>
            <w:r>
              <w:rPr>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position</w:t>
            </w:r>
          </w:p>
        </w:tc>
        <w:tc>
          <w:tcPr>
            <w:tcW w:w="3168" w:type="dxa"/>
          </w:tcPr>
          <w:p>
            <w:pPr>
              <w:numPr>
                <w:ilvl w:val="0"/>
                <w:numId w:val="0"/>
              </w:numPr>
              <w:rPr>
                <w:vertAlign w:val="baseline"/>
              </w:rPr>
            </w:pPr>
            <w:r>
              <w:rPr>
                <w:vertAlign w:val="baseline"/>
              </w:rPr>
              <w:t>字段在excel中对应的位置(暂未使用)</w:t>
            </w:r>
          </w:p>
        </w:tc>
        <w:tc>
          <w:tcPr>
            <w:tcW w:w="1848" w:type="dxa"/>
          </w:tcPr>
          <w:p>
            <w:pPr>
              <w:numPr>
                <w:ilvl w:val="0"/>
                <w:numId w:val="0"/>
              </w:numPr>
              <w:rPr>
                <w:vertAlign w:val="baseline"/>
              </w:rPr>
            </w:pPr>
            <w:r>
              <w:rPr>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headerName</w:t>
            </w:r>
          </w:p>
        </w:tc>
        <w:tc>
          <w:tcPr>
            <w:tcW w:w="3168" w:type="dxa"/>
          </w:tcPr>
          <w:p>
            <w:pPr>
              <w:numPr>
                <w:ilvl w:val="0"/>
                <w:numId w:val="0"/>
              </w:numPr>
              <w:rPr>
                <w:vertAlign w:val="baseline"/>
              </w:rPr>
            </w:pPr>
            <w:r>
              <w:rPr>
                <w:vertAlign w:val="baseline"/>
              </w:rPr>
              <w:t>对应列表头的名称</w:t>
            </w:r>
          </w:p>
        </w:tc>
        <w:tc>
          <w:tcPr>
            <w:tcW w:w="1848" w:type="dxa"/>
          </w:tcPr>
          <w:p>
            <w:pPr>
              <w:numPr>
                <w:ilvl w:val="0"/>
                <w:numId w:val="0"/>
              </w:numPr>
              <w:rPr>
                <w:vertAlign w:val="baseline"/>
              </w:rPr>
            </w:pPr>
            <w:r>
              <w:rPr>
                <w:vertAlign w:val="baseli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setter</w:t>
            </w:r>
          </w:p>
        </w:tc>
        <w:tc>
          <w:tcPr>
            <w:tcW w:w="3168" w:type="dxa"/>
          </w:tcPr>
          <w:p>
            <w:pPr>
              <w:numPr>
                <w:ilvl w:val="0"/>
                <w:numId w:val="0"/>
              </w:numPr>
              <w:rPr>
                <w:vertAlign w:val="baseline"/>
              </w:rPr>
            </w:pPr>
            <w:r>
              <w:rPr>
                <w:vertAlign w:val="baseline"/>
              </w:rPr>
              <w:t>自定义的setter方法</w:t>
            </w:r>
          </w:p>
        </w:tc>
        <w:tc>
          <w:tcPr>
            <w:tcW w:w="1848" w:type="dxa"/>
          </w:tcPr>
          <w:p>
            <w:pPr>
              <w:numPr>
                <w:ilvl w:val="0"/>
                <w:numId w:val="0"/>
              </w:numPr>
              <w:rPr>
                <w:vertAlign w:val="baseline"/>
              </w:rPr>
            </w:pPr>
            <w:r>
              <w:rPr>
                <w:rFonts w:hint="default"/>
                <w:vertAlign w:val="baseline"/>
              </w:rPr>
              <w:t>“”,代表将自动使用setXxx()的方法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getter</w:t>
            </w:r>
          </w:p>
        </w:tc>
        <w:tc>
          <w:tcPr>
            <w:tcW w:w="3168" w:type="dxa"/>
          </w:tcPr>
          <w:p>
            <w:pPr>
              <w:numPr>
                <w:ilvl w:val="0"/>
                <w:numId w:val="0"/>
              </w:numPr>
              <w:rPr>
                <w:vertAlign w:val="baseline"/>
              </w:rPr>
            </w:pPr>
            <w:r>
              <w:rPr>
                <w:vertAlign w:val="baseline"/>
              </w:rPr>
              <w:t>自定义的getter方法</w:t>
            </w:r>
          </w:p>
        </w:tc>
        <w:tc>
          <w:tcPr>
            <w:tcW w:w="1848" w:type="dxa"/>
          </w:tcPr>
          <w:p>
            <w:pPr>
              <w:numPr>
                <w:ilvl w:val="0"/>
                <w:numId w:val="0"/>
              </w:numPr>
              <w:rPr>
                <w:vertAlign w:val="baseline"/>
              </w:rPr>
            </w:pPr>
            <w:r>
              <w:rPr>
                <w:rFonts w:hint="default"/>
                <w:vertAlign w:val="baseline"/>
              </w:rPr>
              <w:t>“”,代表将自动使用getXxx()的方法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required</w:t>
            </w:r>
          </w:p>
        </w:tc>
        <w:tc>
          <w:tcPr>
            <w:tcW w:w="3168" w:type="dxa"/>
          </w:tcPr>
          <w:p>
            <w:pPr>
              <w:numPr>
                <w:ilvl w:val="0"/>
                <w:numId w:val="0"/>
              </w:numPr>
              <w:rPr>
                <w:vertAlign w:val="baseline"/>
              </w:rPr>
            </w:pPr>
            <w:r>
              <w:rPr>
                <w:vertAlign w:val="baseline"/>
              </w:rPr>
              <w:t>此表头是否必须存在</w:t>
            </w:r>
          </w:p>
        </w:tc>
        <w:tc>
          <w:tcPr>
            <w:tcW w:w="1848" w:type="dxa"/>
          </w:tcPr>
          <w:p>
            <w:pPr>
              <w:numPr>
                <w:ilvl w:val="0"/>
                <w:numId w:val="0"/>
              </w:numPr>
              <w:rPr>
                <w:vertAlign w:val="baseline"/>
              </w:rPr>
            </w:pPr>
            <w:r>
              <w:rPr>
                <w:vertAlign w:val="baseline"/>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converter</w:t>
            </w:r>
          </w:p>
        </w:tc>
        <w:tc>
          <w:tcPr>
            <w:tcW w:w="3168" w:type="dxa"/>
          </w:tcPr>
          <w:p>
            <w:pPr>
              <w:numPr>
                <w:ilvl w:val="0"/>
                <w:numId w:val="0"/>
              </w:numPr>
              <w:rPr>
                <w:vertAlign w:val="baseline"/>
              </w:rPr>
            </w:pPr>
            <w:r>
              <w:rPr>
                <w:vertAlign w:val="baseline"/>
              </w:rPr>
              <w:t>自定义的转换器，如果没有设置将使用Spring框架提供的ConversionService尝试进行转换</w:t>
            </w:r>
          </w:p>
        </w:tc>
        <w:tc>
          <w:tcPr>
            <w:tcW w:w="1848" w:type="dxa"/>
          </w:tcPr>
          <w:p>
            <w:pPr>
              <w:numPr>
                <w:ilvl w:val="0"/>
                <w:numId w:val="0"/>
              </w:numPr>
              <w:rPr>
                <w:vertAlign w:val="baseline"/>
              </w:rPr>
            </w:pPr>
            <w:r>
              <w:rPr>
                <w:vertAlign w:val="baseline"/>
              </w:rPr>
              <w:t>EmptyConverter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valid</w:t>
            </w:r>
          </w:p>
        </w:tc>
        <w:tc>
          <w:tcPr>
            <w:tcW w:w="3168" w:type="dxa"/>
          </w:tcPr>
          <w:p>
            <w:pPr>
              <w:numPr>
                <w:ilvl w:val="0"/>
                <w:numId w:val="0"/>
              </w:numPr>
              <w:rPr>
                <w:vertAlign w:val="baseline"/>
              </w:rPr>
            </w:pPr>
            <w:r>
              <w:rPr>
                <w:vertAlign w:val="baseline"/>
              </w:rPr>
              <w:t>校验器，支持多个校验器同时校验，校验的顺序即为从左到右，如果不设置则不进行校验</w:t>
            </w:r>
          </w:p>
        </w:tc>
        <w:tc>
          <w:tcPr>
            <w:tcW w:w="1848" w:type="dxa"/>
          </w:tcPr>
          <w:p>
            <w:pPr>
              <w:numPr>
                <w:ilvl w:val="0"/>
                <w:numId w:val="0"/>
              </w:numPr>
              <w:rPr>
                <w:vertAlign w:val="baseline"/>
              </w:rPr>
            </w:pPr>
            <w:r>
              <w:rPr>
                <w:vertAlign w:val="baseline"/>
              </w:rPr>
              <w:t>{NopValidator}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argsValid(新增)</w:t>
            </w:r>
          </w:p>
        </w:tc>
        <w:tc>
          <w:tcPr>
            <w:tcW w:w="3168" w:type="dxa"/>
          </w:tcPr>
          <w:p>
            <w:pPr>
              <w:numPr>
                <w:ilvl w:val="0"/>
                <w:numId w:val="0"/>
              </w:numPr>
              <w:rPr>
                <w:vertAlign w:val="baseline"/>
              </w:rPr>
            </w:pPr>
            <w:r>
              <w:rPr>
                <w:vertAlign w:val="baseline"/>
              </w:rPr>
              <w:t>新增带参数的校验器，与valid同时使用时会使得valid失效</w:t>
            </w:r>
          </w:p>
        </w:tc>
        <w:tc>
          <w:tcPr>
            <w:tcW w:w="1848" w:type="dxa"/>
          </w:tcPr>
          <w:p>
            <w:pPr>
              <w:numPr>
                <w:ilvl w:val="0"/>
                <w:numId w:val="0"/>
              </w:numP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format</w:t>
            </w:r>
          </w:p>
        </w:tc>
        <w:tc>
          <w:tcPr>
            <w:tcW w:w="3168" w:type="dxa"/>
          </w:tcPr>
          <w:p>
            <w:pPr>
              <w:numPr>
                <w:ilvl w:val="0"/>
                <w:numId w:val="0"/>
              </w:numPr>
              <w:rPr>
                <w:vertAlign w:val="baseline"/>
              </w:rPr>
            </w:pPr>
            <w:r>
              <w:rPr>
                <w:vertAlign w:val="baseline"/>
              </w:rPr>
              <w:t>格式化类，在generateExcel方法中使用，对bean进行format，在文件上传时不起作用</w:t>
            </w:r>
          </w:p>
        </w:tc>
        <w:tc>
          <w:tcPr>
            <w:tcW w:w="1848" w:type="dxa"/>
          </w:tcPr>
          <w:p>
            <w:pPr>
              <w:numPr>
                <w:ilvl w:val="0"/>
                <w:numId w:val="0"/>
              </w:numPr>
              <w:rPr>
                <w:vertAlign w:val="baseline"/>
              </w:rPr>
            </w:pPr>
            <w:r>
              <w:rPr>
                <w:vertAlign w:val="baseline"/>
              </w:rPr>
              <w:t>DefaultFormatter</w:t>
            </w:r>
          </w:p>
        </w:tc>
      </w:tr>
    </w:tbl>
    <w:p>
      <w:pPr>
        <w:numPr>
          <w:ilvl w:val="0"/>
          <w:numId w:val="0"/>
        </w:numPr>
      </w:pPr>
    </w:p>
    <w:p>
      <w:pPr>
        <w:pStyle w:val="4"/>
        <w:bidi w:val="0"/>
      </w:pPr>
      <w:bookmarkStart w:id="8" w:name="_Toc358913756"/>
      <w:r>
        <w:t>2.1.2 Excel注解</w:t>
      </w:r>
      <w:bookmarkEnd w:id="8"/>
    </w:p>
    <w:p>
      <w:pPr>
        <w:numPr>
          <w:ilvl w:val="0"/>
          <w:numId w:val="0"/>
        </w:numPr>
      </w:pPr>
      <w:r>
        <w:t>Excel注解的参数名意义如下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offset</w:t>
            </w:r>
          </w:p>
        </w:tc>
        <w:tc>
          <w:tcPr>
            <w:tcW w:w="3168" w:type="dxa"/>
          </w:tcPr>
          <w:p>
            <w:pPr>
              <w:numPr>
                <w:ilvl w:val="0"/>
                <w:numId w:val="0"/>
              </w:numPr>
              <w:rPr>
                <w:vertAlign w:val="baseline"/>
              </w:rPr>
            </w:pPr>
            <w:r>
              <w:rPr>
                <w:vertAlign w:val="baseline"/>
              </w:rPr>
              <w:t>表头的偏移量</w:t>
            </w:r>
          </w:p>
        </w:tc>
        <w:tc>
          <w:tcPr>
            <w:tcW w:w="1848" w:type="dxa"/>
          </w:tcPr>
          <w:p>
            <w:pPr>
              <w:numPr>
                <w:ilvl w:val="0"/>
                <w:numId w:val="0"/>
              </w:numPr>
              <w:rPr>
                <w:vertAlign w:val="baseline"/>
              </w:rPr>
            </w:pPr>
            <w:r>
              <w:rPr>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sheet</w:t>
            </w:r>
          </w:p>
        </w:tc>
        <w:tc>
          <w:tcPr>
            <w:tcW w:w="3168" w:type="dxa"/>
          </w:tcPr>
          <w:p>
            <w:pPr>
              <w:numPr>
                <w:ilvl w:val="0"/>
                <w:numId w:val="0"/>
              </w:numPr>
              <w:rPr>
                <w:vertAlign w:val="baseline"/>
              </w:rPr>
            </w:pPr>
            <w:r>
              <w:rPr>
                <w:rFonts w:hint="eastAsia"/>
                <w:vertAlign w:val="baseline"/>
              </w:rPr>
              <w:t>excel表格的sheet编号</w:t>
            </w:r>
          </w:p>
        </w:tc>
        <w:tc>
          <w:tcPr>
            <w:tcW w:w="1848" w:type="dxa"/>
          </w:tcPr>
          <w:p>
            <w:pPr>
              <w:numPr>
                <w:ilvl w:val="0"/>
                <w:numId w:val="0"/>
              </w:numPr>
              <w:rPr>
                <w:vertAlign w:val="baseline"/>
              </w:rPr>
            </w:pPr>
            <w:r>
              <w:rPr>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sheetName</w:t>
            </w:r>
          </w:p>
        </w:tc>
        <w:tc>
          <w:tcPr>
            <w:tcW w:w="3168" w:type="dxa"/>
          </w:tcPr>
          <w:p>
            <w:pPr>
              <w:numPr>
                <w:ilvl w:val="0"/>
                <w:numId w:val="0"/>
              </w:numPr>
              <w:rPr>
                <w:vertAlign w:val="baseline"/>
              </w:rPr>
            </w:pPr>
            <w:r>
              <w:rPr>
                <w:vertAlign w:val="baseline"/>
              </w:rPr>
              <w:t>sheet名称，优先级高于sheet</w:t>
            </w:r>
          </w:p>
        </w:tc>
        <w:tc>
          <w:tcPr>
            <w:tcW w:w="1848" w:type="dxa"/>
          </w:tcPr>
          <w:p>
            <w:pPr>
              <w:numPr>
                <w:ilvl w:val="0"/>
                <w:numId w:val="0"/>
              </w:numPr>
              <w:rPr>
                <w:vertAlign w:val="baseline"/>
              </w:rPr>
            </w:pPr>
            <w:r>
              <w:rPr>
                <w:rFonts w:hint="default"/>
                <w:vertAlign w:val="baseline"/>
              </w:rPr>
              <w:t>“”</w:t>
            </w:r>
          </w:p>
        </w:tc>
      </w:tr>
    </w:tbl>
    <w:p>
      <w:pPr>
        <w:numPr>
          <w:ilvl w:val="0"/>
          <w:numId w:val="0"/>
        </w:numPr>
      </w:pPr>
    </w:p>
    <w:p>
      <w:pPr>
        <w:pStyle w:val="4"/>
        <w:bidi w:val="0"/>
      </w:pPr>
      <w:bookmarkStart w:id="9" w:name="_Toc2129416316"/>
      <w:r>
        <w:t>2.1.3 ColumnWrap类</w:t>
      </w:r>
      <w:bookmarkEnd w:id="9"/>
    </w:p>
    <w:p>
      <w:pPr>
        <w:numPr>
          <w:ilvl w:val="0"/>
          <w:numId w:val="0"/>
        </w:numPr>
        <w:ind w:firstLine="420" w:firstLineChars="0"/>
      </w:pPr>
      <w:r>
        <w:t>ColumnWrap类有3个成员变量，分别是1）Column 2）Field 3）ValidPipeline</w:t>
      </w:r>
    </w:p>
    <w:p>
      <w:pPr>
        <w:numPr>
          <w:ilvl w:val="0"/>
          <w:numId w:val="0"/>
        </w:numPr>
      </w:pPr>
      <w:r>
        <w:drawing>
          <wp:inline distT="0" distB="0" distL="114300" distR="114300">
            <wp:extent cx="4305300" cy="1266825"/>
            <wp:effectExtent l="0" t="0" r="12700"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
                    <a:stretch>
                      <a:fillRect/>
                    </a:stretch>
                  </pic:blipFill>
                  <pic:spPr>
                    <a:xfrm>
                      <a:off x="0" y="0"/>
                      <a:ext cx="4305300" cy="1266825"/>
                    </a:xfrm>
                    <a:prstGeom prst="rect">
                      <a:avLst/>
                    </a:prstGeom>
                    <a:noFill/>
                    <a:ln w="9525">
                      <a:noFill/>
                    </a:ln>
                    <a:ln w="9525">
                      <a:noFill/>
                    </a:ln>
                  </pic:spPr>
                </pic:pic>
              </a:graphicData>
            </a:graphic>
          </wp:inline>
        </w:drawing>
      </w:r>
    </w:p>
    <w:p>
      <w:pPr>
        <w:numPr>
          <w:ilvl w:val="0"/>
          <w:numId w:val="0"/>
        </w:numPr>
        <w:ind w:firstLine="420" w:firstLineChars="0"/>
      </w:pPr>
      <w:r>
        <w:t>一个ColumnWrap实例代表了excel中某一列于目标bean中的某一个field的对应关系，pipeline代表根据Column中valid属性中的校验器数组，为了后期使用的方便，预先解析出来，其内部结构为链表。</w:t>
      </w:r>
    </w:p>
    <w:p>
      <w:pPr>
        <w:numPr>
          <w:ilvl w:val="0"/>
          <w:numId w:val="0"/>
        </w:numPr>
      </w:pPr>
      <w:r>
        <w:drawing>
          <wp:inline distT="0" distB="0" distL="114300" distR="114300">
            <wp:extent cx="4686300" cy="1206500"/>
            <wp:effectExtent l="0" t="0" r="1270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4686300" cy="1206500"/>
                    </a:xfrm>
                    <a:prstGeom prst="rect">
                      <a:avLst/>
                    </a:prstGeom>
                    <a:noFill/>
                    <a:ln w="9525">
                      <a:noFill/>
                    </a:ln>
                    <a:ln w="9525">
                      <a:noFill/>
                    </a:ln>
                  </pic:spPr>
                </pic:pic>
              </a:graphicData>
            </a:graphic>
          </wp:inline>
        </w:drawing>
      </w:r>
    </w:p>
    <w:p>
      <w:pPr>
        <w:numPr>
          <w:ilvl w:val="0"/>
          <w:numId w:val="0"/>
        </w:numPr>
        <w:ind w:firstLine="420" w:firstLineChars="0"/>
      </w:pPr>
      <w:r>
        <w:t>根据传入的excel解析出来的多个ColumnWrap组成数组作为ExcelBeanMetaData的成员属性，用于解析excel的唯一依据。</w:t>
      </w:r>
    </w:p>
    <w:p>
      <w:pPr>
        <w:numPr>
          <w:ilvl w:val="0"/>
          <w:numId w:val="0"/>
        </w:numPr>
      </w:pPr>
    </w:p>
    <w:p>
      <w:pPr>
        <w:pStyle w:val="4"/>
        <w:bidi w:val="0"/>
      </w:pPr>
      <w:bookmarkStart w:id="10" w:name="_Toc1285045757"/>
      <w:r>
        <w:t>2.1.4 Validator类</w:t>
      </w:r>
      <w:bookmarkEnd w:id="10"/>
    </w:p>
    <w:p>
      <w:pPr>
        <w:numPr>
          <w:ilvl w:val="0"/>
          <w:numId w:val="0"/>
        </w:numPr>
        <w:ind w:firstLine="420" w:firstLineChars="0"/>
      </w:pPr>
      <w:r>
        <w:t>Validator接口定义了两个方法：</w:t>
      </w:r>
    </w:p>
    <w:p>
      <w:pPr>
        <w:numPr>
          <w:ilvl w:val="0"/>
          <w:numId w:val="0"/>
        </w:numPr>
      </w:pPr>
      <w:r>
        <w:drawing>
          <wp:inline distT="0" distB="0" distL="114300" distR="114300">
            <wp:extent cx="5271135" cy="3755390"/>
            <wp:effectExtent l="0" t="0" r="12065" b="3810"/>
            <wp:docPr id="26" name="图片 26" descr="截屏2020-08-10 下午10.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0-08-10 下午10.27.13"/>
                    <pic:cNvPicPr>
                      <a:picLocks noChangeAspect="1"/>
                    </pic:cNvPicPr>
                  </pic:nvPicPr>
                  <pic:blipFill>
                    <a:blip r:embed="rId10"/>
                    <a:stretch>
                      <a:fillRect/>
                    </a:stretch>
                  </pic:blipFill>
                  <pic:spPr>
                    <a:xfrm>
                      <a:off x="0" y="0"/>
                      <a:ext cx="5271135" cy="3755390"/>
                    </a:xfrm>
                    <a:prstGeom prst="rect">
                      <a:avLst/>
                    </a:prstGeom>
                  </pic:spPr>
                </pic:pic>
              </a:graphicData>
            </a:graphic>
          </wp:inline>
        </w:drawing>
      </w:r>
    </w:p>
    <w:p>
      <w:pPr>
        <w:numPr>
          <w:ilvl w:val="0"/>
          <w:numId w:val="0"/>
        </w:numPr>
        <w:rPr>
          <w:rFonts w:hint="default"/>
        </w:rPr>
      </w:pPr>
      <w:r>
        <w:rPr>
          <w:rFonts w:hint="default"/>
        </w:rPr>
        <w:t>分别代表对原始数据转换前的校验以及数据转换后的校验，如下举一个最简单的非空校验</w:t>
      </w:r>
    </w:p>
    <w:p>
      <w:pPr>
        <w:numPr>
          <w:ilvl w:val="0"/>
          <w:numId w:val="0"/>
        </w:numPr>
        <w:rPr>
          <w:rFonts w:hint="eastAsia"/>
        </w:rPr>
      </w:pPr>
      <w:r>
        <w:rPr>
          <w:rFonts w:hint="eastAsia"/>
        </w:rPr>
        <w:drawing>
          <wp:inline distT="0" distB="0" distL="114300" distR="114300">
            <wp:extent cx="5273675" cy="2567305"/>
            <wp:effectExtent l="0" t="0" r="9525" b="23495"/>
            <wp:docPr id="11" name="图片 11" descr="截屏2020-06-28 下午7.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28 下午7.34.46"/>
                    <pic:cNvPicPr>
                      <a:picLocks noChangeAspect="1"/>
                    </pic:cNvPicPr>
                  </pic:nvPicPr>
                  <pic:blipFill>
                    <a:blip r:embed="rId11"/>
                    <a:stretch>
                      <a:fillRect/>
                    </a:stretch>
                  </pic:blipFill>
                  <pic:spPr>
                    <a:xfrm>
                      <a:off x="0" y="0"/>
                      <a:ext cx="5273675" cy="2567305"/>
                    </a:xfrm>
                    <a:prstGeom prst="rect">
                      <a:avLst/>
                    </a:prstGeom>
                  </pic:spPr>
                </pic:pic>
              </a:graphicData>
            </a:graphic>
          </wp:inline>
        </w:drawing>
      </w:r>
    </w:p>
    <w:p>
      <w:pPr>
        <w:numPr>
          <w:ilvl w:val="0"/>
          <w:numId w:val="0"/>
        </w:numPr>
        <w:rPr>
          <w:rFonts w:hint="default"/>
        </w:rPr>
      </w:pPr>
      <w:r>
        <w:rPr>
          <w:rFonts w:hint="default"/>
        </w:rPr>
        <w:t>如果校验失败并且想要将错误信息抛出给上级作为展示或其他的用途，需要直接抛出一个异常，并且将错误提示信息传入构造体中。</w:t>
      </w:r>
    </w:p>
    <w:p>
      <w:pPr>
        <w:numPr>
          <w:ilvl w:val="0"/>
          <w:numId w:val="0"/>
        </w:numPr>
        <w:ind w:firstLine="420" w:firstLineChars="0"/>
        <w:rPr>
          <w:rFonts w:hint="default"/>
        </w:rPr>
      </w:pPr>
      <w:r>
        <w:rPr>
          <w:rFonts w:hint="default"/>
        </w:rPr>
        <w:t>需要注意的是：</w:t>
      </w:r>
    </w:p>
    <w:p>
      <w:pPr>
        <w:numPr>
          <w:ilvl w:val="0"/>
          <w:numId w:val="1"/>
        </w:numPr>
        <w:ind w:firstLine="420" w:firstLineChars="0"/>
        <w:rPr>
          <w:rFonts w:hint="default"/>
        </w:rPr>
      </w:pPr>
      <w:r>
        <w:rPr>
          <w:rFonts w:hint="default"/>
        </w:rPr>
        <w:t>如果使用@Valid注解进行使用时，校验器需要提供一个空构造器。</w:t>
      </w:r>
    </w:p>
    <w:p>
      <w:pPr>
        <w:numPr>
          <w:ilvl w:val="0"/>
          <w:numId w:val="1"/>
        </w:numPr>
        <w:ind w:firstLine="420" w:firstLineChars="0"/>
        <w:rPr>
          <w:rFonts w:hint="default"/>
        </w:rPr>
      </w:pPr>
      <w:r>
        <w:rPr>
          <w:rFonts w:hint="default"/>
        </w:rPr>
        <w:t>如果使用@ArgsValidators注解进行使用时，校验器需要根据配置提供相对应的有参构造方法。</w:t>
      </w:r>
    </w:p>
    <w:p>
      <w:pPr>
        <w:numPr>
          <w:ilvl w:val="0"/>
          <w:numId w:val="0"/>
        </w:numPr>
        <w:ind w:firstLine="420" w:firstLineChars="0"/>
        <w:rPr>
          <w:rFonts w:hint="eastAsia"/>
        </w:rPr>
      </w:pPr>
    </w:p>
    <w:p>
      <w:pPr>
        <w:pStyle w:val="5"/>
        <w:bidi w:val="0"/>
        <w:rPr>
          <w:rFonts w:hint="default"/>
        </w:rPr>
      </w:pPr>
      <w:r>
        <w:rPr>
          <w:rFonts w:hint="default"/>
        </w:rPr>
        <w:t>2.1.4.1 校验器的组合使用</w:t>
      </w:r>
    </w:p>
    <w:p>
      <w:pPr>
        <w:numPr>
          <w:ilvl w:val="0"/>
          <w:numId w:val="0"/>
        </w:numPr>
        <w:ind w:firstLine="420" w:firstLineChars="0"/>
        <w:rPr>
          <w:rFonts w:hint="default"/>
        </w:rPr>
      </w:pPr>
      <w:r>
        <w:rPr>
          <w:rFonts w:hint="default"/>
        </w:rPr>
        <w:t>校验器可以进行多个及联使用，比如某一个字段的校验要求是：1.不可以为空 2.必须是正整数，并且小于100。</w:t>
      </w:r>
    </w:p>
    <w:p>
      <w:pPr>
        <w:numPr>
          <w:ilvl w:val="0"/>
          <w:numId w:val="0"/>
        </w:numPr>
        <w:ind w:firstLine="420" w:firstLineChars="0"/>
        <w:rPr>
          <w:rFonts w:hint="default"/>
        </w:rPr>
      </w:pPr>
      <w:r>
        <w:rPr>
          <w:rFonts w:hint="default"/>
        </w:rPr>
        <w:t>那么可以对三个校验器进行拼装完成校验，PostiveIntegerValidator校验器只关注数据是否为正整数，而不用去关注数据是否为空，因为校验器是按照顺序进行校验的，一旦非空校验不通过，后面的校验器不会去执行，也可以选择一个校验器同时做以上三个判断，分开的话可以更加灵活并且容易复用。</w:t>
      </w:r>
    </w:p>
    <w:p>
      <w:pPr>
        <w:numPr>
          <w:ilvl w:val="0"/>
          <w:numId w:val="0"/>
        </w:numPr>
      </w:pPr>
      <w:r>
        <w:drawing>
          <wp:inline distT="0" distB="0" distL="114300" distR="114300">
            <wp:extent cx="5272405" cy="332740"/>
            <wp:effectExtent l="0" t="0" r="10795" b="228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72405" cy="332740"/>
                    </a:xfrm>
                    <a:prstGeom prst="rect">
                      <a:avLst/>
                    </a:prstGeom>
                    <a:noFill/>
                    <a:ln w="9525">
                      <a:noFill/>
                    </a:ln>
                    <a:ln w="9525">
                      <a:noFill/>
                    </a:ln>
                  </pic:spPr>
                </pic:pic>
              </a:graphicData>
            </a:graphic>
          </wp:inline>
        </w:drawing>
      </w:r>
    </w:p>
    <w:p>
      <w:pPr>
        <w:numPr>
          <w:ilvl w:val="0"/>
          <w:numId w:val="0"/>
        </w:numPr>
      </w:pPr>
    </w:p>
    <w:p>
      <w:pPr>
        <w:pStyle w:val="5"/>
        <w:bidi w:val="0"/>
      </w:pPr>
      <w:r>
        <w:t>2.1.4.2 校验器隐式传参</w:t>
      </w:r>
    </w:p>
    <w:p>
      <w:pPr>
        <w:numPr>
          <w:ilvl w:val="0"/>
          <w:numId w:val="0"/>
        </w:numPr>
        <w:ind w:firstLine="420" w:firstLineChars="0"/>
        <w:rPr>
          <w:rFonts w:hint="default"/>
        </w:rPr>
      </w:pPr>
      <w:r>
        <w:rPr>
          <w:rFonts w:hint="default"/>
        </w:rPr>
        <w:t>如果校验器需要一个在运行时才能知道的参数，例如需要根据用户选择的店铺进行校验时，可以使用隐式传参数。</w:t>
      </w:r>
    </w:p>
    <w:p>
      <w:pPr>
        <w:numPr>
          <w:ilvl w:val="0"/>
          <w:numId w:val="0"/>
        </w:numPr>
        <w:ind w:firstLine="420" w:firstLineChars="0"/>
        <w:rPr>
          <w:rFonts w:hint="default"/>
        </w:rPr>
      </w:pPr>
      <w:r>
        <w:rPr>
          <w:rFonts w:hint="default"/>
        </w:rPr>
        <w:t>隐式传参数的相关功能由ParameterPassHelp类实现，实现原理即用ThreadLocal保存参数，根据特定KEY获取相对应的参数，KEY与校验器指定的KEY保持一致即可。</w:t>
      </w:r>
    </w:p>
    <w:p>
      <w:pPr>
        <w:numPr>
          <w:ilvl w:val="0"/>
          <w:numId w:val="0"/>
        </w:numPr>
        <w:ind w:firstLine="420" w:firstLineChars="0"/>
        <w:rPr>
          <w:rFonts w:hint="default"/>
          <w:b/>
          <w:bCs/>
        </w:rPr>
      </w:pPr>
      <w:r>
        <w:rPr>
          <w:rFonts w:hint="default"/>
          <w:b/>
          <w:bCs/>
        </w:rPr>
        <w:t>切记！！如果特殊情况下进行了线程切换，需要手动将参数再传递一遍！！！</w:t>
      </w:r>
    </w:p>
    <w:p>
      <w:pPr>
        <w:numPr>
          <w:ilvl w:val="0"/>
          <w:numId w:val="0"/>
        </w:numPr>
        <w:rPr>
          <w:rFonts w:hint="eastAsia"/>
          <w:b/>
          <w:bCs/>
        </w:rPr>
      </w:pPr>
    </w:p>
    <w:p>
      <w:pPr>
        <w:pStyle w:val="5"/>
        <w:bidi w:val="0"/>
        <w:rPr>
          <w:rFonts w:hint="default"/>
        </w:rPr>
      </w:pPr>
      <w:r>
        <w:rPr>
          <w:rFonts w:hint="default"/>
        </w:rPr>
        <w:t>2.1.4.3 带入参的校验器</w:t>
      </w:r>
    </w:p>
    <w:p>
      <w:pPr>
        <w:numPr>
          <w:ilvl w:val="0"/>
          <w:numId w:val="0"/>
        </w:numPr>
        <w:rPr>
          <w:rFonts w:hint="default"/>
          <w:b/>
          <w:bCs/>
        </w:rPr>
      </w:pPr>
      <w:r>
        <w:rPr>
          <w:rFonts w:hint="default"/>
          <w:b/>
          <w:bCs/>
        </w:rPr>
        <w:drawing>
          <wp:inline distT="0" distB="0" distL="114300" distR="114300">
            <wp:extent cx="5271770" cy="251460"/>
            <wp:effectExtent l="0" t="0" r="11430" b="2540"/>
            <wp:docPr id="5" name="图片 5" descr="截屏2020-08-04 下午9.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8-04 下午9.46.18"/>
                    <pic:cNvPicPr>
                      <a:picLocks noChangeAspect="1"/>
                    </pic:cNvPicPr>
                  </pic:nvPicPr>
                  <pic:blipFill>
                    <a:blip r:embed="rId13"/>
                    <a:stretch>
                      <a:fillRect/>
                    </a:stretch>
                  </pic:blipFill>
                  <pic:spPr>
                    <a:xfrm>
                      <a:off x="0" y="0"/>
                      <a:ext cx="5271770" cy="251460"/>
                    </a:xfrm>
                    <a:prstGeom prst="rect">
                      <a:avLst/>
                    </a:prstGeom>
                  </pic:spPr>
                </pic:pic>
              </a:graphicData>
            </a:graphic>
          </wp:inline>
        </w:drawing>
      </w:r>
    </w:p>
    <w:p>
      <w:pPr>
        <w:numPr>
          <w:ilvl w:val="0"/>
          <w:numId w:val="0"/>
        </w:numPr>
        <w:ind w:firstLine="420" w:firstLineChars="0"/>
        <w:rPr>
          <w:rFonts w:hint="default"/>
        </w:rPr>
      </w:pPr>
      <w:r>
        <w:rPr>
          <w:rFonts w:hint="default"/>
        </w:rPr>
        <w:t>校验器需要根据配置提供相对应的有参构造方法。</w:t>
      </w:r>
    </w:p>
    <w:p>
      <w:pPr>
        <w:numPr>
          <w:ilvl w:val="0"/>
          <w:numId w:val="0"/>
        </w:numPr>
        <w:ind w:firstLine="420" w:firstLineChars="0"/>
        <w:rPr>
          <w:rFonts w:hint="default"/>
        </w:rPr>
      </w:pPr>
    </w:p>
    <w:p>
      <w:pPr>
        <w:numPr>
          <w:ilvl w:val="0"/>
          <w:numId w:val="0"/>
        </w:numPr>
        <w:ind w:firstLine="420" w:firstLineChars="0"/>
        <w:rPr>
          <w:rFonts w:hint="default"/>
        </w:rPr>
      </w:pPr>
      <w:r>
        <w:rPr>
          <w:rFonts w:hint="default"/>
        </w:rPr>
        <w:t>实现带入参的校验器过程中新引入了@ArgsValidators注解，其有三个参数：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1704" w:type="dxa"/>
          </w:tcPr>
          <w:p>
            <w:pPr>
              <w:numPr>
                <w:ilvl w:val="0"/>
                <w:numId w:val="0"/>
              </w:numPr>
              <w:rPr>
                <w:vertAlign w:val="baseline"/>
              </w:rPr>
            </w:pPr>
            <w:r>
              <w:rPr>
                <w:vertAlign w:val="baseline"/>
              </w:rPr>
              <w:t>validator</w:t>
            </w:r>
          </w:p>
        </w:tc>
        <w:tc>
          <w:tcPr>
            <w:tcW w:w="3168" w:type="dxa"/>
          </w:tcPr>
          <w:p>
            <w:pPr>
              <w:numPr>
                <w:ilvl w:val="0"/>
                <w:numId w:val="0"/>
              </w:numPr>
              <w:rPr>
                <w:vertAlign w:val="baseline"/>
              </w:rPr>
            </w:pPr>
            <w:r>
              <w:rPr>
                <w:vertAlign w:val="baseline"/>
              </w:rPr>
              <w:t>校验器的class</w:t>
            </w:r>
          </w:p>
        </w:tc>
        <w:tc>
          <w:tcPr>
            <w:tcW w:w="1848" w:type="dxa"/>
          </w:tcPr>
          <w:p>
            <w:pPr>
              <w:numPr>
                <w:ilvl w:val="0"/>
                <w:numId w:val="0"/>
              </w:numPr>
              <w:rPr>
                <w:vertAlign w:val="baseline"/>
              </w:rPr>
            </w:pPr>
            <w:r>
              <w:rPr>
                <w:vertAlign w:val="baseline"/>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w:t>
            </w:r>
          </w:p>
        </w:tc>
        <w:tc>
          <w:tcPr>
            <w:tcW w:w="3168" w:type="dxa"/>
          </w:tcPr>
          <w:p>
            <w:pPr>
              <w:numPr>
                <w:ilvl w:val="0"/>
                <w:numId w:val="0"/>
              </w:numPr>
              <w:rPr>
                <w:vertAlign w:val="baseline"/>
              </w:rPr>
            </w:pPr>
            <w:r>
              <w:rPr>
                <w:vertAlign w:val="baseline"/>
              </w:rPr>
              <w:t>校验器构造器的参数(多个)</w:t>
            </w:r>
          </w:p>
        </w:tc>
        <w:tc>
          <w:tcPr>
            <w:tcW w:w="1848" w:type="dxa"/>
          </w:tcPr>
          <w:p>
            <w:pPr>
              <w:numPr>
                <w:ilvl w:val="0"/>
                <w:numId w:val="0"/>
              </w:numP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argsClass</w:t>
            </w:r>
          </w:p>
        </w:tc>
        <w:tc>
          <w:tcPr>
            <w:tcW w:w="3168" w:type="dxa"/>
          </w:tcPr>
          <w:p>
            <w:pPr>
              <w:numPr>
                <w:ilvl w:val="0"/>
                <w:numId w:val="0"/>
              </w:numPr>
              <w:rPr>
                <w:vertAlign w:val="baseline"/>
              </w:rPr>
            </w:pPr>
            <w:r>
              <w:rPr>
                <w:vertAlign w:val="baseline"/>
              </w:rPr>
              <w:t>校验器构造器的参数类型</w:t>
            </w:r>
          </w:p>
        </w:tc>
        <w:tc>
          <w:tcPr>
            <w:tcW w:w="1848" w:type="dxa"/>
          </w:tcPr>
          <w:p>
            <w:pPr>
              <w:numPr>
                <w:ilvl w:val="0"/>
                <w:numId w:val="0"/>
              </w:numPr>
              <w:rPr>
                <w:vertAlign w:val="baseline"/>
              </w:rPr>
            </w:pPr>
            <w:r>
              <w:rPr>
                <w:vertAlign w:val="baseline"/>
              </w:rPr>
              <w:t>{}</w:t>
            </w:r>
          </w:p>
        </w:tc>
      </w:tr>
    </w:tbl>
    <w:p>
      <w:pPr>
        <w:numPr>
          <w:ilvl w:val="0"/>
          <w:numId w:val="0"/>
        </w:numPr>
        <w:ind w:firstLine="420" w:firstLineChars="0"/>
        <w:rPr>
          <w:rFonts w:hint="eastAsia"/>
        </w:rPr>
      </w:pPr>
      <w:r>
        <w:rPr>
          <w:rFonts w:hint="default"/>
        </w:rPr>
        <w:t>其中args为字符串类型的参数数组，argsClass为参数的class类型，args的长度必须和argsClass的长度相等，并且是能转换的，否则将报错，例如无法将“abc”转换成Integer类型(自己定义了转换方式的除外)。</w:t>
      </w:r>
    </w:p>
    <w:p>
      <w:pPr>
        <w:numPr>
          <w:ilvl w:val="0"/>
          <w:numId w:val="0"/>
        </w:numPr>
        <w:rPr>
          <w:rFonts w:hint="eastAsia"/>
          <w:b/>
          <w:bCs/>
        </w:rPr>
      </w:pPr>
    </w:p>
    <w:p>
      <w:pPr>
        <w:pStyle w:val="4"/>
        <w:bidi w:val="0"/>
        <w:rPr>
          <w:rFonts w:hint="default"/>
        </w:rPr>
      </w:pPr>
      <w:bookmarkStart w:id="11" w:name="_Toc521000020"/>
      <w:r>
        <w:rPr>
          <w:rFonts w:hint="default"/>
        </w:rPr>
        <w:t>2.1.5 Converter接口说明</w:t>
      </w:r>
      <w:bookmarkEnd w:id="11"/>
    </w:p>
    <w:p>
      <w:pPr>
        <w:numPr>
          <w:ilvl w:val="0"/>
          <w:numId w:val="0"/>
        </w:numPr>
        <w:ind w:firstLine="420" w:firstLineChars="0"/>
      </w:pPr>
      <w:r>
        <w:t>Converter接口定义了一个方法：</w:t>
      </w:r>
    </w:p>
    <w:p>
      <w:pPr>
        <w:numPr>
          <w:ilvl w:val="0"/>
          <w:numId w:val="0"/>
        </w:numPr>
        <w:ind w:firstLine="420" w:firstLineChars="0"/>
      </w:pPr>
      <w:r>
        <w:drawing>
          <wp:inline distT="0" distB="0" distL="114300" distR="114300">
            <wp:extent cx="4406900" cy="1346200"/>
            <wp:effectExtent l="0" t="0" r="12700" b="0"/>
            <wp:docPr id="22" name="图片 22" descr="截屏2020-08-10 下午10.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08-10 下午10.25.50"/>
                    <pic:cNvPicPr>
                      <a:picLocks noChangeAspect="1"/>
                    </pic:cNvPicPr>
                  </pic:nvPicPr>
                  <pic:blipFill>
                    <a:blip r:embed="rId14"/>
                    <a:stretch>
                      <a:fillRect/>
                    </a:stretch>
                  </pic:blipFill>
                  <pic:spPr>
                    <a:xfrm>
                      <a:off x="0" y="0"/>
                      <a:ext cx="4406900" cy="1346200"/>
                    </a:xfrm>
                    <a:prstGeom prst="rect">
                      <a:avLst/>
                    </a:prstGeom>
                  </pic:spPr>
                </pic:pic>
              </a:graphicData>
            </a:graphic>
          </wp:inline>
        </w:drawing>
      </w:r>
    </w:p>
    <w:p>
      <w:pPr>
        <w:bidi w:val="0"/>
        <w:ind w:firstLine="420" w:firstLineChars="0"/>
        <w:rPr>
          <w:rFonts w:hint="default"/>
        </w:rPr>
      </w:pPr>
      <w:r>
        <w:rPr>
          <w:rFonts w:hint="default"/>
        </w:rPr>
        <w:t>通过自定义接口实现可以将cell中的数据转换成所需要的格式，如果@Column注解中有配置对应的Converter类，则会使用此Converter进行参数转换，如果没有配置，则默认会使用Spring提供的ConversionService根据所需要的字段类型进行参数的自适应转换。</w:t>
      </w:r>
    </w:p>
    <w:p>
      <w:pPr>
        <w:bidi w:val="0"/>
        <w:ind w:firstLine="420" w:firstLineChars="0"/>
        <w:rPr>
          <w:rFonts w:hint="eastAsia"/>
        </w:rPr>
      </w:pPr>
      <w:r>
        <w:rPr>
          <w:rFonts w:hint="default"/>
        </w:rPr>
        <w:t>通过常见的Converter实现类，可以做到固定excel的某一列、去除cell中所有空格、自定义枚举类型转义等功能。</w:t>
      </w:r>
    </w:p>
    <w:p>
      <w:pPr>
        <w:pStyle w:val="3"/>
        <w:bidi w:val="0"/>
        <w:rPr>
          <w:rFonts w:hint="default"/>
        </w:rPr>
      </w:pPr>
      <w:bookmarkStart w:id="12" w:name="_Toc1156507321"/>
      <w:r>
        <w:rPr>
          <w:rFonts w:hint="default"/>
        </w:rPr>
        <w:t>2.2 异常体系</w:t>
      </w:r>
      <w:bookmarkEnd w:id="12"/>
    </w:p>
    <w:p>
      <w:pPr>
        <w:pStyle w:val="4"/>
        <w:bidi w:val="0"/>
        <w:rPr>
          <w:rFonts w:hint="default"/>
        </w:rPr>
      </w:pPr>
      <w:bookmarkStart w:id="13" w:name="_Toc544055050"/>
      <w:r>
        <w:rPr>
          <w:rFonts w:hint="default"/>
        </w:rPr>
        <w:t>2.2.1 异常体系继承图</w:t>
      </w:r>
      <w:bookmarkEnd w:id="13"/>
    </w:p>
    <w:p>
      <w:pPr>
        <w:numPr>
          <w:ilvl w:val="0"/>
          <w:numId w:val="0"/>
        </w:numPr>
      </w:pPr>
      <w:r>
        <w:drawing>
          <wp:inline distT="0" distB="0" distL="114300" distR="114300">
            <wp:extent cx="5267325" cy="4518660"/>
            <wp:effectExtent l="0" t="0" r="1587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5267325" cy="4518660"/>
                    </a:xfrm>
                    <a:prstGeom prst="rect">
                      <a:avLst/>
                    </a:prstGeom>
                    <a:noFill/>
                    <a:ln w="9525">
                      <a:noFill/>
                    </a:ln>
                    <a:ln w="9525">
                      <a:noFill/>
                    </a:ln>
                  </pic:spPr>
                </pic:pic>
              </a:graphicData>
            </a:graphic>
          </wp:inline>
        </w:drawing>
      </w:r>
    </w:p>
    <w:p>
      <w:pPr>
        <w:numPr>
          <w:ilvl w:val="0"/>
          <w:numId w:val="0"/>
        </w:numPr>
      </w:pPr>
    </w:p>
    <w:p>
      <w:pPr>
        <w:pStyle w:val="4"/>
        <w:bidi w:val="0"/>
      </w:pPr>
      <w:bookmarkStart w:id="14" w:name="_Toc2095340071"/>
      <w:r>
        <w:t>2.2.2 异常继承关系说明</w:t>
      </w:r>
      <w:bookmarkEnd w:id="14"/>
    </w:p>
    <w:p>
      <w:pPr>
        <w:numPr>
          <w:ilvl w:val="0"/>
          <w:numId w:val="0"/>
        </w:numPr>
        <w:ind w:firstLine="420" w:firstLineChars="0"/>
      </w:pPr>
      <w:r>
        <w:t>ExcelException是抽象类，其内部展示没有字段以及重写方法，目前只是扮演一个tag的角色，有利于业务层去捕获框架中的异常。</w:t>
      </w:r>
    </w:p>
    <w:p>
      <w:pPr>
        <w:numPr>
          <w:ilvl w:val="0"/>
          <w:numId w:val="0"/>
        </w:numPr>
        <w:ind w:firstLine="420" w:firstLineChars="0"/>
      </w:pPr>
      <w:r>
        <w:t>框架中的异常类，继承于ExcelException，Excel解析过程中的异常信息会被捕获并且封装成ExcelDataWrongException，其有三个成员变量：</w:t>
      </w:r>
    </w:p>
    <w:p>
      <w:pPr>
        <w:numPr>
          <w:ilvl w:val="0"/>
          <w:numId w:val="0"/>
        </w:numPr>
      </w:pPr>
      <w:r>
        <w:drawing>
          <wp:inline distT="0" distB="0" distL="114300" distR="114300">
            <wp:extent cx="5264785" cy="2004060"/>
            <wp:effectExtent l="0" t="0" r="18415"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5264785" cy="2004060"/>
                    </a:xfrm>
                    <a:prstGeom prst="rect">
                      <a:avLst/>
                    </a:prstGeom>
                    <a:noFill/>
                    <a:ln w="9525">
                      <a:noFill/>
                    </a:ln>
                    <a:ln w="9525">
                      <a:noFill/>
                    </a:ln>
                  </pic:spPr>
                </pic:pic>
              </a:graphicData>
            </a:graphic>
          </wp:inline>
        </w:drawing>
      </w:r>
    </w:p>
    <w:p>
      <w:pPr>
        <w:numPr>
          <w:ilvl w:val="0"/>
          <w:numId w:val="0"/>
        </w:numPr>
        <w:ind w:firstLine="420" w:firstLineChars="0"/>
      </w:pPr>
      <w:r>
        <w:t>ExcelPos代表解析哪一个单元格时发生了异常，其内部记录了单元格的行和列信息，invalidData代表了发生异常的单元格的数据，至于发生的异常(包括converter和validator中的异常信息)存放于Throwable中的detailMessage中。</w:t>
      </w:r>
    </w:p>
    <w:p>
      <w:pPr>
        <w:numPr>
          <w:ilvl w:val="0"/>
          <w:numId w:val="0"/>
        </w:numPr>
        <w:ind w:firstLine="420" w:firstLineChars="0"/>
      </w:pPr>
      <w:r>
        <w:t>ExcelDataWrongException定义了默认的错误展示格式，其格式为：</w:t>
      </w:r>
    </w:p>
    <w:p>
      <w:pPr>
        <w:numPr>
          <w:ilvl w:val="0"/>
          <w:numId w:val="0"/>
        </w:numPr>
        <w:rPr>
          <w:b/>
          <w:bCs/>
        </w:rPr>
      </w:pPr>
      <w:r>
        <w:rPr>
          <w:b/>
          <w:bCs/>
        </w:rPr>
        <w:t>[sheet名称]---&gt;[row:1,column:1]处数据错误,错误数据为:123(数据不能大于100)</w:t>
      </w:r>
    </w:p>
    <w:p>
      <w:pPr>
        <w:numPr>
          <w:ilvl w:val="0"/>
          <w:numId w:val="0"/>
        </w:numPr>
        <w:ind w:firstLine="420" w:firstLineChars="0"/>
      </w:pPr>
      <w:r>
        <w:t>括号内的文字是异常信息(如果有异常信息，没有则不展示)。如果需要展示自定义的信息格式，可以重新写一个异常类并继承ExcelDataWrongException类后重新toString方法，或者在业务代码中捕获ExcelDataWrongException后重新封装后抛出。</w:t>
      </w:r>
    </w:p>
    <w:p>
      <w:pPr>
        <w:numPr>
          <w:ilvl w:val="0"/>
          <w:numId w:val="0"/>
        </w:numPr>
      </w:pPr>
      <w:r>
        <w:drawing>
          <wp:inline distT="0" distB="0" distL="114300" distR="114300">
            <wp:extent cx="5266055" cy="826135"/>
            <wp:effectExtent l="0" t="0" r="17145" b="12065"/>
            <wp:docPr id="7" name="图片 7" descr="截屏2020-08-06 上午1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8-06 上午11.27.37"/>
                    <pic:cNvPicPr>
                      <a:picLocks noChangeAspect="1"/>
                    </pic:cNvPicPr>
                  </pic:nvPicPr>
                  <pic:blipFill>
                    <a:blip r:embed="rId17"/>
                    <a:stretch>
                      <a:fillRect/>
                    </a:stretch>
                  </pic:blipFill>
                  <pic:spPr>
                    <a:xfrm>
                      <a:off x="0" y="0"/>
                      <a:ext cx="5266055" cy="826135"/>
                    </a:xfrm>
                    <a:prstGeom prst="rect">
                      <a:avLst/>
                    </a:prstGeom>
                  </pic:spPr>
                </pic:pic>
              </a:graphicData>
            </a:graphic>
          </wp:inline>
        </w:drawing>
      </w:r>
    </w:p>
    <w:p>
      <w:pPr>
        <w:numPr>
          <w:ilvl w:val="0"/>
          <w:numId w:val="0"/>
        </w:numPr>
        <w:ind w:firstLine="420" w:firstLineChars="0"/>
        <w:rPr>
          <w:rFonts w:hint="eastAsia"/>
        </w:rPr>
      </w:pPr>
      <w:r>
        <w:rPr>
          <w:rFonts w:hint="default"/>
        </w:rPr>
        <w:t>ExcelCompositionException是一个聚合异常，其内部封装了一个存放ExcelDataWrongException的list集合。</w:t>
      </w:r>
    </w:p>
    <w:p>
      <w:pPr>
        <w:numPr>
          <w:ilvl w:val="0"/>
          <w:numId w:val="0"/>
        </w:numPr>
        <w:rPr>
          <w:rFonts w:hint="eastAsia"/>
          <w:b/>
          <w:bCs/>
        </w:rPr>
      </w:pPr>
      <w:r>
        <w:rPr>
          <w:rFonts w:hint="eastAsia"/>
          <w:b/>
          <w:bCs/>
        </w:rPr>
        <w:drawing>
          <wp:inline distT="0" distB="0" distL="114300" distR="114300">
            <wp:extent cx="5273675" cy="3418840"/>
            <wp:effectExtent l="0" t="0" r="9525" b="10160"/>
            <wp:docPr id="27" name="图片 27" descr="截屏2020-08-10 下午10.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8-10 下午10.28.42"/>
                    <pic:cNvPicPr>
                      <a:picLocks noChangeAspect="1"/>
                    </pic:cNvPicPr>
                  </pic:nvPicPr>
                  <pic:blipFill>
                    <a:blip r:embed="rId18"/>
                    <a:stretch>
                      <a:fillRect/>
                    </a:stretch>
                  </pic:blipFill>
                  <pic:spPr>
                    <a:xfrm>
                      <a:off x="0" y="0"/>
                      <a:ext cx="5273675" cy="3418840"/>
                    </a:xfrm>
                    <a:prstGeom prst="rect">
                      <a:avLst/>
                    </a:prstGeom>
                  </pic:spPr>
                </pic:pic>
              </a:graphicData>
            </a:graphic>
          </wp:inline>
        </w:drawing>
      </w:r>
    </w:p>
    <w:p>
      <w:pPr>
        <w:numPr>
          <w:ilvl w:val="0"/>
          <w:numId w:val="0"/>
        </w:numPr>
        <w:rPr>
          <w:rFonts w:hint="eastAsia"/>
          <w:b/>
          <w:bCs/>
        </w:rPr>
      </w:pPr>
    </w:p>
    <w:p>
      <w:pPr>
        <w:pStyle w:val="2"/>
        <w:bidi w:val="0"/>
        <w:rPr>
          <w:rFonts w:hint="default"/>
        </w:rPr>
      </w:pPr>
      <w:bookmarkStart w:id="15" w:name="_Toc1943729791"/>
      <w:r>
        <w:rPr>
          <w:rFonts w:hint="default"/>
        </w:rPr>
        <w:t>三、相关拓展点</w:t>
      </w:r>
      <w:bookmarkEnd w:id="15"/>
    </w:p>
    <w:p>
      <w:pPr>
        <w:pStyle w:val="3"/>
        <w:bidi w:val="0"/>
        <w:rPr>
          <w:rFonts w:hint="default"/>
        </w:rPr>
      </w:pPr>
      <w:bookmarkStart w:id="16" w:name="_Toc745359173"/>
      <w:r>
        <w:rPr>
          <w:rFonts w:hint="default"/>
        </w:rPr>
        <w:t>3.1 如果存在一个Bean有多个解析版本的情况</w:t>
      </w:r>
      <w:bookmarkEnd w:id="16"/>
    </w:p>
    <w:p>
      <w:pPr>
        <w:numPr>
          <w:ilvl w:val="0"/>
          <w:numId w:val="0"/>
        </w:numPr>
        <w:ind w:firstLine="420" w:firstLineChars="0"/>
        <w:rPr>
          <w:rFonts w:hint="default"/>
          <w:b/>
          <w:bCs/>
        </w:rPr>
      </w:pPr>
      <w:r>
        <w:rPr>
          <w:rFonts w:hint="default"/>
          <w:b/>
          <w:bCs/>
        </w:rPr>
        <w:t>多版本的API位于VersionExcelFactory中，相比于ExcelFactory提供的API，主要是增加了version字段。</w:t>
      </w:r>
    </w:p>
    <w:p>
      <w:pPr>
        <w:numPr>
          <w:ilvl w:val="0"/>
          <w:numId w:val="0"/>
        </w:numPr>
        <w:rPr>
          <w:rFonts w:hint="eastAsia"/>
          <w:b/>
          <w:bCs/>
        </w:rPr>
      </w:pPr>
      <w:r>
        <w:rPr>
          <w:rFonts w:hint="eastAsia"/>
          <w:b/>
          <w:bCs/>
        </w:rPr>
        <w:drawing>
          <wp:inline distT="0" distB="0" distL="114300" distR="114300">
            <wp:extent cx="5274310" cy="1950720"/>
            <wp:effectExtent l="0" t="0" r="8890" b="5080"/>
            <wp:docPr id="9" name="图片 9" descr="截屏2020-08-05 上午1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8-05 上午11.44.53"/>
                    <pic:cNvPicPr>
                      <a:picLocks noChangeAspect="1"/>
                    </pic:cNvPicPr>
                  </pic:nvPicPr>
                  <pic:blipFill>
                    <a:blip r:embed="rId19"/>
                    <a:stretch>
                      <a:fillRect/>
                    </a:stretch>
                  </pic:blipFill>
                  <pic:spPr>
                    <a:xfrm>
                      <a:off x="0" y="0"/>
                      <a:ext cx="5274310" cy="1950720"/>
                    </a:xfrm>
                    <a:prstGeom prst="rect">
                      <a:avLst/>
                    </a:prstGeom>
                  </pic:spPr>
                </pic:pic>
              </a:graphicData>
            </a:graphic>
          </wp:inline>
        </w:drawing>
      </w:r>
    </w:p>
    <w:p>
      <w:pPr>
        <w:numPr>
          <w:ilvl w:val="0"/>
          <w:numId w:val="0"/>
        </w:numPr>
        <w:rPr>
          <w:rFonts w:hint="eastAsia"/>
          <w:b/>
          <w:bCs/>
        </w:rPr>
      </w:pPr>
    </w:p>
    <w:p>
      <w:pPr>
        <w:pStyle w:val="4"/>
        <w:bidi w:val="0"/>
        <w:rPr>
          <w:rFonts w:hint="default"/>
        </w:rPr>
      </w:pPr>
      <w:bookmarkStart w:id="17" w:name="_Toc979507660"/>
      <w:r>
        <w:rPr>
          <w:rFonts w:hint="default"/>
        </w:rPr>
        <w:t>3.1.1 多版本实现的方式</w:t>
      </w:r>
      <w:bookmarkEnd w:id="17"/>
    </w:p>
    <w:p>
      <w:pPr>
        <w:numPr>
          <w:ilvl w:val="0"/>
          <w:numId w:val="0"/>
        </w:numPr>
        <w:rPr>
          <w:rFonts w:hint="eastAsia"/>
          <w:b/>
          <w:bCs/>
        </w:rPr>
      </w:pPr>
      <w:r>
        <w:rPr>
          <w:rFonts w:hint="eastAsia"/>
          <w:b/>
          <w:bCs/>
        </w:rPr>
        <w:drawing>
          <wp:inline distT="0" distB="0" distL="114300" distR="114300">
            <wp:extent cx="5270500" cy="4265295"/>
            <wp:effectExtent l="0" t="0" r="12700" b="1905"/>
            <wp:docPr id="4" name="图片 4" descr="截屏2020-08-10 下午10.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8-10 下午10.42.36"/>
                    <pic:cNvPicPr>
                      <a:picLocks noChangeAspect="1"/>
                    </pic:cNvPicPr>
                  </pic:nvPicPr>
                  <pic:blipFill>
                    <a:blip r:embed="rId20"/>
                    <a:stretch>
                      <a:fillRect/>
                    </a:stretch>
                  </pic:blipFill>
                  <pic:spPr>
                    <a:xfrm>
                      <a:off x="0" y="0"/>
                      <a:ext cx="5270500" cy="4265295"/>
                    </a:xfrm>
                    <a:prstGeom prst="rect">
                      <a:avLst/>
                    </a:prstGeom>
                  </pic:spPr>
                </pic:pic>
              </a:graphicData>
            </a:graphic>
          </wp:inline>
        </w:drawing>
      </w:r>
    </w:p>
    <w:p>
      <w:pPr>
        <w:pStyle w:val="4"/>
        <w:bidi w:val="0"/>
        <w:rPr>
          <w:rFonts w:hint="default"/>
        </w:rPr>
      </w:pPr>
      <w:bookmarkStart w:id="18" w:name="_Toc2123087365"/>
      <w:r>
        <w:rPr>
          <w:rFonts w:hint="default"/>
        </w:rPr>
        <w:t>3.1.</w:t>
      </w:r>
      <w:r>
        <w:rPr>
          <w:rFonts w:hint="default"/>
        </w:rPr>
        <w:t>2</w:t>
      </w:r>
      <w:r>
        <w:rPr>
          <w:rFonts w:hint="default"/>
        </w:rPr>
        <w:t xml:space="preserve"> 多版本实现</w:t>
      </w:r>
      <w:r>
        <w:rPr>
          <w:rFonts w:hint="default"/>
        </w:rPr>
        <w:t>的</w:t>
      </w:r>
      <w:r>
        <w:rPr>
          <w:rFonts w:hint="default"/>
        </w:rPr>
        <w:t>原理</w:t>
      </w:r>
      <w:bookmarkEnd w:id="18"/>
    </w:p>
    <w:p>
      <w:pPr>
        <w:bidi w:val="0"/>
        <w:ind w:firstLine="420" w:firstLineChars="0"/>
        <w:rPr>
          <w:rFonts w:hint="eastAsia"/>
        </w:rPr>
      </w:pPr>
      <w:r>
        <w:rPr>
          <w:rFonts w:hint="default"/>
        </w:rPr>
        <w:t>多版本实现的方式非常简单，VersionExcelFactoryImpl重写了resolveMapping方法，其内部新增了对@Version注解的解析，根据提供的版本号选择不同的校验&amp;转换规则，在流程图中只是影响了「映射关系解析」这一步，对于后续的流程是无感知的，也可以根据这一特性自定义解析规则，来扩展框架。</w:t>
      </w:r>
    </w:p>
    <w:p>
      <w:pPr>
        <w:pStyle w:val="3"/>
        <w:bidi w:val="0"/>
        <w:rPr>
          <w:rFonts w:hint="default"/>
        </w:rPr>
      </w:pPr>
      <w:bookmarkStart w:id="19" w:name="_Toc141065003"/>
      <w:r>
        <w:rPr>
          <w:rFonts w:hint="default"/>
        </w:rPr>
        <w:t>3.2 动态表头的Excel</w:t>
      </w:r>
      <w:bookmarkEnd w:id="19"/>
    </w:p>
    <w:p>
      <w:pPr>
        <w:pStyle w:val="4"/>
        <w:bidi w:val="0"/>
        <w:rPr>
          <w:rFonts w:hint="default"/>
        </w:rPr>
      </w:pPr>
      <w:bookmarkStart w:id="20" w:name="_Toc57559133"/>
      <w:r>
        <w:rPr>
          <w:rFonts w:hint="default"/>
        </w:rPr>
        <w:t>3.2.1 核心类说明</w:t>
      </w:r>
      <w:bookmarkEnd w:id="20"/>
    </w:p>
    <w:p>
      <w:pPr>
        <w:pStyle w:val="5"/>
        <w:bidi w:val="0"/>
        <w:rPr>
          <w:rFonts w:hint="default"/>
        </w:rPr>
      </w:pPr>
      <w:r>
        <w:rPr>
          <w:rFonts w:hint="default"/>
        </w:rPr>
        <w:t>3.2.1.1 Header</w:t>
      </w:r>
    </w:p>
    <w:p>
      <w:pPr>
        <w:bidi w:val="0"/>
        <w:ind w:firstLine="420" w:firstLineChars="0"/>
        <w:rPr>
          <w:rFonts w:hint="default"/>
        </w:rPr>
      </w:pPr>
      <w:r>
        <w:rPr>
          <w:rFonts w:hint="default"/>
        </w:rPr>
        <w:t>由于动态表头的Excel解析时表头不固定，所以无法和固定表头的Excel解析一样通过字段注解进行解析，因此将动态Excel的每一列抽象成Header对象，Header对象也和静态Bean一样，也提供了校验器和转换器，只是无法通过声明式配置，而是需要通过编程方式配置。</w:t>
      </w:r>
    </w:p>
    <w:p>
      <w:pPr>
        <w:numPr>
          <w:ilvl w:val="0"/>
          <w:numId w:val="0"/>
        </w:numPr>
        <w:rPr>
          <w:rFonts w:hint="default"/>
          <w:b/>
          <w:bCs/>
        </w:rPr>
      </w:pPr>
      <w:r>
        <w:rPr>
          <w:rFonts w:hint="default"/>
          <w:b/>
          <w:bCs/>
        </w:rPr>
        <w:drawing>
          <wp:inline distT="0" distB="0" distL="114300" distR="114300">
            <wp:extent cx="5272405" cy="2640330"/>
            <wp:effectExtent l="0" t="0" r="10795" b="1270"/>
            <wp:docPr id="14" name="图片 14" descr="截屏2020-08-05 下午3.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8-05 下午3.29.41"/>
                    <pic:cNvPicPr>
                      <a:picLocks noChangeAspect="1"/>
                    </pic:cNvPicPr>
                  </pic:nvPicPr>
                  <pic:blipFill>
                    <a:blip r:embed="rId21"/>
                    <a:stretch>
                      <a:fillRect/>
                    </a:stretch>
                  </pic:blipFill>
                  <pic:spPr>
                    <a:xfrm>
                      <a:off x="0" y="0"/>
                      <a:ext cx="5272405" cy="2640330"/>
                    </a:xfrm>
                    <a:prstGeom prst="rect">
                      <a:avLst/>
                    </a:prstGeom>
                  </pic:spPr>
                </pic:pic>
              </a:graphicData>
            </a:graphic>
          </wp:inline>
        </w:drawing>
      </w:r>
    </w:p>
    <w:p>
      <w:pPr>
        <w:numPr>
          <w:ilvl w:val="0"/>
          <w:numId w:val="0"/>
        </w:numPr>
        <w:rPr>
          <w:rFonts w:hint="default"/>
          <w:b/>
          <w:bCs/>
        </w:rPr>
      </w:pPr>
    </w:p>
    <w:p>
      <w:pPr>
        <w:pStyle w:val="5"/>
        <w:bidi w:val="0"/>
        <w:rPr>
          <w:rFonts w:hint="default"/>
        </w:rPr>
      </w:pPr>
      <w:r>
        <w:rPr>
          <w:rFonts w:hint="default"/>
        </w:rPr>
        <w:t>3.2.1.2 DynamicExcelHeaders</w:t>
      </w:r>
    </w:p>
    <w:p>
      <w:pPr>
        <w:numPr>
          <w:ilvl w:val="0"/>
          <w:numId w:val="0"/>
        </w:numPr>
        <w:ind w:firstLine="420" w:firstLineChars="0"/>
        <w:rPr>
          <w:rFonts w:hint="default"/>
          <w:b/>
          <w:bCs/>
        </w:rPr>
      </w:pPr>
      <w:r>
        <w:rPr>
          <w:rFonts w:hint="default"/>
          <w:b/>
          <w:bCs/>
        </w:rPr>
        <w:t>DynamicExcelHeaders可以认为是Header的聚合类，在将Header打包的同时提供了一组针对Header进行操作和管理的API。</w:t>
      </w:r>
    </w:p>
    <w:p>
      <w:pPr>
        <w:numPr>
          <w:ilvl w:val="0"/>
          <w:numId w:val="0"/>
        </w:numPr>
        <w:rPr>
          <w:rFonts w:hint="default"/>
          <w:b/>
          <w:bCs/>
        </w:rPr>
      </w:pPr>
      <w:r>
        <w:rPr>
          <w:rFonts w:hint="default"/>
          <w:b/>
          <w:bCs/>
        </w:rPr>
        <w:drawing>
          <wp:inline distT="0" distB="0" distL="114300" distR="114300">
            <wp:extent cx="5269865" cy="2818130"/>
            <wp:effectExtent l="0" t="0" r="13335" b="1270"/>
            <wp:docPr id="13" name="图片 13" descr="截屏2020-08-05 下午3.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8-05 下午3.22.37"/>
                    <pic:cNvPicPr>
                      <a:picLocks noChangeAspect="1"/>
                    </pic:cNvPicPr>
                  </pic:nvPicPr>
                  <pic:blipFill>
                    <a:blip r:embed="rId22"/>
                    <a:stretch>
                      <a:fillRect/>
                    </a:stretch>
                  </pic:blipFill>
                  <pic:spPr>
                    <a:xfrm>
                      <a:off x="0" y="0"/>
                      <a:ext cx="5269865" cy="2818130"/>
                    </a:xfrm>
                    <a:prstGeom prst="rect">
                      <a:avLst/>
                    </a:prstGeom>
                  </pic:spPr>
                </pic:pic>
              </a:graphicData>
            </a:graphic>
          </wp:inline>
        </w:drawing>
      </w:r>
    </w:p>
    <w:p>
      <w:pPr>
        <w:pStyle w:val="5"/>
        <w:bidi w:val="0"/>
        <w:rPr>
          <w:rFonts w:hint="default"/>
        </w:rPr>
      </w:pPr>
      <w:r>
        <w:rPr>
          <w:rFonts w:hint="default"/>
        </w:rPr>
        <w:t>3.2.1.3 DynamicExcelBean</w:t>
      </w:r>
    </w:p>
    <w:p>
      <w:pPr>
        <w:numPr>
          <w:ilvl w:val="0"/>
          <w:numId w:val="0"/>
        </w:numPr>
        <w:ind w:firstLine="420" w:firstLineChars="0"/>
        <w:rPr>
          <w:rFonts w:hint="default"/>
          <w:b/>
          <w:bCs/>
        </w:rPr>
      </w:pPr>
      <w:r>
        <w:rPr>
          <w:rFonts w:hint="default"/>
          <w:b/>
          <w:bCs/>
        </w:rPr>
        <w:t>与Header类相似，DynamicExcelBean也是一种抽象的数据形式，一个DynamicExcelBean代表的意义可以理解为一行数据的聚合，可以通过Header(可以理解为Bean中的字段名)去找到对应的列数据。</w:t>
      </w:r>
    </w:p>
    <w:p>
      <w:pPr>
        <w:numPr>
          <w:ilvl w:val="0"/>
          <w:numId w:val="0"/>
        </w:numPr>
        <w:rPr>
          <w:rFonts w:hint="default"/>
          <w:b/>
          <w:bCs/>
        </w:rPr>
      </w:pPr>
      <w:r>
        <w:rPr>
          <w:rFonts w:hint="default"/>
          <w:b/>
          <w:bCs/>
        </w:rPr>
        <w:drawing>
          <wp:inline distT="0" distB="0" distL="114300" distR="114300">
            <wp:extent cx="5269230" cy="1830070"/>
            <wp:effectExtent l="0" t="0" r="13970" b="24130"/>
            <wp:docPr id="15" name="图片 15" descr="截屏2020-08-05 下午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8-05 下午4.06.45"/>
                    <pic:cNvPicPr>
                      <a:picLocks noChangeAspect="1"/>
                    </pic:cNvPicPr>
                  </pic:nvPicPr>
                  <pic:blipFill>
                    <a:blip r:embed="rId23"/>
                    <a:stretch>
                      <a:fillRect/>
                    </a:stretch>
                  </pic:blipFill>
                  <pic:spPr>
                    <a:xfrm>
                      <a:off x="0" y="0"/>
                      <a:ext cx="5269230" cy="1830070"/>
                    </a:xfrm>
                    <a:prstGeom prst="rect">
                      <a:avLst/>
                    </a:prstGeom>
                  </pic:spPr>
                </pic:pic>
              </a:graphicData>
            </a:graphic>
          </wp:inline>
        </w:drawing>
      </w:r>
    </w:p>
    <w:p>
      <w:pPr>
        <w:numPr>
          <w:ilvl w:val="0"/>
          <w:numId w:val="0"/>
        </w:numPr>
        <w:rPr>
          <w:rFonts w:hint="default"/>
          <w:b/>
          <w:bCs/>
        </w:rPr>
      </w:pPr>
    </w:p>
    <w:p>
      <w:pPr>
        <w:pStyle w:val="3"/>
        <w:bidi w:val="0"/>
        <w:rPr>
          <w:rFonts w:hint="default"/>
        </w:rPr>
      </w:pPr>
      <w:bookmarkStart w:id="21" w:name="_Toc1028707181"/>
      <w:r>
        <w:rPr>
          <w:rFonts w:hint="default"/>
        </w:rPr>
        <w:t>3.3 配合Excel注解在Controller层中将Excel转换成Bean</w:t>
      </w:r>
      <w:bookmarkEnd w:id="21"/>
    </w:p>
    <w:p>
      <w:pPr>
        <w:pStyle w:val="4"/>
        <w:bidi w:val="0"/>
        <w:rPr>
          <w:rFonts w:hint="default"/>
        </w:rPr>
      </w:pPr>
      <w:bookmarkStart w:id="22" w:name="_Toc90749070"/>
      <w:r>
        <w:rPr>
          <w:rFonts w:hint="default"/>
        </w:rPr>
        <w:t>3.3.1 springmvc扩展点简单说明</w:t>
      </w:r>
      <w:bookmarkEnd w:id="22"/>
    </w:p>
    <w:p>
      <w:pPr>
        <w:numPr>
          <w:ilvl w:val="0"/>
          <w:numId w:val="0"/>
        </w:numPr>
        <w:ind w:firstLine="420" w:firstLineChars="0"/>
        <w:rPr>
          <w:rFonts w:hint="default"/>
          <w:b/>
          <w:bCs/>
        </w:rPr>
      </w:pPr>
      <w:r>
        <w:rPr>
          <w:rFonts w:hint="default"/>
          <w:b/>
          <w:bCs/>
        </w:rPr>
        <w:t>基于RequestMapping注解注册的url，其controller层的参数解析是基于HandlerMethodArgumentResolver接口来实现的，将Excel转换成Bean需要基于此接口拓展出处理Excel的自定义实现类。</w:t>
      </w:r>
    </w:p>
    <w:p>
      <w:pPr>
        <w:numPr>
          <w:ilvl w:val="0"/>
          <w:numId w:val="0"/>
        </w:numPr>
        <w:ind w:firstLine="420" w:firstLineChars="0"/>
        <w:rPr>
          <w:rFonts w:hint="default"/>
          <w:b/>
          <w:bCs/>
        </w:rPr>
      </w:pPr>
    </w:p>
    <w:p>
      <w:pPr>
        <w:pStyle w:val="4"/>
        <w:bidi w:val="0"/>
        <w:rPr>
          <w:rFonts w:hint="default"/>
        </w:rPr>
      </w:pPr>
      <w:bookmarkStart w:id="23" w:name="_Toc506230120"/>
      <w:r>
        <w:rPr>
          <w:rFonts w:hint="default"/>
        </w:rPr>
        <w:t>3.3.2 @ExcelToBean注解说明</w:t>
      </w:r>
      <w:bookmarkEnd w:id="23"/>
    </w:p>
    <w:p>
      <w:pPr>
        <w:numPr>
          <w:ilvl w:val="0"/>
          <w:numId w:val="0"/>
        </w:numPr>
        <w:ind w:firstLine="420" w:firstLineChars="0"/>
        <w:rPr>
          <w:rFonts w:hint="default"/>
          <w:b/>
          <w:bCs/>
        </w:rPr>
      </w:pPr>
    </w:p>
    <w:tbl>
      <w:tblPr>
        <w:tblStyle w:val="11"/>
        <w:tblpPr w:leftFromText="180" w:rightFromText="180" w:vertAnchor="text" w:horzAnchor="page" w:tblpX="2232" w:tblpY="3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976"/>
        <w:gridCol w:w="2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976" w:type="dxa"/>
          </w:tcPr>
          <w:p>
            <w:pPr>
              <w:numPr>
                <w:ilvl w:val="0"/>
                <w:numId w:val="0"/>
              </w:numPr>
              <w:rPr>
                <w:vertAlign w:val="baseline"/>
              </w:rPr>
            </w:pPr>
            <w:r>
              <w:rPr>
                <w:vertAlign w:val="baseline"/>
              </w:rPr>
              <w:t>说明</w:t>
            </w:r>
          </w:p>
        </w:tc>
        <w:tc>
          <w:tcPr>
            <w:tcW w:w="2215"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targetClass</w:t>
            </w:r>
          </w:p>
        </w:tc>
        <w:tc>
          <w:tcPr>
            <w:tcW w:w="3976" w:type="dxa"/>
          </w:tcPr>
          <w:p>
            <w:pPr>
              <w:numPr>
                <w:ilvl w:val="0"/>
                <w:numId w:val="0"/>
              </w:numPr>
              <w:rPr>
                <w:vertAlign w:val="baseline"/>
              </w:rPr>
            </w:pPr>
            <w:r>
              <w:rPr>
                <w:vertAlign w:val="baseline"/>
              </w:rPr>
              <w:t>目标Bean</w:t>
            </w:r>
          </w:p>
        </w:tc>
        <w:tc>
          <w:tcPr>
            <w:tcW w:w="2215" w:type="dxa"/>
          </w:tcPr>
          <w:p>
            <w:pPr>
              <w:numPr>
                <w:ilvl w:val="0"/>
                <w:numId w:val="0"/>
              </w:numPr>
              <w:rPr>
                <w:vertAlign w:val="baseline"/>
              </w:rPr>
            </w:pPr>
            <w:r>
              <w:rPr>
                <w:vertAlign w:val="baseline"/>
              </w:rPr>
              <w:t>无，必填项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version</w:t>
            </w:r>
          </w:p>
        </w:tc>
        <w:tc>
          <w:tcPr>
            <w:tcW w:w="3976" w:type="dxa"/>
          </w:tcPr>
          <w:p>
            <w:pPr>
              <w:numPr>
                <w:ilvl w:val="0"/>
                <w:numId w:val="0"/>
              </w:numPr>
              <w:rPr>
                <w:vertAlign w:val="baseline"/>
              </w:rPr>
            </w:pPr>
            <w:r>
              <w:rPr>
                <w:vertAlign w:val="baseline"/>
              </w:rPr>
              <w:t>版本号，如果是非多版本可以不用填写</w:t>
            </w:r>
          </w:p>
        </w:tc>
        <w:tc>
          <w:tcPr>
            <w:tcW w:w="2215" w:type="dxa"/>
          </w:tcPr>
          <w:p>
            <w:pPr>
              <w:numPr>
                <w:ilvl w:val="0"/>
                <w:numId w:val="0"/>
              </w:numPr>
              <w:rPr>
                <w:vertAlign w:val="baseline"/>
              </w:rPr>
            </w:pPr>
            <w:r>
              <w:rPr>
                <w:vertAlign w:val="baseline"/>
              </w:rPr>
              <w:t>-1，默认无版本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file</w:t>
            </w:r>
          </w:p>
        </w:tc>
        <w:tc>
          <w:tcPr>
            <w:tcW w:w="3976" w:type="dxa"/>
          </w:tcPr>
          <w:p>
            <w:pPr>
              <w:numPr>
                <w:ilvl w:val="0"/>
                <w:numId w:val="0"/>
              </w:numPr>
              <w:rPr>
                <w:vertAlign w:val="baseline"/>
              </w:rPr>
            </w:pPr>
            <w:r>
              <w:rPr>
                <w:vertAlign w:val="baseline"/>
              </w:rPr>
              <w:t>表单提交文件时，分配给文件的key值</w:t>
            </w:r>
          </w:p>
        </w:tc>
        <w:tc>
          <w:tcPr>
            <w:tcW w:w="2215" w:type="dxa"/>
          </w:tcPr>
          <w:p>
            <w:pPr>
              <w:numPr>
                <w:ilvl w:val="0"/>
                <w:numId w:val="0"/>
              </w:numPr>
              <w:rPr>
                <w:vertAlign w:val="baseline"/>
              </w:rPr>
            </w:pPr>
            <w:r>
              <w:rPr>
                <w:vertAlign w:val="baseline"/>
              </w:rPr>
              <w:t>无，必填项</w:t>
            </w:r>
          </w:p>
        </w:tc>
      </w:tr>
    </w:tbl>
    <w:p>
      <w:pPr>
        <w:numPr>
          <w:ilvl w:val="0"/>
          <w:numId w:val="0"/>
        </w:numPr>
        <w:ind w:firstLine="420" w:firstLineChars="0"/>
        <w:rPr>
          <w:rFonts w:hint="default"/>
          <w:b/>
          <w:bCs/>
        </w:rPr>
      </w:pPr>
    </w:p>
    <w:p>
      <w:pPr>
        <w:numPr>
          <w:ilvl w:val="0"/>
          <w:numId w:val="0"/>
        </w:numPr>
        <w:rPr>
          <w:rFonts w:hint="default"/>
          <w:b/>
          <w:bCs/>
        </w:rPr>
      </w:pPr>
    </w:p>
    <w:p>
      <w:pPr>
        <w:pStyle w:val="4"/>
        <w:bidi w:val="0"/>
        <w:rPr>
          <w:rFonts w:hint="default"/>
        </w:rPr>
      </w:pPr>
      <w:bookmarkStart w:id="24" w:name="_Toc2026901073"/>
      <w:r>
        <w:rPr>
          <w:rFonts w:hint="default"/>
        </w:rPr>
        <w:t>3.3.3 使用方法</w:t>
      </w:r>
      <w:bookmarkEnd w:id="24"/>
    </w:p>
    <w:p>
      <w:pPr>
        <w:bidi w:val="0"/>
        <w:ind w:firstLine="420" w:firstLineChars="0"/>
        <w:rPr>
          <w:rFonts w:hint="default"/>
        </w:rPr>
      </w:pPr>
      <w:r>
        <w:rPr>
          <w:rFonts w:hint="default"/>
        </w:rPr>
        <w:t>解析Excel转换成Bean的源码位于ExcelBeanArguementResolver中，使用时像@RequestBody一样打在入参上即可，注意入参必须是List对象，否则注入会失败。</w:t>
      </w:r>
    </w:p>
    <w:p>
      <w:pPr>
        <w:bidi w:val="0"/>
        <w:rPr>
          <w:rFonts w:hint="default"/>
        </w:rPr>
      </w:pPr>
      <w:r>
        <w:rPr>
          <w:rFonts w:hint="default"/>
        </w:rPr>
        <w:drawing>
          <wp:inline distT="0" distB="0" distL="114300" distR="114300">
            <wp:extent cx="5271135" cy="2862580"/>
            <wp:effectExtent l="0" t="0" r="12065" b="7620"/>
            <wp:docPr id="29" name="图片 29" descr="截屏2020-08-10 下午10.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8-10 下午10.30.30"/>
                    <pic:cNvPicPr>
                      <a:picLocks noChangeAspect="1"/>
                    </pic:cNvPicPr>
                  </pic:nvPicPr>
                  <pic:blipFill>
                    <a:blip r:embed="rId24"/>
                    <a:stretch>
                      <a:fillRect/>
                    </a:stretch>
                  </pic:blipFill>
                  <pic:spPr>
                    <a:xfrm>
                      <a:off x="0" y="0"/>
                      <a:ext cx="5271135" cy="2862580"/>
                    </a:xfrm>
                    <a:prstGeom prst="rect">
                      <a:avLst/>
                    </a:prstGeom>
                  </pic:spPr>
                </pic:pic>
              </a:graphicData>
            </a:graphic>
          </wp:inline>
        </w:drawing>
      </w:r>
    </w:p>
    <w:p>
      <w:pPr>
        <w:pStyle w:val="3"/>
        <w:bidi w:val="0"/>
        <w:rPr>
          <w:rFonts w:hint="default"/>
        </w:rPr>
      </w:pPr>
      <w:bookmarkStart w:id="25" w:name="_Toc593241550"/>
      <w:r>
        <w:rPr>
          <w:rFonts w:hint="default"/>
        </w:rPr>
        <w:t>3.</w:t>
      </w:r>
      <w:r>
        <w:rPr>
          <w:rFonts w:hint="default"/>
        </w:rPr>
        <w:t>4</w:t>
      </w:r>
      <w:r>
        <w:rPr>
          <w:rFonts w:hint="default"/>
        </w:rPr>
        <w:t xml:space="preserve"> 举例行过滤(3.25新增功能)</w:t>
      </w:r>
      <w:bookmarkEnd w:id="25"/>
    </w:p>
    <w:p>
      <w:pPr>
        <w:bidi w:val="0"/>
        <w:ind w:firstLine="420" w:firstLineChars="0"/>
        <w:rPr>
          <w:rFonts w:hint="default"/>
        </w:rPr>
      </w:pPr>
      <w:r>
        <w:rPr>
          <w:rFonts w:hint="default"/>
        </w:rPr>
        <w:t>举例行出现在表头的下一行，并且单元格都以“例”开头，则判断此行是举例行并且略过，用户可以手动删除此举例行，如果不删除也不会像常规单元格一样进行校验、转换。</w:t>
      </w:r>
    </w:p>
    <w:p>
      <w:pPr>
        <w:bidi w:val="0"/>
        <w:ind w:firstLine="420" w:firstLineChars="0"/>
        <w:rPr>
          <w:rFonts w:hint="default"/>
        </w:rPr>
      </w:pPr>
      <w:r>
        <w:rPr>
          <w:rFonts w:hint="default"/>
        </w:rPr>
        <w:t>可在ExcelFactoryConfigInner配置类中设定filterExample=true/false来开启/关闭这项功能。</w:t>
      </w:r>
    </w:p>
    <w:p>
      <w:pPr>
        <w:pStyle w:val="3"/>
        <w:bidi w:val="0"/>
        <w:rPr>
          <w:rFonts w:hint="default"/>
        </w:rPr>
      </w:pPr>
      <w:bookmarkStart w:id="26" w:name="_Toc1991641476"/>
      <w:r>
        <w:rPr>
          <w:rFonts w:hint="default"/>
        </w:rPr>
        <w:t>3.</w:t>
      </w:r>
      <w:r>
        <w:rPr>
          <w:rFonts w:hint="default"/>
        </w:rPr>
        <w:t>5</w:t>
      </w:r>
      <w:r>
        <w:rPr>
          <w:rFonts w:hint="default"/>
        </w:rPr>
        <w:t xml:space="preserve"> 全异常捕获(3.25新增)</w:t>
      </w:r>
      <w:bookmarkEnd w:id="26"/>
    </w:p>
    <w:p>
      <w:pPr>
        <w:ind w:firstLine="420" w:firstLineChars="0"/>
        <w:rPr>
          <w:rFonts w:hint="default"/>
        </w:rPr>
      </w:pPr>
      <w:r>
        <w:rPr>
          <w:rFonts w:hint="default"/>
        </w:rPr>
        <w:t>框架整合了全异常捕获，可以一次性返回所有的异常项目，所有的异常信息会放置于ExcelCompositionException中，此异常中包含多个ExcelDataWrongException。</w:t>
      </w:r>
    </w:p>
    <w:p>
      <w:pPr>
        <w:ind w:firstLine="420" w:firstLineChars="0"/>
        <w:rPr>
          <w:rFonts w:hint="eastAsia"/>
        </w:rPr>
      </w:pPr>
      <w:r>
        <w:rPr>
          <w:rFonts w:hint="eastAsia"/>
        </w:rPr>
        <w:drawing>
          <wp:inline distT="0" distB="0" distL="114300" distR="114300">
            <wp:extent cx="5269230" cy="548640"/>
            <wp:effectExtent l="0" t="0" r="13970" b="10160"/>
            <wp:docPr id="17" name="图片 17" descr="截屏2020-08-10 下午9.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8-10 下午9.07.04"/>
                    <pic:cNvPicPr>
                      <a:picLocks noChangeAspect="1"/>
                    </pic:cNvPicPr>
                  </pic:nvPicPr>
                  <pic:blipFill>
                    <a:blip r:embed="rId25"/>
                    <a:stretch>
                      <a:fillRect/>
                    </a:stretch>
                  </pic:blipFill>
                  <pic:spPr>
                    <a:xfrm>
                      <a:off x="0" y="0"/>
                      <a:ext cx="5269230" cy="5486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open sans">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96677"/>
    <w:multiLevelType w:val="singleLevel"/>
    <w:tmpl w:val="5F29667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6E1EA"/>
    <w:rsid w:val="03EB9F05"/>
    <w:rsid w:val="0BF51165"/>
    <w:rsid w:val="0EDE6B1C"/>
    <w:rsid w:val="0FFA2F82"/>
    <w:rsid w:val="13FCFC8B"/>
    <w:rsid w:val="15BEDFF8"/>
    <w:rsid w:val="16F2FF16"/>
    <w:rsid w:val="17330310"/>
    <w:rsid w:val="196C52C5"/>
    <w:rsid w:val="1AEE65F2"/>
    <w:rsid w:val="1BFF3877"/>
    <w:rsid w:val="1DFCCE8B"/>
    <w:rsid w:val="1E1B3649"/>
    <w:rsid w:val="1EF50385"/>
    <w:rsid w:val="1F765273"/>
    <w:rsid w:val="1FBD6DD2"/>
    <w:rsid w:val="1FBFB500"/>
    <w:rsid w:val="1FDDF6F8"/>
    <w:rsid w:val="236DEC43"/>
    <w:rsid w:val="25CFA221"/>
    <w:rsid w:val="277ED3B5"/>
    <w:rsid w:val="27BDE918"/>
    <w:rsid w:val="28FCC9C7"/>
    <w:rsid w:val="2A5E414D"/>
    <w:rsid w:val="2A77C5B9"/>
    <w:rsid w:val="2BAB8BC8"/>
    <w:rsid w:val="2BFF326F"/>
    <w:rsid w:val="2D6FCC36"/>
    <w:rsid w:val="2DBDF0E4"/>
    <w:rsid w:val="2DD965C8"/>
    <w:rsid w:val="2E7F74EB"/>
    <w:rsid w:val="2EF38A33"/>
    <w:rsid w:val="2F4F2F28"/>
    <w:rsid w:val="2F89F61D"/>
    <w:rsid w:val="2FED8012"/>
    <w:rsid w:val="2FEDBA59"/>
    <w:rsid w:val="2FF81FC2"/>
    <w:rsid w:val="31A60B07"/>
    <w:rsid w:val="3397DE09"/>
    <w:rsid w:val="33FB17B8"/>
    <w:rsid w:val="34FDADDF"/>
    <w:rsid w:val="35FF4D8C"/>
    <w:rsid w:val="36B32FC4"/>
    <w:rsid w:val="36E15E2A"/>
    <w:rsid w:val="36FB3EAA"/>
    <w:rsid w:val="3757CAFB"/>
    <w:rsid w:val="376FACB3"/>
    <w:rsid w:val="377A63CC"/>
    <w:rsid w:val="37F75604"/>
    <w:rsid w:val="37FF2C7E"/>
    <w:rsid w:val="389F4ABE"/>
    <w:rsid w:val="397E248F"/>
    <w:rsid w:val="39E90C5E"/>
    <w:rsid w:val="39FF8C88"/>
    <w:rsid w:val="3A4FED06"/>
    <w:rsid w:val="3B86DB09"/>
    <w:rsid w:val="3BAEDFCD"/>
    <w:rsid w:val="3BDD792F"/>
    <w:rsid w:val="3BE83041"/>
    <w:rsid w:val="3BEF716F"/>
    <w:rsid w:val="3BF7C5AA"/>
    <w:rsid w:val="3BFB0E23"/>
    <w:rsid w:val="3BFE0E08"/>
    <w:rsid w:val="3CF312C4"/>
    <w:rsid w:val="3DEDDC29"/>
    <w:rsid w:val="3E0F8FB3"/>
    <w:rsid w:val="3E3643F3"/>
    <w:rsid w:val="3E7D8113"/>
    <w:rsid w:val="3EDA1C36"/>
    <w:rsid w:val="3EF72DAE"/>
    <w:rsid w:val="3EFF1D24"/>
    <w:rsid w:val="3F360BDA"/>
    <w:rsid w:val="3F750C82"/>
    <w:rsid w:val="3F768B28"/>
    <w:rsid w:val="3F7B2FA2"/>
    <w:rsid w:val="3F7DEACD"/>
    <w:rsid w:val="3FBB5DC5"/>
    <w:rsid w:val="3FBF267A"/>
    <w:rsid w:val="3FBF2999"/>
    <w:rsid w:val="3FBFEFFA"/>
    <w:rsid w:val="3FC7DE0D"/>
    <w:rsid w:val="3FD70C38"/>
    <w:rsid w:val="3FDE3617"/>
    <w:rsid w:val="3FDFC58B"/>
    <w:rsid w:val="3FE3B091"/>
    <w:rsid w:val="3FEABC2D"/>
    <w:rsid w:val="3FF4E92B"/>
    <w:rsid w:val="3FF76771"/>
    <w:rsid w:val="3FFB3538"/>
    <w:rsid w:val="41FC7542"/>
    <w:rsid w:val="46FFB493"/>
    <w:rsid w:val="47EB1C00"/>
    <w:rsid w:val="498FE2BE"/>
    <w:rsid w:val="4B37FCD2"/>
    <w:rsid w:val="4BCDF521"/>
    <w:rsid w:val="4BF7D5EF"/>
    <w:rsid w:val="4DC71045"/>
    <w:rsid w:val="4DEF4790"/>
    <w:rsid w:val="4DFFAD08"/>
    <w:rsid w:val="4E774F5F"/>
    <w:rsid w:val="4EF3209C"/>
    <w:rsid w:val="4FAB764F"/>
    <w:rsid w:val="4FDB0C7E"/>
    <w:rsid w:val="4FFE5EE2"/>
    <w:rsid w:val="4FFF9B5E"/>
    <w:rsid w:val="52BBA036"/>
    <w:rsid w:val="52DBDEAC"/>
    <w:rsid w:val="53F8E3E7"/>
    <w:rsid w:val="565BD43A"/>
    <w:rsid w:val="56DF9C66"/>
    <w:rsid w:val="57BFAF03"/>
    <w:rsid w:val="57EBB7B3"/>
    <w:rsid w:val="57FDABC9"/>
    <w:rsid w:val="58DF3535"/>
    <w:rsid w:val="59E78678"/>
    <w:rsid w:val="5AF75EA2"/>
    <w:rsid w:val="5B2A47A6"/>
    <w:rsid w:val="5BDC9126"/>
    <w:rsid w:val="5BDE90E6"/>
    <w:rsid w:val="5BFA7A05"/>
    <w:rsid w:val="5C9FC838"/>
    <w:rsid w:val="5D7E9C2F"/>
    <w:rsid w:val="5DF7B6BC"/>
    <w:rsid w:val="5DFF890B"/>
    <w:rsid w:val="5E070AF8"/>
    <w:rsid w:val="5E6B5342"/>
    <w:rsid w:val="5EFF315E"/>
    <w:rsid w:val="5EFFF26B"/>
    <w:rsid w:val="5F3FD194"/>
    <w:rsid w:val="5F480124"/>
    <w:rsid w:val="5F5FDF8A"/>
    <w:rsid w:val="5F6BAA7D"/>
    <w:rsid w:val="5F6F453B"/>
    <w:rsid w:val="5F721F90"/>
    <w:rsid w:val="5F7BEABD"/>
    <w:rsid w:val="5F7FE9CC"/>
    <w:rsid w:val="5FA5355B"/>
    <w:rsid w:val="5FB7D99B"/>
    <w:rsid w:val="5FD717DE"/>
    <w:rsid w:val="5FFD285A"/>
    <w:rsid w:val="5FFD560F"/>
    <w:rsid w:val="5FFD88D7"/>
    <w:rsid w:val="639C34C4"/>
    <w:rsid w:val="63D706A9"/>
    <w:rsid w:val="63FD760C"/>
    <w:rsid w:val="63FDB5C0"/>
    <w:rsid w:val="64FF2CFA"/>
    <w:rsid w:val="657BC91E"/>
    <w:rsid w:val="65DD3785"/>
    <w:rsid w:val="65F9B03C"/>
    <w:rsid w:val="65FE2A8E"/>
    <w:rsid w:val="66FEB621"/>
    <w:rsid w:val="673BD6D1"/>
    <w:rsid w:val="676E67E6"/>
    <w:rsid w:val="67ED71E4"/>
    <w:rsid w:val="67EFAECA"/>
    <w:rsid w:val="67F3DDFD"/>
    <w:rsid w:val="67FCBAE5"/>
    <w:rsid w:val="67FDC3C7"/>
    <w:rsid w:val="67FF3E7F"/>
    <w:rsid w:val="67FFFC1D"/>
    <w:rsid w:val="69338619"/>
    <w:rsid w:val="69551F91"/>
    <w:rsid w:val="69AB9503"/>
    <w:rsid w:val="69F9D360"/>
    <w:rsid w:val="6A672B42"/>
    <w:rsid w:val="6AB0B23E"/>
    <w:rsid w:val="6AB42492"/>
    <w:rsid w:val="6ABF77DC"/>
    <w:rsid w:val="6ACFAB3D"/>
    <w:rsid w:val="6AF60AB9"/>
    <w:rsid w:val="6B1F21CD"/>
    <w:rsid w:val="6B7C639F"/>
    <w:rsid w:val="6B9E7909"/>
    <w:rsid w:val="6BB90A02"/>
    <w:rsid w:val="6BBB84D2"/>
    <w:rsid w:val="6BF2A090"/>
    <w:rsid w:val="6BF46789"/>
    <w:rsid w:val="6BF718C5"/>
    <w:rsid w:val="6BFC4C21"/>
    <w:rsid w:val="6BFF3410"/>
    <w:rsid w:val="6CFF5733"/>
    <w:rsid w:val="6D7CEBC3"/>
    <w:rsid w:val="6E574A55"/>
    <w:rsid w:val="6E7FD703"/>
    <w:rsid w:val="6EABCCBC"/>
    <w:rsid w:val="6EEBDDE9"/>
    <w:rsid w:val="6F336A84"/>
    <w:rsid w:val="6F33D234"/>
    <w:rsid w:val="6F7079D0"/>
    <w:rsid w:val="6F728C1B"/>
    <w:rsid w:val="6FB32023"/>
    <w:rsid w:val="6FBF4EB4"/>
    <w:rsid w:val="6FC32425"/>
    <w:rsid w:val="6FCF82CD"/>
    <w:rsid w:val="6FDD5AD3"/>
    <w:rsid w:val="6FE71BAA"/>
    <w:rsid w:val="6FE799C8"/>
    <w:rsid w:val="6FEE120A"/>
    <w:rsid w:val="6FF9832A"/>
    <w:rsid w:val="6FF9C48A"/>
    <w:rsid w:val="6FFB2493"/>
    <w:rsid w:val="6FFB80E4"/>
    <w:rsid w:val="6FFB91B9"/>
    <w:rsid w:val="6FFBF127"/>
    <w:rsid w:val="6FFD771D"/>
    <w:rsid w:val="6FFE8AF2"/>
    <w:rsid w:val="6FFF1A5D"/>
    <w:rsid w:val="6FFF70DB"/>
    <w:rsid w:val="70E59D7C"/>
    <w:rsid w:val="727BC2A7"/>
    <w:rsid w:val="72E717F2"/>
    <w:rsid w:val="72FD6EBC"/>
    <w:rsid w:val="72FEEF43"/>
    <w:rsid w:val="72FFD188"/>
    <w:rsid w:val="73AD06FA"/>
    <w:rsid w:val="73E75A3D"/>
    <w:rsid w:val="74F976EF"/>
    <w:rsid w:val="7565CB3D"/>
    <w:rsid w:val="75B73674"/>
    <w:rsid w:val="75DD44F1"/>
    <w:rsid w:val="75E6F9E6"/>
    <w:rsid w:val="75FE4668"/>
    <w:rsid w:val="76BE2CA6"/>
    <w:rsid w:val="775FE545"/>
    <w:rsid w:val="777BEF29"/>
    <w:rsid w:val="777FF5B8"/>
    <w:rsid w:val="778EA5B5"/>
    <w:rsid w:val="77AF748A"/>
    <w:rsid w:val="77BD1DA5"/>
    <w:rsid w:val="77D30B71"/>
    <w:rsid w:val="77D73561"/>
    <w:rsid w:val="77F7FD3B"/>
    <w:rsid w:val="77FF638B"/>
    <w:rsid w:val="77FF75E1"/>
    <w:rsid w:val="77FFC1E8"/>
    <w:rsid w:val="787F6B87"/>
    <w:rsid w:val="787FE795"/>
    <w:rsid w:val="78A3D43A"/>
    <w:rsid w:val="79351A20"/>
    <w:rsid w:val="7947E297"/>
    <w:rsid w:val="7972D81F"/>
    <w:rsid w:val="79BF0A2A"/>
    <w:rsid w:val="79DFA23D"/>
    <w:rsid w:val="79EB08E1"/>
    <w:rsid w:val="79F3B6A5"/>
    <w:rsid w:val="79FDF5A5"/>
    <w:rsid w:val="79FFDDF5"/>
    <w:rsid w:val="7A6D4F80"/>
    <w:rsid w:val="7A974E5E"/>
    <w:rsid w:val="7AC79F68"/>
    <w:rsid w:val="7AD7EC11"/>
    <w:rsid w:val="7AD9A65C"/>
    <w:rsid w:val="7ADE4C05"/>
    <w:rsid w:val="7AF9981E"/>
    <w:rsid w:val="7AFB3772"/>
    <w:rsid w:val="7AFF4F4D"/>
    <w:rsid w:val="7B2A243A"/>
    <w:rsid w:val="7B591514"/>
    <w:rsid w:val="7B5E1667"/>
    <w:rsid w:val="7B5E6DCF"/>
    <w:rsid w:val="7BA3082A"/>
    <w:rsid w:val="7BA4BF64"/>
    <w:rsid w:val="7BBEF7BB"/>
    <w:rsid w:val="7BD74A5E"/>
    <w:rsid w:val="7BDC03F1"/>
    <w:rsid w:val="7BEC565E"/>
    <w:rsid w:val="7BEF9024"/>
    <w:rsid w:val="7BFB2C09"/>
    <w:rsid w:val="7BFDCB0A"/>
    <w:rsid w:val="7BFEF92A"/>
    <w:rsid w:val="7BFFB584"/>
    <w:rsid w:val="7C7C92EE"/>
    <w:rsid w:val="7C7EA23C"/>
    <w:rsid w:val="7CDF2B63"/>
    <w:rsid w:val="7CF9E376"/>
    <w:rsid w:val="7D2E7038"/>
    <w:rsid w:val="7D5924F9"/>
    <w:rsid w:val="7D6BA42F"/>
    <w:rsid w:val="7D7CAB41"/>
    <w:rsid w:val="7D7E4392"/>
    <w:rsid w:val="7D7F203B"/>
    <w:rsid w:val="7DA51A3C"/>
    <w:rsid w:val="7DAEFE0A"/>
    <w:rsid w:val="7DB7E428"/>
    <w:rsid w:val="7DBBCC6E"/>
    <w:rsid w:val="7DBF0ACD"/>
    <w:rsid w:val="7DBFF29D"/>
    <w:rsid w:val="7DDB8472"/>
    <w:rsid w:val="7DE765C8"/>
    <w:rsid w:val="7DEC2BC4"/>
    <w:rsid w:val="7DEFA5B4"/>
    <w:rsid w:val="7DF753B8"/>
    <w:rsid w:val="7DFDF312"/>
    <w:rsid w:val="7DFF40FF"/>
    <w:rsid w:val="7DFFBD26"/>
    <w:rsid w:val="7E17FC90"/>
    <w:rsid w:val="7E4CAA01"/>
    <w:rsid w:val="7E4EB09C"/>
    <w:rsid w:val="7E7E109B"/>
    <w:rsid w:val="7E99C868"/>
    <w:rsid w:val="7EA62FC9"/>
    <w:rsid w:val="7EBFCF6E"/>
    <w:rsid w:val="7ECB153F"/>
    <w:rsid w:val="7EDBA4D8"/>
    <w:rsid w:val="7EEF8D4C"/>
    <w:rsid w:val="7EF93199"/>
    <w:rsid w:val="7EF9C0A4"/>
    <w:rsid w:val="7EFB7975"/>
    <w:rsid w:val="7EFF095F"/>
    <w:rsid w:val="7EFF143A"/>
    <w:rsid w:val="7EFF86F9"/>
    <w:rsid w:val="7F2EA22A"/>
    <w:rsid w:val="7F3A565B"/>
    <w:rsid w:val="7F3E6273"/>
    <w:rsid w:val="7F6F7A9A"/>
    <w:rsid w:val="7F7E524D"/>
    <w:rsid w:val="7F7F7018"/>
    <w:rsid w:val="7F7FC222"/>
    <w:rsid w:val="7F975187"/>
    <w:rsid w:val="7F9BF2E3"/>
    <w:rsid w:val="7F9FE3A5"/>
    <w:rsid w:val="7F9FF15D"/>
    <w:rsid w:val="7FA563C5"/>
    <w:rsid w:val="7FAA0A8A"/>
    <w:rsid w:val="7FAFCA66"/>
    <w:rsid w:val="7FB7DA95"/>
    <w:rsid w:val="7FBEDF55"/>
    <w:rsid w:val="7FCE76EB"/>
    <w:rsid w:val="7FCEFF27"/>
    <w:rsid w:val="7FD623DC"/>
    <w:rsid w:val="7FDE0E0C"/>
    <w:rsid w:val="7FDE2A75"/>
    <w:rsid w:val="7FEB17A8"/>
    <w:rsid w:val="7FEF9741"/>
    <w:rsid w:val="7FF40749"/>
    <w:rsid w:val="7FF8F1A8"/>
    <w:rsid w:val="7FF9B79B"/>
    <w:rsid w:val="7FFA2F70"/>
    <w:rsid w:val="7FFAFAA9"/>
    <w:rsid w:val="7FFB398D"/>
    <w:rsid w:val="7FFD2C47"/>
    <w:rsid w:val="7FFD2C68"/>
    <w:rsid w:val="7FFD457A"/>
    <w:rsid w:val="7FFE7E43"/>
    <w:rsid w:val="7FFF876E"/>
    <w:rsid w:val="7FFFACA0"/>
    <w:rsid w:val="7FFFCA73"/>
    <w:rsid w:val="7FFFECFF"/>
    <w:rsid w:val="949EC52B"/>
    <w:rsid w:val="965FFE2E"/>
    <w:rsid w:val="96FE3BA8"/>
    <w:rsid w:val="97ED1A77"/>
    <w:rsid w:val="97FF0329"/>
    <w:rsid w:val="9ABC1477"/>
    <w:rsid w:val="9BEB56FF"/>
    <w:rsid w:val="9BED7D23"/>
    <w:rsid w:val="9DF987EC"/>
    <w:rsid w:val="9DFDFD7F"/>
    <w:rsid w:val="9EAC03D1"/>
    <w:rsid w:val="9EEFE01D"/>
    <w:rsid w:val="9EFFE90E"/>
    <w:rsid w:val="9F3F22D4"/>
    <w:rsid w:val="9F842949"/>
    <w:rsid w:val="9F9F3B5A"/>
    <w:rsid w:val="9FBEA760"/>
    <w:rsid w:val="9FDD0F78"/>
    <w:rsid w:val="9FFEB51D"/>
    <w:rsid w:val="9FFF09E1"/>
    <w:rsid w:val="A2BF14CD"/>
    <w:rsid w:val="A3FB6336"/>
    <w:rsid w:val="A5FFA884"/>
    <w:rsid w:val="A7BB16BC"/>
    <w:rsid w:val="A7C71BE2"/>
    <w:rsid w:val="AB9BFA38"/>
    <w:rsid w:val="ABB15906"/>
    <w:rsid w:val="ABEF6424"/>
    <w:rsid w:val="ABF93C7A"/>
    <w:rsid w:val="ABFF8FEB"/>
    <w:rsid w:val="ADB8269F"/>
    <w:rsid w:val="AEBF45B2"/>
    <w:rsid w:val="AF772215"/>
    <w:rsid w:val="AFC2D75B"/>
    <w:rsid w:val="AFD32BF4"/>
    <w:rsid w:val="AFDA1E71"/>
    <w:rsid w:val="AFFA5AC2"/>
    <w:rsid w:val="AFFF4C3E"/>
    <w:rsid w:val="B259DA4F"/>
    <w:rsid w:val="B3EFA73D"/>
    <w:rsid w:val="B3F342E4"/>
    <w:rsid w:val="B52FF5D6"/>
    <w:rsid w:val="B6AD3AF1"/>
    <w:rsid w:val="B6FD6F62"/>
    <w:rsid w:val="B75FA8C3"/>
    <w:rsid w:val="B7E302FF"/>
    <w:rsid w:val="B7EF38FA"/>
    <w:rsid w:val="B7F7C98A"/>
    <w:rsid w:val="B7FB57F9"/>
    <w:rsid w:val="B7FF2CE2"/>
    <w:rsid w:val="B7FF50E0"/>
    <w:rsid w:val="B97C4841"/>
    <w:rsid w:val="B9E49E7B"/>
    <w:rsid w:val="B9FE6EAB"/>
    <w:rsid w:val="BA7BA712"/>
    <w:rsid w:val="BADBB80E"/>
    <w:rsid w:val="BB353B04"/>
    <w:rsid w:val="BB370572"/>
    <w:rsid w:val="BB736D2D"/>
    <w:rsid w:val="BBBDA84A"/>
    <w:rsid w:val="BBBDB0D2"/>
    <w:rsid w:val="BBDA546C"/>
    <w:rsid w:val="BBEEF1E3"/>
    <w:rsid w:val="BC5E44AD"/>
    <w:rsid w:val="BC76C54A"/>
    <w:rsid w:val="BC7E602F"/>
    <w:rsid w:val="BCEF192C"/>
    <w:rsid w:val="BD618EDA"/>
    <w:rsid w:val="BD9D4F2B"/>
    <w:rsid w:val="BDB53DDA"/>
    <w:rsid w:val="BDB581D4"/>
    <w:rsid w:val="BDBA1F53"/>
    <w:rsid w:val="BDFA7A1F"/>
    <w:rsid w:val="BE3FE2DF"/>
    <w:rsid w:val="BEC7EA32"/>
    <w:rsid w:val="BECB74ED"/>
    <w:rsid w:val="BEFB115C"/>
    <w:rsid w:val="BEFE9DA8"/>
    <w:rsid w:val="BF3F5847"/>
    <w:rsid w:val="BF4340E6"/>
    <w:rsid w:val="BF6F7629"/>
    <w:rsid w:val="BF6FCB99"/>
    <w:rsid w:val="BF7741C8"/>
    <w:rsid w:val="BF9D8D64"/>
    <w:rsid w:val="BF9FFE55"/>
    <w:rsid w:val="BFBF3686"/>
    <w:rsid w:val="BFCFD390"/>
    <w:rsid w:val="BFD71376"/>
    <w:rsid w:val="BFF52E60"/>
    <w:rsid w:val="BFFD617A"/>
    <w:rsid w:val="BFFDEED0"/>
    <w:rsid w:val="BFFFCE91"/>
    <w:rsid w:val="C1B11787"/>
    <w:rsid w:val="C475AE4B"/>
    <w:rsid w:val="C4CF99DE"/>
    <w:rsid w:val="CAFE0FD2"/>
    <w:rsid w:val="CBB84427"/>
    <w:rsid w:val="CE6FAD54"/>
    <w:rsid w:val="CED972EA"/>
    <w:rsid w:val="CFECC347"/>
    <w:rsid w:val="CFF2BFC6"/>
    <w:rsid w:val="D16FE5EB"/>
    <w:rsid w:val="D2FEA2BE"/>
    <w:rsid w:val="D3FDBE88"/>
    <w:rsid w:val="D5BA755B"/>
    <w:rsid w:val="D5F92723"/>
    <w:rsid w:val="D5FF2C3B"/>
    <w:rsid w:val="D6D9E5EF"/>
    <w:rsid w:val="D73F0EF0"/>
    <w:rsid w:val="D76D1A0F"/>
    <w:rsid w:val="D79EFACD"/>
    <w:rsid w:val="D7BFF7BD"/>
    <w:rsid w:val="D7EF6880"/>
    <w:rsid w:val="D7F6E1EA"/>
    <w:rsid w:val="D7FC9BA5"/>
    <w:rsid w:val="D96BC91E"/>
    <w:rsid w:val="D9F9DCDA"/>
    <w:rsid w:val="DA7D0F32"/>
    <w:rsid w:val="DC3FCF5C"/>
    <w:rsid w:val="DCB76DA6"/>
    <w:rsid w:val="DCF1C12D"/>
    <w:rsid w:val="DD678763"/>
    <w:rsid w:val="DDFD7D33"/>
    <w:rsid w:val="DE736957"/>
    <w:rsid w:val="DE7A5C8B"/>
    <w:rsid w:val="DEE35E7A"/>
    <w:rsid w:val="DEEB5AE5"/>
    <w:rsid w:val="DEF3C5AC"/>
    <w:rsid w:val="DEFA4A43"/>
    <w:rsid w:val="DF74521C"/>
    <w:rsid w:val="DF770C4A"/>
    <w:rsid w:val="DFAA2074"/>
    <w:rsid w:val="DFAFD8B9"/>
    <w:rsid w:val="DFBB242C"/>
    <w:rsid w:val="DFBDE038"/>
    <w:rsid w:val="DFD7388C"/>
    <w:rsid w:val="DFDE35A4"/>
    <w:rsid w:val="DFF70850"/>
    <w:rsid w:val="DFFF54CE"/>
    <w:rsid w:val="DFFF9CBA"/>
    <w:rsid w:val="E32F723C"/>
    <w:rsid w:val="E375BD0E"/>
    <w:rsid w:val="E37D397F"/>
    <w:rsid w:val="E3EC91EF"/>
    <w:rsid w:val="E3F75A71"/>
    <w:rsid w:val="E4D3979C"/>
    <w:rsid w:val="E4E982BB"/>
    <w:rsid w:val="E6752733"/>
    <w:rsid w:val="E7550810"/>
    <w:rsid w:val="E7AAA8D3"/>
    <w:rsid w:val="E7CF691F"/>
    <w:rsid w:val="E7E705DB"/>
    <w:rsid w:val="E7F739FF"/>
    <w:rsid w:val="E7F7B23C"/>
    <w:rsid w:val="E93695E8"/>
    <w:rsid w:val="E9EF6DF3"/>
    <w:rsid w:val="EABF1C21"/>
    <w:rsid w:val="EAEFDF5E"/>
    <w:rsid w:val="EB774B7C"/>
    <w:rsid w:val="EB7DBDDF"/>
    <w:rsid w:val="EBB555D8"/>
    <w:rsid w:val="EBFD54DA"/>
    <w:rsid w:val="EBFFD681"/>
    <w:rsid w:val="ECB64C4E"/>
    <w:rsid w:val="ECF61D42"/>
    <w:rsid w:val="EDA92937"/>
    <w:rsid w:val="EDCB65D2"/>
    <w:rsid w:val="EDD87733"/>
    <w:rsid w:val="EDF3313D"/>
    <w:rsid w:val="EDFB536B"/>
    <w:rsid w:val="EE5ABC7D"/>
    <w:rsid w:val="EE5DCB66"/>
    <w:rsid w:val="EEC760F6"/>
    <w:rsid w:val="EECA5EBD"/>
    <w:rsid w:val="EEFD5035"/>
    <w:rsid w:val="EEFF5CD6"/>
    <w:rsid w:val="EEFF7E28"/>
    <w:rsid w:val="EF3B91FA"/>
    <w:rsid w:val="EF7B9299"/>
    <w:rsid w:val="EF7EAC60"/>
    <w:rsid w:val="EF968893"/>
    <w:rsid w:val="EFBF8BCF"/>
    <w:rsid w:val="EFD77ADA"/>
    <w:rsid w:val="EFE3BC46"/>
    <w:rsid w:val="EFEF48FC"/>
    <w:rsid w:val="EFFA4375"/>
    <w:rsid w:val="EFFB8079"/>
    <w:rsid w:val="F2DF2EFF"/>
    <w:rsid w:val="F2FA4F91"/>
    <w:rsid w:val="F32B12E6"/>
    <w:rsid w:val="F336430C"/>
    <w:rsid w:val="F399F1EC"/>
    <w:rsid w:val="F3BA4AE4"/>
    <w:rsid w:val="F3EAB499"/>
    <w:rsid w:val="F3FF13EA"/>
    <w:rsid w:val="F4DFFCA5"/>
    <w:rsid w:val="F5193815"/>
    <w:rsid w:val="F57656FC"/>
    <w:rsid w:val="F5AF710B"/>
    <w:rsid w:val="F5B6AC2D"/>
    <w:rsid w:val="F5E5AF8B"/>
    <w:rsid w:val="F5EE3DC6"/>
    <w:rsid w:val="F5FD75D0"/>
    <w:rsid w:val="F62503ED"/>
    <w:rsid w:val="F65B6FD6"/>
    <w:rsid w:val="F69F17A3"/>
    <w:rsid w:val="F6B9E3F4"/>
    <w:rsid w:val="F6E61FB4"/>
    <w:rsid w:val="F6EA264A"/>
    <w:rsid w:val="F6FF0CB3"/>
    <w:rsid w:val="F6FF5DB0"/>
    <w:rsid w:val="F73F20CE"/>
    <w:rsid w:val="F74F5533"/>
    <w:rsid w:val="F76E5A8B"/>
    <w:rsid w:val="F77FEC71"/>
    <w:rsid w:val="F78E867E"/>
    <w:rsid w:val="F7BF8D63"/>
    <w:rsid w:val="F7DB87D1"/>
    <w:rsid w:val="F7DDED69"/>
    <w:rsid w:val="F7DE3ACB"/>
    <w:rsid w:val="F7EAF92C"/>
    <w:rsid w:val="F7EF88D2"/>
    <w:rsid w:val="F7F1B28F"/>
    <w:rsid w:val="F7F6F95F"/>
    <w:rsid w:val="F7F9DCFE"/>
    <w:rsid w:val="F7FB0CA4"/>
    <w:rsid w:val="F7FD553C"/>
    <w:rsid w:val="F7FF9C04"/>
    <w:rsid w:val="F7FFCD8F"/>
    <w:rsid w:val="F87AE1DA"/>
    <w:rsid w:val="F8BDD544"/>
    <w:rsid w:val="F97EEE77"/>
    <w:rsid w:val="F9BFA82E"/>
    <w:rsid w:val="F9DF4401"/>
    <w:rsid w:val="F9E57A6D"/>
    <w:rsid w:val="FA32DD77"/>
    <w:rsid w:val="FAD5B264"/>
    <w:rsid w:val="FAD6535C"/>
    <w:rsid w:val="FAFDD361"/>
    <w:rsid w:val="FB7B2984"/>
    <w:rsid w:val="FB7F0C85"/>
    <w:rsid w:val="FB7F0D5B"/>
    <w:rsid w:val="FB99ADCA"/>
    <w:rsid w:val="FBB71227"/>
    <w:rsid w:val="FBBF08B2"/>
    <w:rsid w:val="FBBF3788"/>
    <w:rsid w:val="FBDA2270"/>
    <w:rsid w:val="FBDEC31D"/>
    <w:rsid w:val="FBFDAEA5"/>
    <w:rsid w:val="FBFEA7CA"/>
    <w:rsid w:val="FBFF9C6A"/>
    <w:rsid w:val="FC656EA4"/>
    <w:rsid w:val="FC85229E"/>
    <w:rsid w:val="FC978451"/>
    <w:rsid w:val="FCC6EF12"/>
    <w:rsid w:val="FCDD565F"/>
    <w:rsid w:val="FCDE99DA"/>
    <w:rsid w:val="FCDFF57F"/>
    <w:rsid w:val="FCEE8C1C"/>
    <w:rsid w:val="FCF3585E"/>
    <w:rsid w:val="FCF3FD39"/>
    <w:rsid w:val="FCF72B40"/>
    <w:rsid w:val="FCF776DA"/>
    <w:rsid w:val="FD27F8D5"/>
    <w:rsid w:val="FD7F16F2"/>
    <w:rsid w:val="FDA379E6"/>
    <w:rsid w:val="FDAFBC1B"/>
    <w:rsid w:val="FDBB7F35"/>
    <w:rsid w:val="FDBF2A92"/>
    <w:rsid w:val="FDBFFFEF"/>
    <w:rsid w:val="FDDB83A9"/>
    <w:rsid w:val="FDE1FF0E"/>
    <w:rsid w:val="FDEA1386"/>
    <w:rsid w:val="FDEF4F20"/>
    <w:rsid w:val="FDF5B5A5"/>
    <w:rsid w:val="FDF96310"/>
    <w:rsid w:val="FDFBEE77"/>
    <w:rsid w:val="FDFCCD55"/>
    <w:rsid w:val="FE440D11"/>
    <w:rsid w:val="FE6FFB75"/>
    <w:rsid w:val="FE727F3E"/>
    <w:rsid w:val="FE7A390A"/>
    <w:rsid w:val="FECF5F17"/>
    <w:rsid w:val="FEDC292B"/>
    <w:rsid w:val="FEDF38C8"/>
    <w:rsid w:val="FEE3293A"/>
    <w:rsid w:val="FEE68A1D"/>
    <w:rsid w:val="FEEBA601"/>
    <w:rsid w:val="FEFD575D"/>
    <w:rsid w:val="FEFDB3F8"/>
    <w:rsid w:val="FEFEF695"/>
    <w:rsid w:val="FF2F03AE"/>
    <w:rsid w:val="FF374E78"/>
    <w:rsid w:val="FF3FE29D"/>
    <w:rsid w:val="FF571C2B"/>
    <w:rsid w:val="FF5AEC3D"/>
    <w:rsid w:val="FF5DA4B2"/>
    <w:rsid w:val="FF5FE343"/>
    <w:rsid w:val="FF73F079"/>
    <w:rsid w:val="FF778CC1"/>
    <w:rsid w:val="FF7D38D0"/>
    <w:rsid w:val="FF7F50AE"/>
    <w:rsid w:val="FF7F63DF"/>
    <w:rsid w:val="FF7F8020"/>
    <w:rsid w:val="FFABA888"/>
    <w:rsid w:val="FFAFDDAD"/>
    <w:rsid w:val="FFB14A77"/>
    <w:rsid w:val="FFB435ED"/>
    <w:rsid w:val="FFBB436A"/>
    <w:rsid w:val="FFBF2577"/>
    <w:rsid w:val="FFBF83CC"/>
    <w:rsid w:val="FFBFDBC5"/>
    <w:rsid w:val="FFC7B05C"/>
    <w:rsid w:val="FFC7DF81"/>
    <w:rsid w:val="FFD542ED"/>
    <w:rsid w:val="FFD56CC4"/>
    <w:rsid w:val="FFDA905B"/>
    <w:rsid w:val="FFDBE664"/>
    <w:rsid w:val="FFDD0F16"/>
    <w:rsid w:val="FFDEB098"/>
    <w:rsid w:val="FFDF05FC"/>
    <w:rsid w:val="FFDF276B"/>
    <w:rsid w:val="FFDF4DE4"/>
    <w:rsid w:val="FFE700D0"/>
    <w:rsid w:val="FFE736E5"/>
    <w:rsid w:val="FFEB523E"/>
    <w:rsid w:val="FFEB8500"/>
    <w:rsid w:val="FFED5FF5"/>
    <w:rsid w:val="FFED9EB6"/>
    <w:rsid w:val="FFEF6513"/>
    <w:rsid w:val="FFEF95F8"/>
    <w:rsid w:val="FFF32867"/>
    <w:rsid w:val="FFF4D429"/>
    <w:rsid w:val="FFF646DB"/>
    <w:rsid w:val="FFF73BD4"/>
    <w:rsid w:val="FFFB7FE5"/>
    <w:rsid w:val="FFFB836E"/>
    <w:rsid w:val="FFFBE871"/>
    <w:rsid w:val="FFFC6477"/>
    <w:rsid w:val="FFFDE3BA"/>
    <w:rsid w:val="FFFECFBE"/>
    <w:rsid w:val="FFFEE21D"/>
    <w:rsid w:val="FFFF1AE4"/>
    <w:rsid w:val="FFFF25B9"/>
    <w:rsid w:val="FFFF606E"/>
    <w:rsid w:val="FFFFE862"/>
    <w:rsid w:val="FFFFE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9">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样式1"/>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Office_2.1.0.3383_F1E327BC-269C-435d-A152-05C5408002CA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2020-06-05T17:59:00Z</dcterms:created>
  <dc:creator>hfzhou</dc:creator>
  <cp:lastModifiedBy>hfzhou</cp:lastModifiedBy>
  <dcterms:modified xsi:type="dcterms:W3CDTF">2020-08-10T22:50:34Z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2052-2.1.0.3383</vt:lpwstr>
  </property>
</Properties>
</file>