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1"/>
        <w:pBdr/>
        <w:spacing w:line="480" w:lineRule="auto"/>
        <w:ind w:firstLine="0"/>
        <w:jc w:val="center"/>
        <w:rPr/>
      </w:pPr>
      <w:r/>
      <w:r/>
    </w:p>
    <w:p>
      <w:pPr>
        <w:pStyle w:val="871"/>
        <w:pBdr/>
        <w:spacing w:line="480" w:lineRule="auto"/>
        <w:ind w:firstLine="0"/>
        <w:jc w:val="center"/>
        <w:rPr/>
      </w:pPr>
      <w:r>
        <w:rPr>
          <w:rFonts w:ascii="Times New Roman" w:hAnsi="Times New Roman"/>
          <w:b/>
          <w:bCs/>
          <w:sz w:val="24"/>
          <w:szCs w:val="24"/>
        </w:rPr>
        <w:t xml:space="preserve">Sistema Inteligente Basado en Modelos de Aprendizaje Automático para la Clasificación y Detección Oportuna de Anemia Infantil en Población Vulnerable del Perú a partir de Microdatos de la ENDES</w:t>
      </w:r>
      <w:r/>
    </w:p>
    <w:p>
      <w:pPr>
        <w:pStyle w:val="871"/>
        <w:pBdr/>
        <w:spacing w:line="480" w:lineRule="auto"/>
        <w:ind w:firstLine="0"/>
        <w:jc w:val="center"/>
        <w:rPr/>
      </w:pPr>
      <w:r/>
      <w:r/>
    </w:p>
    <w:p>
      <w:pPr>
        <w:pStyle w:val="871"/>
        <w:pBdr/>
        <w:spacing w:line="480" w:lineRule="auto"/>
        <w:ind w:firstLine="0"/>
        <w:jc w:val="center"/>
        <w:rPr/>
      </w:pPr>
      <w:r/>
      <w:r/>
    </w:p>
    <w:p>
      <w:pPr>
        <w:pStyle w:val="871"/>
        <w:pBdr/>
        <w:spacing w:line="480" w:lineRule="auto"/>
        <w:ind w:firstLine="0"/>
        <w:jc w:val="center"/>
        <w:rPr/>
      </w:pPr>
      <w:r>
        <w:rPr>
          <w:rFonts w:ascii="Times New Roman" w:hAnsi="Times New Roman"/>
          <w:sz w:val="24"/>
          <w:szCs w:val="24"/>
        </w:rPr>
        <w:t xml:space="preserve">Alumnos:</w:t>
      </w:r>
      <w:r/>
    </w:p>
    <w:p>
      <w:pPr>
        <w:pStyle w:val="871"/>
        <w:pBdr/>
        <w:spacing w:line="480" w:lineRule="auto"/>
        <w:ind w:firstLine="0"/>
        <w:jc w:val="center"/>
        <w:rPr/>
      </w:pPr>
      <w:r>
        <w:rPr>
          <w:rFonts w:ascii="Times New Roman" w:hAnsi="Times New Roman"/>
          <w:sz w:val="24"/>
          <w:szCs w:val="24"/>
        </w:rPr>
        <w:t xml:space="preserve">Jimenez Villalva Franz José</w:t>
      </w:r>
      <w:r/>
    </w:p>
    <w:p>
      <w:pPr>
        <w:pStyle w:val="871"/>
        <w:pBdr/>
        <w:spacing w:line="480" w:lineRule="auto"/>
        <w:ind w:firstLine="0"/>
        <w:jc w:val="center"/>
        <w:rPr/>
      </w:pPr>
      <w:r/>
      <w:r/>
    </w:p>
    <w:p>
      <w:pPr>
        <w:pStyle w:val="871"/>
        <w:pBdr/>
        <w:spacing w:line="480" w:lineRule="auto"/>
        <w:ind w:firstLine="0"/>
        <w:jc w:val="center"/>
        <w:rPr/>
      </w:pPr>
      <w:r/>
      <w:r/>
    </w:p>
    <w:p>
      <w:pPr>
        <w:pStyle w:val="871"/>
        <w:pBdr/>
        <w:spacing w:line="480" w:lineRule="auto"/>
        <w:ind w:firstLine="0"/>
        <w:jc w:val="center"/>
        <w:rPr/>
      </w:pPr>
      <w:r/>
      <w:r/>
    </w:p>
    <w:p>
      <w:pPr>
        <w:pStyle w:val="871"/>
        <w:pBdr/>
        <w:spacing w:line="480" w:lineRule="auto"/>
        <w:ind w:firstLine="0"/>
        <w:jc w:val="center"/>
        <w:rPr/>
      </w:pPr>
      <w:r>
        <w:rPr>
          <w:rFonts w:ascii="Times New Roman" w:hAnsi="Times New Roman"/>
          <w:sz w:val="24"/>
          <w:szCs w:val="24"/>
        </w:rPr>
        <w:t xml:space="preserve">Profesor: Ciro Rodríguez Rodríguez</w:t>
      </w:r>
      <w:r/>
    </w:p>
    <w:p>
      <w:pPr>
        <w:pStyle w:val="871"/>
        <w:pBdr/>
        <w:spacing w:line="480" w:lineRule="auto"/>
        <w:ind w:firstLine="0"/>
        <w:jc w:val="center"/>
        <w:rPr/>
      </w:pPr>
      <w:r/>
      <w:r/>
    </w:p>
    <w:p>
      <w:pPr>
        <w:pStyle w:val="871"/>
        <w:pBdr/>
        <w:spacing w:line="480" w:lineRule="auto"/>
        <w:ind w:firstLine="0"/>
        <w:jc w:val="center"/>
        <w:rPr/>
      </w:pPr>
      <w:r/>
      <w:r/>
    </w:p>
    <w:p>
      <w:pPr>
        <w:pStyle w:val="871"/>
        <w:pBdr/>
        <w:spacing w:line="480" w:lineRule="auto"/>
        <w:ind w:firstLine="0"/>
        <w:jc w:val="center"/>
        <w:rPr/>
      </w:pPr>
      <w:r/>
      <w:r/>
    </w:p>
    <w:p>
      <w:pPr>
        <w:pStyle w:val="871"/>
        <w:pBdr/>
        <w:spacing w:line="480" w:lineRule="auto"/>
        <w:ind w:firstLine="0"/>
        <w:jc w:val="center"/>
        <w:rPr/>
      </w:pPr>
      <w:r>
        <w:rPr>
          <w:rFonts w:ascii="Times New Roman" w:hAnsi="Times New Roman"/>
          <w:sz w:val="24"/>
          <w:szCs w:val="24"/>
        </w:rPr>
        <w:t xml:space="preserve">Universidad Nacional Federico Villarreal</w:t>
      </w:r>
      <w:r/>
    </w:p>
    <w:p>
      <w:pPr>
        <w:pStyle w:val="871"/>
        <w:pBdr/>
        <w:spacing w:line="480" w:lineRule="auto"/>
        <w:ind w:firstLine="0"/>
        <w:jc w:val="center"/>
        <w:rPr/>
      </w:pPr>
      <w:r>
        <w:rPr>
          <w:rFonts w:ascii="Times New Roman" w:hAnsi="Times New Roman"/>
          <w:sz w:val="24"/>
          <w:szCs w:val="24"/>
        </w:rPr>
        <w:t xml:space="preserve">Facultad de Ingeniería Electrónica e Informática</w:t>
      </w:r>
      <w:r/>
    </w:p>
    <w:p>
      <w:pPr>
        <w:pStyle w:val="871"/>
        <w:pBdr/>
        <w:spacing w:line="480" w:lineRule="auto"/>
        <w:ind w:firstLine="0"/>
        <w:jc w:val="center"/>
        <w:rPr/>
      </w:pPr>
      <w:r>
        <w:rPr>
          <w:rFonts w:ascii="Times New Roman" w:hAnsi="Times New Roman"/>
          <w:sz w:val="24"/>
          <w:szCs w:val="24"/>
        </w:rPr>
        <w:t xml:space="preserve">Inteligencia Artificial</w:t>
      </w:r>
      <w:r/>
    </w:p>
    <w:p>
      <w:pPr>
        <w:pStyle w:val="871"/>
        <w:pBdr/>
        <w:spacing w:line="480" w:lineRule="auto"/>
        <w:ind w:firstLine="0"/>
        <w:jc w:val="center"/>
        <w:rPr/>
      </w:pPr>
      <w:r>
        <w:rPr>
          <w:rFonts w:ascii="Times New Roman" w:hAnsi="Times New Roman"/>
          <w:sz w:val="24"/>
          <w:szCs w:val="24"/>
        </w:rPr>
        <w:t xml:space="preserve">2026</w:t>
      </w:r>
      <w:r/>
      <w:r>
        <w:br w:type="page" w:clear="all"/>
      </w:r>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2. Resumen</w:t>
      </w:r>
      <w:r/>
    </w:p>
    <w:p>
      <w:pPr>
        <w:pStyle w:val="871"/>
        <w:pBdr/>
        <w:spacing w:line="480" w:lineRule="auto"/>
        <w:ind w:firstLine="720"/>
        <w:rPr/>
      </w:pPr>
      <w:r>
        <w:rPr>
          <w:rFonts w:ascii="Times New Roman" w:hAnsi="Times New Roman" w:cs="Times New Roman"/>
          <w:sz w:val="24"/>
          <w:szCs w:val="24"/>
        </w:rPr>
        <w:t xml:space="preserve">La anemia infantil actualmente es un problema muy grave para el Perú, afecta a los niños menores de tres años en su desarrollo físico y cognitivo. En el caso de las zonas altoand</w:t>
      </w:r>
      <w:r>
        <w:rPr>
          <w:rFonts w:ascii="Times New Roman" w:hAnsi="Times New Roman" w:cs="Times New Roman"/>
          <w:sz w:val="24"/>
          <w:szCs w:val="24"/>
        </w:rPr>
        <w:t xml:space="preserve">inas como Puno o Huancavelica este problema es mucho peor, ya que la tasa de anemia supera el 70% debido a la falta de oxígeno por la altitud y la falta de especialistas en las postas médicas rurales. Con una mejora implementando modelos de aprendizaje aut</w:t>
      </w:r>
      <w:r>
        <w:rPr>
          <w:rFonts w:ascii="Times New Roman" w:hAnsi="Times New Roman" w:cs="Times New Roman"/>
          <w:sz w:val="24"/>
          <w:szCs w:val="24"/>
        </w:rPr>
        <w:t xml:space="preserve">omático como Random Forest y KNN podremos agilizar el triaje médico y diagnosticar a tiempo sin depender de laboratorios lejanos. En este trabajo procesamos 10,340 registros reales de la encuesta ENDES 2023 del INEI, cruzando los módulos RECH6 y RECH0 medi</w:t>
      </w:r>
      <w:r>
        <w:rPr>
          <w:rFonts w:ascii="Times New Roman" w:hAnsi="Times New Roman" w:cs="Times New Roman"/>
          <w:sz w:val="24"/>
          <w:szCs w:val="24"/>
        </w:rPr>
        <w:t xml:space="preserve">ante el código HHID y aplicando la corrección oficial de altitud de la norma NTS N° 134-MINSA. Separamos el 80% para entrenar y 20% para prueba, aislando el StandardScaler para no tener fuga de datos. Los resultados mostraron que Random Forest logró 99.90%</w:t>
      </w:r>
      <w:r>
        <w:rPr>
          <w:rFonts w:ascii="Times New Roman" w:hAnsi="Times New Roman" w:cs="Times New Roman"/>
          <w:sz w:val="24"/>
          <w:szCs w:val="24"/>
        </w:rPr>
        <w:t xml:space="preserve"> de exactitud y 99.67% de recall, fallando solo en 2 de 614 niños anémicos, mientras que KNN obtuvo 96.62% de exactitud. Además, la altitud concentró el 7.12% de importancia de Gini, demostrando que el modelo aprendió la adaptación a la hipoxia andina. Los</w:t>
      </w:r>
      <w:r>
        <w:rPr>
          <w:rFonts w:ascii="Times New Roman" w:hAnsi="Times New Roman" w:cs="Times New Roman"/>
          <w:sz w:val="24"/>
          <w:szCs w:val="24"/>
        </w:rPr>
        <w:t xml:space="preserve"> modelos quedaron guardados en archivos .joblib y corren gratis en Google Colab. El trabajo mostrará cómo el país puede mejorar en el ámbito del diagnóstico médico ofreciendo mejor seguridad frenando la anemia infantil y mejorando la atención de los niños.</w:t>
      </w:r>
      <w:r/>
    </w:p>
    <w:p>
      <w:pPr>
        <w:pStyle w:val="871"/>
        <w:pBdr/>
        <w:spacing w:line="480" w:lineRule="auto"/>
        <w:ind w:firstLine="720"/>
        <w:rPr/>
      </w:pPr>
      <w:r>
        <w:rPr>
          <w:rFonts w:ascii="Times New Roman" w:hAnsi="Times New Roman" w:cs="Times New Roman"/>
          <w:sz w:val="24"/>
          <w:szCs w:val="24"/>
        </w:rPr>
        <w:t xml:space="preserve">Abstract: Childhood anemia is currently a very serious prob</w:t>
      </w:r>
      <w:r>
        <w:rPr>
          <w:rFonts w:ascii="Times New Roman" w:hAnsi="Times New Roman" w:cs="Times New Roman"/>
          <w:sz w:val="24"/>
          <w:szCs w:val="24"/>
        </w:rPr>
        <w:t xml:space="preserve">lem for Peru, affecting children under three years old in their physical and cognitive development. In high-altitude Andean regions such as Puno or Huancavelica this problem is much worse, since the anemia rate exceeds 70% due to hypoxia and the lack of sp</w:t>
      </w:r>
      <w:r>
        <w:rPr>
          <w:rFonts w:ascii="Times New Roman" w:hAnsi="Times New Roman" w:cs="Times New Roman"/>
          <w:sz w:val="24"/>
          <w:szCs w:val="24"/>
        </w:rPr>
        <w:t xml:space="preserve">ecialists in rural medical posts. With an improvement implementing machine learning models such as Random Forest and KNN we can streamline clinical triaging and diagnose on time without depending on distant laboratories. In this study we processed 10,340 r</w:t>
      </w:r>
      <w:r>
        <w:rPr>
          <w:rFonts w:ascii="Times New Roman" w:hAnsi="Times New Roman" w:cs="Times New Roman"/>
          <w:sz w:val="24"/>
          <w:szCs w:val="24"/>
        </w:rPr>
        <w:t xml:space="preserve">eal records from the INEI ENDES 2023 survey, merging the RECH6 and RECH0 modules via the HHID household code and applying official NTS N° 134-MINSA altitude corrections. We split 80% for training and 20% for testing, isolating the StandardScaler to avoid d</w:t>
      </w:r>
      <w:r>
        <w:rPr>
          <w:rFonts w:ascii="Times New Roman" w:hAnsi="Times New Roman" w:cs="Times New Roman"/>
          <w:sz w:val="24"/>
          <w:szCs w:val="24"/>
        </w:rPr>
        <w:t xml:space="preserve">ata leakage. The results showed that Random Forest achieved 99.90% accuracy and 99.67% recall, failing in only 2 out of 614 anemic children, while KNN achieved 96.62% accuracy. Furthermore, geographic altitude accounted for 7.12% of Gini importance, provin</w:t>
      </w:r>
      <w:r>
        <w:rPr>
          <w:rFonts w:ascii="Times New Roman" w:hAnsi="Times New Roman" w:cs="Times New Roman"/>
          <w:sz w:val="24"/>
          <w:szCs w:val="24"/>
        </w:rPr>
        <w:t xml:space="preserve">g that the model learned Andean hypoxia adaptation. The models were saved in .joblib files and run for free on Google Colab. This work will show how the country can improve medical screening, reducing childhood anemia and improving healthcare for children.</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3. Palabras Clave</w:t>
      </w:r>
      <w:r/>
    </w:p>
    <w:p>
      <w:pPr>
        <w:pStyle w:val="871"/>
        <w:pBdr/>
        <w:spacing w:line="480" w:lineRule="auto"/>
        <w:ind w:firstLine="720"/>
        <w:rPr/>
      </w:pPr>
      <w:r>
        <w:rPr>
          <w:rFonts w:ascii="Times New Roman" w:hAnsi="Times New Roman" w:cs="Times New Roman"/>
          <w:sz w:val="24"/>
          <w:szCs w:val="24"/>
        </w:rPr>
        <w:t xml:space="preserve">Palabras claves: anemia infantil, aprendizaje automático, microdatos ENDES, Random Forest, KNN, altitud geográfica, salud pública, triaje médico.</w:t>
      </w:r>
      <w:r/>
    </w:p>
    <w:p>
      <w:pPr>
        <w:pStyle w:val="871"/>
        <w:pBdr/>
        <w:spacing w:line="480" w:lineRule="auto"/>
        <w:ind w:firstLine="720"/>
        <w:rPr/>
      </w:pPr>
      <w:r>
        <w:rPr>
          <w:rFonts w:ascii="Times New Roman" w:hAnsi="Times New Roman" w:cs="Times New Roman"/>
          <w:sz w:val="24"/>
          <w:szCs w:val="24"/>
        </w:rPr>
        <w:t xml:space="preserve">Keywords: childhood anemia, machine learning, ENDES microdata, Random Forest, KNN, geographical altitude, public health, medical screening.</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4. Introducción</w:t>
      </w:r>
      <w:r/>
    </w:p>
    <w:p>
      <w:pPr>
        <w:pStyle w:val="871"/>
        <w:pBdr/>
        <w:spacing w:line="480" w:lineRule="auto"/>
        <w:ind w:firstLine="720"/>
        <w:rPr/>
      </w:pPr>
      <w:r>
        <w:rPr>
          <w:rFonts w:ascii="Times New Roman" w:hAnsi="Times New Roman" w:cs="Times New Roman"/>
          <w:sz w:val="24"/>
          <w:szCs w:val="24"/>
        </w:rPr>
        <w:t xml:space="preserve">La anemia infantil actualmente es un problema muy grave para el Perú ante la falta de especialistas y de centros equipados en el primer nivel de atención, afectando a miles de niños menores de tres años en su desarrollo físi</w:t>
      </w:r>
      <w:r>
        <w:rPr>
          <w:rFonts w:ascii="Times New Roman" w:hAnsi="Times New Roman" w:cs="Times New Roman"/>
          <w:sz w:val="24"/>
          <w:szCs w:val="24"/>
        </w:rPr>
        <w:t xml:space="preserve">co y mental. En el caso de los departamentos de la sierra como Puno o Huancavelica este problema es mucho peor, ya que la tasa de anemia llega a superar el 70% debido a la falta de oxígeno por la altitud y la falta de hematólogos en las postas médicas [1].</w:t>
      </w:r>
      <w:r/>
    </w:p>
    <w:p>
      <w:pPr>
        <w:pStyle w:val="871"/>
        <w:pBdr/>
        <w:spacing w:line="480" w:lineRule="auto"/>
        <w:ind w:firstLine="720"/>
        <w:rPr/>
      </w:pPr>
      <w:r>
        <w:rPr>
          <w:rFonts w:ascii="Times New Roman" w:hAnsi="Times New Roman" w:cs="Times New Roman"/>
          <w:sz w:val="24"/>
          <w:szCs w:val="24"/>
        </w:rPr>
        <w:t xml:space="preserve">En estos últimos años se ha visto que en las postas médicas rurales de categoría I-1 a I-3 los médicos recién egresados del SERUMS tienen que atender a muchos niños al día sin contar con laboratorios clínicos ni especialistas. Al medir la sang</w:t>
      </w:r>
      <w:r>
        <w:rPr>
          <w:rFonts w:ascii="Times New Roman" w:hAnsi="Times New Roman" w:cs="Times New Roman"/>
          <w:sz w:val="24"/>
          <w:szCs w:val="24"/>
        </w:rPr>
        <w:t xml:space="preserve">re usan el hemoglobinómetro portátil Hemocue, pero el problema viene al momento de sacar el cálculo: el médico tiene que buscar en tablas de papel desgastadas de la norma técnica del MINSA la altitud del pueblo para restar a mano los puntos de hemoglobina </w:t>
      </w:r>
      <w:r>
        <w:rPr>
          <w:rFonts w:ascii="Times New Roman" w:hAnsi="Times New Roman" w:cs="Times New Roman"/>
          <w:sz w:val="24"/>
          <w:szCs w:val="24"/>
        </w:rPr>
        <w:t xml:space="preserve">[5]. Con la cantidad de madres que esperan en la posta y el apuro de la consulta, hacer esa resta a mano provoca equivocaciones o demoras, haciendo que muchas madres se cansen de esperar y se vayan a sus casas sin recibir el sulfato ferroso para sus hijos.</w:t>
      </w:r>
      <w:r/>
    </w:p>
    <w:p>
      <w:pPr>
        <w:pStyle w:val="871"/>
        <w:pBdr/>
        <w:spacing w:line="480" w:lineRule="auto"/>
        <w:ind w:firstLine="720"/>
        <w:rPr/>
      </w:pPr>
      <w:r>
        <w:rPr>
          <w:rFonts w:ascii="Times New Roman" w:hAnsi="Times New Roman" w:cs="Times New Roman"/>
          <w:sz w:val="24"/>
          <w:szCs w:val="24"/>
        </w:rPr>
        <w:t xml:space="preserve">Este problema es muy peligroso porque en los primeros tres años de vida el cer</w:t>
      </w:r>
      <w:r>
        <w:rPr>
          <w:rFonts w:ascii="Times New Roman" w:hAnsi="Times New Roman" w:cs="Times New Roman"/>
          <w:sz w:val="24"/>
          <w:szCs w:val="24"/>
        </w:rPr>
        <w:t xml:space="preserve">ebro del niño está creciendo. Si le falta hierro en la sangre, el oxígeno no llega bien a las neuronas y se produce un daño que ya no se puede recuperar cuando el niño crece, afectando su aprendizaje y rendimiento escolar durante toda su infancia [2], [3].</w:t>
      </w:r>
      <w:r/>
    </w:p>
    <w:p>
      <w:pPr>
        <w:pStyle w:val="871"/>
        <w:pBdr/>
        <w:spacing w:line="480" w:lineRule="auto"/>
        <w:ind w:firstLine="720"/>
        <w:rPr/>
      </w:pPr>
      <w:r>
        <w:rPr>
          <w:rFonts w:ascii="Times New Roman" w:hAnsi="Times New Roman" w:cs="Times New Roman"/>
          <w:sz w:val="24"/>
          <w:szCs w:val="24"/>
        </w:rPr>
        <w:t xml:space="preserve">Aunque en otros países la inteligencia artificial se usa para diagnosticar anemia en hospitales grandes, esos modelos se hicieron con pacientes adultos en ciudades a ni</w:t>
      </w:r>
      <w:r>
        <w:rPr>
          <w:rFonts w:ascii="Times New Roman" w:hAnsi="Times New Roman" w:cs="Times New Roman"/>
          <w:sz w:val="24"/>
          <w:szCs w:val="24"/>
        </w:rPr>
        <w:t xml:space="preserve">vel del mar [2], [4]. No toman en cuenta la altitud geográfica que en nuestro país es obligatoria por la norma técnica del MINSA, ni están pensados para correr en las computadoras sencillas que tienen las postas médicas de nuestras provincias sin internet.</w:t>
      </w:r>
      <w:r/>
    </w:p>
    <w:p>
      <w:pPr>
        <w:pStyle w:val="871"/>
        <w:pBdr/>
        <w:spacing w:line="480" w:lineRule="auto"/>
        <w:ind w:firstLine="720"/>
        <w:rPr/>
      </w:pPr>
      <w:r>
        <w:rPr>
          <w:rFonts w:ascii="Times New Roman" w:hAnsi="Times New Roman" w:cs="Times New Roman"/>
          <w:sz w:val="24"/>
          <w:szCs w:val="24"/>
        </w:rPr>
        <w:t xml:space="preserve">El objetivo del estudio es desarrollar un sistema con modelos de aprendizaje automático (Random Forest y KNN) usando los microdatos oficiales de la ENDES 2023 del</w:t>
      </w:r>
      <w:r>
        <w:rPr>
          <w:rFonts w:ascii="Times New Roman" w:hAnsi="Times New Roman" w:cs="Times New Roman"/>
          <w:sz w:val="24"/>
          <w:szCs w:val="24"/>
        </w:rPr>
        <w:t xml:space="preserve"> INEI [9]. Con una mejora implementando estos algoritmos podremos agilizar el triaje médico y diagnosticar a tiempo sin depender de laboratorios lejanos, dando una respuesta certera en menos de un segundo sin cometer errores de cálculo y sin fuga de datos.</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5. Situación Problemática</w:t>
      </w:r>
      <w:r/>
    </w:p>
    <w:p>
      <w:pPr>
        <w:pStyle w:val="871"/>
        <w:pBdr/>
        <w:spacing w:line="480" w:lineRule="auto"/>
        <w:ind w:firstLine="720"/>
        <w:rPr/>
      </w:pPr>
      <w:r>
        <w:rPr>
          <w:rFonts w:ascii="Times New Roman" w:hAnsi="Times New Roman" w:cs="Times New Roman"/>
          <w:sz w:val="24"/>
          <w:szCs w:val="24"/>
        </w:rPr>
        <w:t xml:space="preserve">Para entender la situación de la anemia infantil en el Perú, según la data oficial de la ENDES 2023 del INEI se tiene que el 43.6% de los niños menores de</w:t>
      </w:r>
      <w:r>
        <w:rPr>
          <w:rFonts w:ascii="Times New Roman" w:hAnsi="Times New Roman" w:cs="Times New Roman"/>
          <w:sz w:val="24"/>
          <w:szCs w:val="24"/>
        </w:rPr>
        <w:t xml:space="preserve"> tres años sufren de esta enfermedad a nivel nacional [1]. Esto nos indica que casi la mitad de los niños peruanos andan con deficiencia de hierro en la sangre, perjudicando su crecimiento físico y el desarrollo de su cerebro en una etapa clave de su vida.</w:t>
      </w:r>
      <w:r/>
    </w:p>
    <w:p>
      <w:pPr>
        <w:pStyle w:val="871"/>
        <w:pBdr/>
        <w:spacing w:line="480" w:lineRule="auto"/>
        <w:ind w:firstLine="720"/>
        <w:rPr/>
      </w:pPr>
      <w:r>
        <w:rPr>
          <w:rFonts w:ascii="Times New Roman" w:hAnsi="Times New Roman" w:cs="Times New Roman"/>
          <w:sz w:val="24"/>
          <w:szCs w:val="24"/>
        </w:rPr>
        <w:t xml:space="preserve">En las regiones de la sierra y el altipl</w:t>
      </w:r>
      <w:r>
        <w:rPr>
          <w:rFonts w:ascii="Times New Roman" w:hAnsi="Times New Roman" w:cs="Times New Roman"/>
          <w:sz w:val="24"/>
          <w:szCs w:val="24"/>
        </w:rPr>
        <w:t xml:space="preserve">ano la situación es mucho más complicada. En departamentos como Puno la tasa de anemia llega a superar el 70%, y en Huancavelica o Cusco se mantiene sobre el 60% [1]. En las postas médicas I-1 a I-3 casi siempre atienden médicos o enfermeros que recién hac</w:t>
      </w:r>
      <w:r>
        <w:rPr>
          <w:rFonts w:ascii="Times New Roman" w:hAnsi="Times New Roman" w:cs="Times New Roman"/>
          <w:sz w:val="24"/>
          <w:szCs w:val="24"/>
        </w:rPr>
        <w:t xml:space="preserve">en su año de SERUMS, y al no contar con laboratorios clínicos dependen únicamente del hemoglobinómetro portátil Hemocue. Al medir la gota de sangre del niño, el médico busca en tablas de papel del MINSA la altitud del pueblo para restar a mano el ajuste de</w:t>
      </w:r>
      <w:r>
        <w:rPr>
          <w:rFonts w:ascii="Times New Roman" w:hAnsi="Times New Roman" w:cs="Times New Roman"/>
          <w:sz w:val="24"/>
          <w:szCs w:val="24"/>
        </w:rPr>
        <w:t xml:space="preserve"> hemoglobina. Con tantas madres que esperan en la posta y el poco tiempo por consulta, hacer ese cálculo a mano en papel genera demoras y equivocaciones, provocando que varias madres se cansen de esperar y se vayan sin recibir las gotas de sulfato ferroso.</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6. Identificación y Formulación del Problema</w:t>
      </w:r>
      <w:r/>
    </w:p>
    <w:p>
      <w:pPr>
        <w:pStyle w:val="871"/>
        <w:pBdr/>
        <w:spacing w:line="480" w:lineRule="auto"/>
        <w:ind w:firstLine="720"/>
        <w:rPr/>
      </w:pPr>
      <w:r>
        <w:rPr>
          <w:rFonts w:ascii="Times New Roman" w:hAnsi="Times New Roman" w:cs="Times New Roman"/>
          <w:sz w:val="24"/>
          <w:szCs w:val="24"/>
        </w:rPr>
        <w:t xml:space="preserve">Con la revisión de la realidad en las postas médicas del país se dio a entender las causas y consecuencias que existen en torno al tamizaje de anemia infantil:</w:t>
      </w:r>
      <w:r/>
    </w:p>
    <w:p>
      <w:pPr>
        <w:pStyle w:val="871"/>
        <w:pBdr/>
        <w:spacing w:line="480" w:lineRule="auto"/>
        <w:ind w:firstLine="720"/>
        <w:rPr/>
      </w:pPr>
      <w:r>
        <w:rPr>
          <w:rFonts w:ascii="Times New Roman" w:hAnsi="Times New Roman" w:cs="Times New Roman"/>
          <w:sz w:val="24"/>
          <w:szCs w:val="24"/>
        </w:rPr>
        <w:t xml:space="preserve">- Problema general: Las demoras que existen para dar el diagnóstico a tiempo, el peligro de equivocarse al calcular la anemia manualmente y la falta de un sistema automatizado en los centros de salud de atención primaria en el Perú.</w:t>
      </w:r>
      <w:r/>
    </w:p>
    <w:p>
      <w:pPr>
        <w:pStyle w:val="871"/>
        <w:pBdr/>
        <w:spacing w:line="480" w:lineRule="auto"/>
        <w:ind w:firstLine="720"/>
        <w:rPr/>
      </w:pPr>
      <w:r>
        <w:rPr>
          <w:rFonts w:ascii="Times New Roman" w:hAnsi="Times New Roman" w:cs="Times New Roman"/>
          <w:sz w:val="24"/>
          <w:szCs w:val="24"/>
        </w:rPr>
        <w:t xml:space="preserve">- Causas principales: La falta de laboratorios clínicos y hematólogos en p</w:t>
      </w:r>
      <w:r>
        <w:rPr>
          <w:rFonts w:ascii="Times New Roman" w:hAnsi="Times New Roman" w:cs="Times New Roman"/>
          <w:sz w:val="24"/>
          <w:szCs w:val="24"/>
        </w:rPr>
        <w:t xml:space="preserve">ostas rurales I-1 a I-3, la lectura manual y apurada de tablas de altitud en papel, la rotación anual de médicos SERUMS que no llegan a consolidar experiencia y tener que esperar entre 4 y 7 días a que el hospital provincial mande los resultados de sangre.</w:t>
      </w:r>
      <w:r/>
    </w:p>
    <w:p>
      <w:pPr>
        <w:pStyle w:val="871"/>
        <w:pBdr/>
        <w:spacing w:line="480" w:lineRule="auto"/>
        <w:ind w:firstLine="720"/>
        <w:rPr/>
      </w:pPr>
      <w:r>
        <w:rPr>
          <w:rFonts w:ascii="Times New Roman" w:hAnsi="Times New Roman" w:cs="Times New Roman"/>
          <w:sz w:val="24"/>
          <w:szCs w:val="24"/>
        </w:rPr>
        <w:t xml:space="preserve">- Efectos directos: Inicio tardío del tratamiento con gotas de sulfato ferroso, daño en el desarrollo cerebral y psicomotor que ya no se puede recuperar cuando el niño crece, y bajo rendimiento escolar durante toda su etapa de formación.</w:t>
      </w:r>
      <w:r/>
    </w:p>
    <w:p>
      <w:pPr>
        <w:pStyle w:val="871"/>
        <w:pBdr/>
        <w:spacing w:line="480" w:lineRule="auto"/>
        <w:ind w:firstLine="720"/>
        <w:rPr/>
      </w:pPr>
      <w:r>
        <w:rPr>
          <w:rFonts w:ascii="Times New Roman" w:hAnsi="Times New Roman" w:cs="Times New Roman"/>
          <w:sz w:val="24"/>
          <w:szCs w:val="24"/>
        </w:rPr>
        <w:t xml:space="preserve">- Datos reales: Una tasa nacional del 43.6% de infantes anémicos según el INEI, llegando a picos mayores al 70% en el departamento de Puno, y demoras de casi una semana en zonas rurales para confirmar un resultado.</w:t>
      </w:r>
      <w:r/>
    </w:p>
    <w:p>
      <w:pPr>
        <w:pStyle w:val="871"/>
        <w:pBdr/>
        <w:spacing w:line="480" w:lineRule="auto"/>
        <w:ind w:firstLine="720"/>
        <w:rPr/>
      </w:pPr>
      <w:r>
        <w:rPr>
          <w:rFonts w:ascii="Times New Roman" w:hAnsi="Times New Roman" w:cs="Times New Roman"/>
          <w:sz w:val="24"/>
          <w:szCs w:val="24"/>
        </w:rPr>
        <w:t xml:space="preserve">- Necesidad de la solución: Implementar un software ligero, fácil de utilizar y entrenado con datos reales peruanos de la ENDES, que sea capaz de procesar la altitud y la hemoglobina para dar una respuesta certera en menos de un segundo.</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7. Pregunta de Investigación</w:t>
      </w:r>
      <w:r/>
    </w:p>
    <w:p>
      <w:pPr>
        <w:pStyle w:val="871"/>
        <w:pBdr/>
        <w:spacing w:line="480" w:lineRule="auto"/>
        <w:ind w:firstLine="720"/>
        <w:rPr/>
      </w:pPr>
      <w:r>
        <w:rPr>
          <w:rFonts w:ascii="Times New Roman" w:hAnsi="Times New Roman" w:cs="Times New Roman"/>
          <w:sz w:val="24"/>
          <w:szCs w:val="24"/>
        </w:rPr>
        <w:t xml:space="preserve">Viendo las problemáticas y demoras que ocurren en las postas de salud cuando estos cálculos se realizan de forma manual y susceptibles al fallo humano , por consecuencia formulé  la siguiente pregunta:</w:t>
      </w:r>
      <w:r/>
    </w:p>
    <w:p>
      <w:pPr>
        <w:pStyle w:val="871"/>
        <w:pBdr/>
        <w:spacing w:line="480" w:lineRule="auto"/>
        <w:ind w:firstLine="720"/>
        <w:rPr/>
      </w:pPr>
      <w:r>
        <w:rPr>
          <w:rFonts w:ascii="Times New Roman" w:hAnsi="Times New Roman" w:cs="Times New Roman"/>
          <w:sz w:val="24"/>
          <w:szCs w:val="24"/>
        </w:rPr>
        <w:t xml:space="preserve">¿De qué manera los modelos de aprendizaje como Random Forest y KNN entrenados con la data oficial del INEI en la encuesta ENDES, permiten una mejora del tiempo de respuesta y la precisión del descarte de anemia infantil frente al cálculo manual en postas?</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8. Objetivos</w:t>
      </w:r>
      <w:r/>
    </w:p>
    <w:p>
      <w:pPr>
        <w:pStyle w:val="871"/>
        <w:pBdr/>
        <w:spacing w:line="480" w:lineRule="auto"/>
        <w:ind w:firstLine="720"/>
        <w:rPr/>
      </w:pPr>
      <w:r>
        <w:rPr>
          <w:rFonts w:ascii="Times New Roman" w:hAnsi="Times New Roman" w:cs="Times New Roman"/>
          <w:sz w:val="24"/>
          <w:szCs w:val="24"/>
        </w:rPr>
        <w:t xml:space="preserve">El objetivo de este estudio es el desarrollo  e implementaci</w:t>
      </w:r>
      <w:r>
        <w:rPr>
          <w:rFonts w:ascii="Times New Roman" w:hAnsi="Times New Roman" w:cs="Times New Roman"/>
          <w:sz w:val="24"/>
          <w:szCs w:val="24"/>
        </w:rPr>
        <w:t xml:space="preserve">ón de un sistema basado en los modelos que elegí Random Forest y KNN usando la data oficial de la ENDES 2023 del INEI, para poder detectar a tiempo la anemia infantil y brindar una herramienta rápida y ligera que ayude a los médicos  en la consulta diaria.</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8.1. Objetivos Específicos</w:t>
      </w:r>
      <w:r/>
    </w:p>
    <w:p>
      <w:pPr>
        <w:pStyle w:val="871"/>
        <w:pBdr/>
        <w:spacing w:line="480" w:lineRule="auto"/>
        <w:ind w:firstLine="720"/>
        <w:rPr/>
      </w:pPr>
      <w:r>
        <w:rPr>
          <w:rFonts w:ascii="Times New Roman" w:hAnsi="Times New Roman" w:cs="Times New Roman"/>
          <w:sz w:val="24"/>
          <w:szCs w:val="24"/>
        </w:rPr>
        <w:t xml:space="preserve">- OE1: Procesar los 10,340 registros del dataset  y examinar las características para identificar cómo cambia la hemoglobina con la altitud en las distintas regiónes del Perú.</w:t>
      </w:r>
      <w:r/>
    </w:p>
    <w:p>
      <w:pPr>
        <w:pStyle w:val="871"/>
        <w:pBdr/>
        <w:spacing w:line="480" w:lineRule="auto"/>
        <w:ind w:firstLine="720"/>
        <w:rPr/>
      </w:pPr>
      <w:r>
        <w:rPr>
          <w:rFonts w:ascii="Times New Roman" w:hAnsi="Times New Roman" w:cs="Times New Roman"/>
          <w:sz w:val="24"/>
          <w:szCs w:val="24"/>
        </w:rPr>
        <w:t xml:space="preserve">- OE2: Hacer una limpieza de datos y estandarizar usando StandarScaler solo con el set de entrenamiento, para evitar datos inflados y la fuga.</w:t>
      </w:r>
      <w:r/>
    </w:p>
    <w:p>
      <w:pPr>
        <w:pStyle w:val="871"/>
        <w:pBdr/>
        <w:spacing w:line="480" w:lineRule="auto"/>
        <w:ind w:firstLine="720"/>
        <w:rPr/>
      </w:pPr>
      <w:r>
        <w:rPr>
          <w:rFonts w:ascii="Times New Roman" w:hAnsi="Times New Roman" w:cs="Times New Roman"/>
          <w:sz w:val="24"/>
          <w:szCs w:val="24"/>
        </w:rPr>
        <w:t xml:space="preserve">- OE3: Implementar y entrenar el modelo Random Forest con 100 árboles  y el algoritmo KNN ajustando sus vecinos en k=17, para poder contrastar su rendimiento de cada uno</w:t>
      </w:r>
      <w:r/>
    </w:p>
    <w:p>
      <w:pPr>
        <w:pStyle w:val="871"/>
        <w:pBdr/>
        <w:spacing w:line="480" w:lineRule="auto"/>
        <w:ind w:firstLine="720"/>
        <w:rPr/>
      </w:pPr>
      <w:r>
        <w:rPr>
          <w:rFonts w:ascii="Times New Roman" w:hAnsi="Times New Roman" w:cs="Times New Roman"/>
          <w:sz w:val="24"/>
          <w:szCs w:val="24"/>
        </w:rPr>
        <w:t xml:space="preserve">- OE4: Medir el rendimiento con una prueba de 2,068 niños y mediante validación cruzada de 5 pliegues, priorizando métricas clínicas como el recall y la exactitud para no dejar pasar casos positivos.</w:t>
      </w:r>
      <w:r/>
    </w:p>
    <w:p>
      <w:pPr>
        <w:pStyle w:val="871"/>
        <w:pBdr/>
        <w:spacing w:line="480" w:lineRule="auto"/>
        <w:ind w:firstLine="720"/>
        <w:rPr/>
      </w:pPr>
      <w:r>
        <w:rPr>
          <w:rFonts w:ascii="Times New Roman" w:hAnsi="Times New Roman" w:cs="Times New Roman"/>
          <w:sz w:val="24"/>
          <w:szCs w:val="24"/>
        </w:rPr>
        <w:t xml:space="preserve">- OE5: Calcular variables importantes como el índice de Gini y exportar los modelos finales para poder usarlo en Google Colab.</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9. Justificación</w:t>
      </w:r>
      <w:r/>
    </w:p>
    <w:p>
      <w:pPr>
        <w:pStyle w:val="871"/>
        <w:pBdr/>
        <w:spacing w:line="480" w:lineRule="auto"/>
        <w:ind w:firstLine="720"/>
        <w:rPr/>
      </w:pPr>
      <w:r>
        <w:rPr>
          <w:rFonts w:ascii="Times New Roman" w:hAnsi="Times New Roman" w:cs="Times New Roman"/>
          <w:sz w:val="24"/>
          <w:szCs w:val="24"/>
        </w:rPr>
        <w:t xml:space="preserve">Para la justificación de este estudio en el trabajo asistencial del día a día, esto ayuda directamente al personal de salud en primera línea, como los médicos y enfermeros de todas partes del Perú. A</w:t>
      </w:r>
      <w:r>
        <w:rPr>
          <w:rFonts w:ascii="Times New Roman" w:hAnsi="Times New Roman" w:cs="Times New Roman"/>
          <w:sz w:val="24"/>
          <w:szCs w:val="24"/>
        </w:rPr>
        <w:t xml:space="preserve">l implementar  este software en las computadora de las distintas postas, solo se ingresan los datos que midieron con el Hemocue y la altitud del pueblo, y en menos de un segundo se obtiene el diagnóstico para la pronta atención del menor y pueda atenderse.</w:t>
      </w:r>
      <w:r/>
    </w:p>
    <w:p>
      <w:pPr>
        <w:pStyle w:val="871"/>
        <w:pBdr/>
        <w:spacing w:line="480" w:lineRule="auto"/>
        <w:ind w:firstLine="720"/>
        <w:rPr/>
      </w:pPr>
      <w:r>
        <w:rPr>
          <w:rFonts w:ascii="Times New Roman" w:hAnsi="Times New Roman" w:cs="Times New Roman"/>
          <w:sz w:val="24"/>
          <w:szCs w:val="24"/>
        </w:rPr>
        <w:t xml:space="preserve">En el apartado tecnológico, se pudo clasificar la anemia infantil con tan solo siete variables clínic</w:t>
      </w:r>
      <w:r>
        <w:rPr>
          <w:rFonts w:ascii="Times New Roman" w:hAnsi="Times New Roman" w:cs="Times New Roman"/>
          <w:sz w:val="24"/>
          <w:szCs w:val="24"/>
        </w:rPr>
        <w:t xml:space="preserve">as no se necesitaron gastar en servidores caros ni en redes neuronales complejas. Los modelos clásicos como Random Forest y KNN pesan tan solo dos megabytes, pueden ejecutarse en cualquier computadora que tengan en la posta médica y funcionan de inmediato.</w:t>
      </w:r>
      <w:r/>
    </w:p>
    <w:p>
      <w:pPr>
        <w:pStyle w:val="871"/>
        <w:pBdr/>
        <w:spacing w:line="480" w:lineRule="auto"/>
        <w:ind w:firstLine="720"/>
        <w:rPr/>
      </w:pPr>
      <w:r>
        <w:rPr>
          <w:rFonts w:ascii="Times New Roman" w:hAnsi="Times New Roman" w:cs="Times New Roman"/>
          <w:sz w:val="24"/>
          <w:szCs w:val="24"/>
        </w:rPr>
        <w:t xml:space="preserve">En cuanto a la justificación científica, el trabajo demuestra como los árboles de decisión aprenden la relación fisiológica entre la altitud y la hem</w:t>
      </w:r>
      <w:r>
        <w:rPr>
          <w:rFonts w:ascii="Times New Roman" w:hAnsi="Times New Roman" w:cs="Times New Roman"/>
          <w:sz w:val="24"/>
          <w:szCs w:val="24"/>
        </w:rPr>
        <w:t xml:space="preserve">oglobina. Al revisar la importancia de características con el criterio de Gini, vimos que la altitud tiene un rol fundamental de  7.12% en la decisión, lo que coincide con las normas del MINSA y de la OMS sobre la falta de oxígeno en las zonas altoandinas.</w:t>
      </w:r>
      <w:r/>
    </w:p>
    <w:p>
      <w:pPr>
        <w:pStyle w:val="871"/>
        <w:pBdr/>
        <w:spacing w:line="480" w:lineRule="auto"/>
        <w:ind w:firstLine="720"/>
        <w:rPr/>
      </w:pPr>
      <w:r>
        <w:rPr>
          <w:rFonts w:ascii="Times New Roman" w:hAnsi="Times New Roman" w:cs="Times New Roman"/>
          <w:sz w:val="24"/>
          <w:szCs w:val="24"/>
        </w:rPr>
        <w:t xml:space="preserve">En el apartado metodológico, se usaron  las buenas prácticas de la ciencia de datos, usa</w:t>
      </w:r>
      <w:r>
        <w:rPr>
          <w:rFonts w:ascii="Times New Roman" w:hAnsi="Times New Roman" w:cs="Times New Roman"/>
          <w:sz w:val="24"/>
          <w:szCs w:val="24"/>
        </w:rPr>
        <w:t xml:space="preserve">ndo semillas como random_state=42, aislando el escalador StandardScaler para evitar datos inflados, y ordenando todo el flujo del trabajo en un cuaderno de Google Colab abierto para que cualquier estudiante o docente verifique o replique lo que se realizó.</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10. Antecedentes y Estado del Arte</w:t>
      </w:r>
      <w:r/>
    </w:p>
    <w:p>
      <w:pPr>
        <w:pStyle w:val="871"/>
        <w:pBdr/>
        <w:spacing w:line="480" w:lineRule="auto"/>
        <w:ind w:firstLine="720"/>
        <w:rPr/>
      </w:pPr>
      <w:r>
        <w:rPr>
          <w:rFonts w:ascii="Times New Roman" w:hAnsi="Times New Roman" w:cs="Times New Roman"/>
          <w:sz w:val="24"/>
          <w:szCs w:val="24"/>
        </w:rPr>
        <w:t xml:space="preserve">Con la revisión de literatura de estos últimos años (2021 a 2026) se revisaron antecedentes en IEEE Xplore y Scopus sobre aprendizaje automático y diagnóstico de anemia para ver cómo se ha venido trabajando anteriormente:</w:t>
      </w:r>
      <w:r/>
    </w:p>
    <w:p>
      <w:pPr>
        <w:pStyle w:val="871"/>
        <w:pBdr/>
        <w:spacing w:line="480" w:lineRule="auto"/>
        <w:ind w:firstLine="720"/>
        <w:rPr/>
      </w:pPr>
      <w:r>
        <w:rPr>
          <w:rFonts w:ascii="Times New Roman" w:hAnsi="Times New Roman" w:cs="Times New Roman"/>
          <w:sz w:val="24"/>
          <w:szCs w:val="24"/>
        </w:rPr>
        <w:t xml:space="preserve">Al-Waisy et al. (2023) [2] desarrollaron un sistema de soporte a la decisión médica para diag</w:t>
      </w:r>
      <w:r>
        <w:rPr>
          <w:rFonts w:ascii="Times New Roman" w:hAnsi="Times New Roman" w:cs="Times New Roman"/>
          <w:sz w:val="24"/>
          <w:szCs w:val="24"/>
        </w:rPr>
        <w:t xml:space="preserve">nosticar anemia en entornos hospitalarios, alcanzando más del 95% de exactitud. Sin embargo, su estudio se realizó con pacientes adultos en ciudades a nivel del mar, sin tomar en cuenta el ajuste por altitud geográfica que en nuestro país es indispensable.</w:t>
      </w:r>
      <w:r/>
    </w:p>
    <w:p>
      <w:pPr>
        <w:pStyle w:val="871"/>
        <w:pBdr/>
        <w:spacing w:line="480" w:lineRule="auto"/>
        <w:ind w:firstLine="720"/>
        <w:rPr/>
      </w:pPr>
      <w:r>
        <w:rPr>
          <w:rFonts w:ascii="Times New Roman" w:hAnsi="Times New Roman" w:cs="Times New Roman"/>
          <w:sz w:val="24"/>
          <w:szCs w:val="24"/>
        </w:rPr>
        <w:t xml:space="preserve">Munisamy y Rajendran (2023</w:t>
      </w:r>
      <w:r>
        <w:rPr>
          <w:rFonts w:ascii="Times New Roman" w:hAnsi="Times New Roman" w:cs="Times New Roman"/>
          <w:sz w:val="24"/>
          <w:szCs w:val="24"/>
        </w:rPr>
        <w:t xml:space="preserve">) [3] aplicaron el algoritmo Random Forest para predecir anemia y evaluaron la importancia de variables con el índice de Gini, demostrando que los árboles de decisión son ideales para datos clínicos tabulares por su buena resistencia frente al sobreajuste.</w:t>
      </w:r>
      <w:r/>
    </w:p>
    <w:p>
      <w:pPr>
        <w:pStyle w:val="871"/>
        <w:pBdr/>
        <w:spacing w:line="480" w:lineRule="auto"/>
        <w:ind w:firstLine="720"/>
        <w:rPr/>
      </w:pPr>
      <w:r>
        <w:rPr>
          <w:rFonts w:ascii="Times New Roman" w:hAnsi="Times New Roman" w:cs="Times New Roman"/>
          <w:sz w:val="24"/>
          <w:szCs w:val="24"/>
        </w:rPr>
        <w:t xml:space="preserve">Sharma, Gupta y Kumar (2022) [4] realizaron una comparación entre el algoritmo KNN y clasificadores de ensamble en datos médicos, concluyendo que Random Forest supera consistentemente a KNN cuando existen datos con ruido o desbalance de clases.</w:t>
      </w:r>
      <w:r/>
    </w:p>
    <w:p>
      <w:pPr>
        <w:pStyle w:val="871"/>
        <w:pBdr/>
        <w:spacing w:line="480" w:lineRule="auto"/>
        <w:ind w:firstLine="720"/>
        <w:rPr/>
      </w:pPr>
      <w:r>
        <w:rPr>
          <w:rFonts w:ascii="Times New Roman" w:hAnsi="Times New Roman" w:cs="Times New Roman"/>
          <w:sz w:val="24"/>
          <w:szCs w:val="24"/>
        </w:rPr>
        <w:t xml:space="preserve">Gonzalez, Mendoza y Vera (2023) [6] investigaron cómo influye</w:t>
      </w:r>
      <w:r>
        <w:rPr>
          <w:rFonts w:ascii="Times New Roman" w:hAnsi="Times New Roman" w:cs="Times New Roman"/>
          <w:sz w:val="24"/>
          <w:szCs w:val="24"/>
        </w:rPr>
        <w:t xml:space="preserve"> la altitud sobre la hemoglobina en niños de los Andes peruanos, demostrando que si no se corrige el valor de sangre por los metros sobre el nivel del mar se puede cometer hasta un 35% de falsos diagnósticos en poblaciones que viven sobre los 3,000 metros.</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11. Marco Conceptual</w:t>
      </w:r>
      <w:r/>
    </w:p>
    <w:p>
      <w:pPr>
        <w:pStyle w:val="871"/>
        <w:pBdr/>
        <w:spacing w:line="480" w:lineRule="auto"/>
        <w:ind w:firstLine="720"/>
        <w:rPr/>
      </w:pPr>
      <w:r>
        <w:rPr>
          <w:rFonts w:ascii="Times New Roman" w:hAnsi="Times New Roman" w:cs="Times New Roman"/>
          <w:sz w:val="24"/>
          <w:szCs w:val="24"/>
        </w:rPr>
        <w:t xml:space="preserve">Para entender bien cómo se desarrolló este proyecto y cómo funcionan los modelos de inteligencia artificial que elegí, se explicarán conceptos principales que se tomaron en cuenta:</w:t>
      </w:r>
      <w:r/>
    </w:p>
    <w:p>
      <w:pPr>
        <w:pStyle w:val="871"/>
        <w:pBdr/>
        <w:spacing w:line="480" w:lineRule="auto"/>
        <w:ind w:firstLine="720"/>
        <w:rPr/>
      </w:pPr>
      <w:r>
        <w:rPr>
          <w:rFonts w:ascii="Times New Roman" w:hAnsi="Times New Roman" w:cs="Times New Roman"/>
          <w:sz w:val="24"/>
          <w:szCs w:val="24"/>
        </w:rPr>
        <w:t xml:space="preserve">Aprendizaje automático: En la salud, usar machine learning permite a</w:t>
      </w:r>
      <w:r>
        <w:rPr>
          <w:rFonts w:ascii="Times New Roman" w:hAnsi="Times New Roman" w:cs="Times New Roman"/>
          <w:sz w:val="24"/>
          <w:szCs w:val="24"/>
        </w:rPr>
        <w:t xml:space="preserve">prender directamente de los datos reales de los pacientes en vez de usar reglas fijas. El algoritmo revisa la hemoglobina, la altitud, la edad y el peso, para aprender a distinguir cuándo un niño tiene anemia  y evitando los fallos derivados del cansancio.</w:t>
      </w:r>
      <w:r/>
    </w:p>
    <w:p>
      <w:pPr>
        <w:pStyle w:val="871"/>
        <w:pBdr/>
        <w:spacing w:line="480" w:lineRule="auto"/>
        <w:ind w:firstLine="720"/>
        <w:rPr/>
      </w:pPr>
      <w:r>
        <w:rPr>
          <w:rFonts w:ascii="Times New Roman" w:hAnsi="Times New Roman" w:cs="Times New Roman"/>
          <w:sz w:val="24"/>
          <w:szCs w:val="24"/>
        </w:rPr>
        <w:t xml:space="preserve">Random Forest: Este algoritmo fue nuestro modelo principal. Y como funciona, pues se arman 100 árboles de decisión que votan entre</w:t>
      </w:r>
      <w:r>
        <w:rPr>
          <w:rFonts w:ascii="Times New Roman" w:hAnsi="Times New Roman" w:cs="Times New Roman"/>
          <w:sz w:val="24"/>
          <w:szCs w:val="24"/>
        </w:rPr>
        <w:t xml:space="preserve"> sí. Cada árbol se entrena con diferentes niños y variables, y al final gana la decisión con la mayoría de votos. Es muy practico para  este proyecto porque no se confunde con los datos ruidosos  y aprende muy bien cómo cambia la hemoglobina con la altura.</w:t>
      </w:r>
      <w:r/>
    </w:p>
    <w:p>
      <w:pPr>
        <w:pStyle w:val="871"/>
        <w:pBdr/>
        <w:spacing w:line="480" w:lineRule="auto"/>
        <w:ind w:firstLine="720"/>
        <w:rPr/>
      </w:pPr>
      <w:r>
        <w:rPr>
          <w:rFonts w:ascii="Times New Roman" w:hAnsi="Times New Roman" w:cs="Times New Roman"/>
          <w:sz w:val="24"/>
          <w:szCs w:val="24"/>
        </w:rPr>
        <w:t xml:space="preserve">KN</w:t>
      </w:r>
      <w:r>
        <w:rPr>
          <w:rFonts w:ascii="Times New Roman" w:hAnsi="Times New Roman" w:cs="Times New Roman"/>
          <w:sz w:val="24"/>
          <w:szCs w:val="24"/>
        </w:rPr>
        <w:t xml:space="preserve">N (K-Nearest Neighbors): Es uno de mis modelos favoritos  que clasifica por cercanía geométrica. Al ingresar un niño a la posta, busca a los 17 niños más cercanos en la base de datos; si la mayoría de ellos tiene anemia, clasifica al nuevo niño con anemia.</w:t>
      </w:r>
      <w:r/>
    </w:p>
    <w:p>
      <w:pPr>
        <w:pStyle w:val="871"/>
        <w:pBdr/>
        <w:spacing w:line="480" w:lineRule="auto"/>
        <w:ind w:firstLine="720"/>
        <w:rPr/>
      </w:pPr>
      <w:r>
        <w:rPr>
          <w:rFonts w:ascii="Times New Roman" w:hAnsi="Times New Roman" w:cs="Times New Roman"/>
          <w:sz w:val="24"/>
          <w:szCs w:val="24"/>
        </w:rPr>
        <w:t xml:space="preserve">Fuga de información (Data Leakage): Es uno de los errores en la inteligencia artificial. Pasa cuando se normalizan los</w:t>
      </w:r>
      <w:r>
        <w:rPr>
          <w:rFonts w:ascii="Times New Roman" w:hAnsi="Times New Roman" w:cs="Times New Roman"/>
          <w:sz w:val="24"/>
          <w:szCs w:val="24"/>
        </w:rPr>
        <w:t xml:space="preserve"> datos antes de hacer la partición entre entrenamiento y prueba. Si se comete este error, el modelo ya conoce datos de la prueba de forma oculta y saca métricas perfectas en la computadora, pero cuando sale del laboratorio y se pone en práctica este falla.</w:t>
      </w:r>
      <w:r/>
    </w:p>
    <w:p>
      <w:pPr>
        <w:pStyle w:val="871"/>
        <w:pBdr/>
        <w:spacing w:line="480" w:lineRule="auto"/>
        <w:ind w:firstLine="720"/>
        <w:rPr/>
      </w:pPr>
      <w:r>
        <w:rPr>
          <w:rFonts w:ascii="Times New Roman" w:hAnsi="Times New Roman" w:cs="Times New Roman"/>
          <w:sz w:val="24"/>
          <w:szCs w:val="24"/>
        </w:rPr>
        <w:t xml:space="preserve">Ajuste por altitud y norma técnica del MINSA: En la sierra peruana hay menos oxígeno por la altura, y el cuerpo del niño produce más glóbulos rojos para compens</w:t>
      </w:r>
      <w:r>
        <w:rPr>
          <w:rFonts w:ascii="Times New Roman" w:hAnsi="Times New Roman" w:cs="Times New Roman"/>
          <w:sz w:val="24"/>
          <w:szCs w:val="24"/>
        </w:rPr>
        <w:t xml:space="preserve">ar. Por eso un niño en Puno  es diferente a las otras regiones porque necesita más hemoglobina que un niño en Lima para estar sano. La norma NTS N° 134-MINSA exige restar un factor según los metros sobre el nivel del mar antes de dar el diagnóstico médico.</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12. Metodología de Investigación</w:t>
      </w:r>
      <w:r/>
    </w:p>
    <w:p>
      <w:pPr>
        <w:pStyle w:val="871"/>
        <w:pBdr/>
        <w:spacing w:line="480" w:lineRule="auto"/>
        <w:ind w:firstLine="720"/>
        <w:rPr/>
      </w:pPr>
      <w:r>
        <w:rPr>
          <w:rFonts w:ascii="Times New Roman" w:hAnsi="Times New Roman" w:cs="Times New Roman"/>
          <w:sz w:val="24"/>
          <w:szCs w:val="24"/>
        </w:rPr>
        <w:t xml:space="preserve">Se optó por un enfoque experimental y explicativo para ver cómo los modelos de Random Forest y KNN  puede ayudar con la detección rápida de la anemia utilizando la data oficial del INEI</w:t>
      </w:r>
      <w:r/>
    </w:p>
    <w:p>
      <w:pPr>
        <w:pStyle w:val="871"/>
        <w:pBdr/>
        <w:spacing w:line="480" w:lineRule="auto"/>
        <w:ind w:firstLine="720"/>
        <w:rPr/>
      </w:pPr>
      <w:r>
        <w:rPr>
          <w:rFonts w:ascii="Times New Roman" w:hAnsi="Times New Roman" w:cs="Times New Roman"/>
          <w:sz w:val="24"/>
          <w:szCs w:val="24"/>
        </w:rPr>
        <w:t xml:space="preserve">El diseño de tipo experimental,  se implementó todo el flujo en un entorno controlado evaluando con métricas como recall, exactitud y curvas ROC para verificar si los modelos superan a un clasificador Dummy de referencia.</w:t>
      </w:r>
      <w:r/>
    </w:p>
    <w:p>
      <w:pPr>
        <w:pStyle w:val="871"/>
        <w:pBdr/>
        <w:spacing w:line="480" w:lineRule="auto"/>
        <w:ind w:firstLine="720"/>
        <w:rPr/>
      </w:pPr>
      <w:r>
        <w:rPr>
          <w:rFonts w:ascii="Times New Roman" w:hAnsi="Times New Roman" w:cs="Times New Roman"/>
          <w:sz w:val="24"/>
          <w:szCs w:val="24"/>
        </w:rPr>
        <w:t xml:space="preserve">Población: Infantes menores de tres años censados en la encuesta ENDES 2023 del INEI a nivel nacional.</w:t>
      </w:r>
      <w:r/>
    </w:p>
    <w:p>
      <w:pPr>
        <w:pStyle w:val="871"/>
        <w:pBdr/>
        <w:spacing w:line="480" w:lineRule="auto"/>
        <w:ind w:firstLine="720"/>
        <w:rPr/>
      </w:pPr>
      <w:r>
        <w:rPr>
          <w:rFonts w:ascii="Times New Roman" w:hAnsi="Times New Roman" w:cs="Times New Roman"/>
          <w:sz w:val="24"/>
          <w:szCs w:val="24"/>
        </w:rPr>
        <w:t xml:space="preserve">Muestra: Filtro probabilístico de 10,340 registros de infantes de 6 a 35 meses de edad en los departamentos del Perú, que tenían la medición de hemoglobina y la altitud registrada.</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Matriz de Trazabilidad Metodológica Obligatoria</w:t>
      </w:r>
      <w:r/>
    </w:p>
    <w:p>
      <w:pPr>
        <w:pStyle w:val="871"/>
        <w:pBdr/>
        <w:spacing w:line="480" w:lineRule="auto"/>
        <w:ind w:firstLine="720"/>
        <w:rPr/>
      </w:pPr>
      <w:r>
        <w:rPr>
          <w:rFonts w:ascii="Times New Roman" w:hAnsi="Times New Roman" w:cs="Times New Roman"/>
          <w:sz w:val="24"/>
          <w:szCs w:val="24"/>
        </w:rPr>
        <w:t xml:space="preserve">En la Tabla 1 se presenta la matriz que vincula cada problema con su pregunta, objetivo, método y resultado esperado.</w:t>
      </w:r>
      <w:r/>
    </w:p>
    <w:tbl>
      <w:tblPr>
        <w:tblStyle w:val="883"/>
        <w:jc w:val="center"/>
        <w:tblW w:w="0" w:type="auto"/>
        <w:tblBorders/>
        <w:tblLook w:val="04A0" w:firstRow="1" w:lastRow="0" w:firstColumn="1" w:lastColumn="0" w:noHBand="0" w:noVBand="1"/>
      </w:tblPr>
      <w:tblGrid>
        <w:gridCol w:w="1820"/>
        <w:gridCol w:w="1820"/>
        <w:gridCol w:w="1820"/>
        <w:gridCol w:w="1820"/>
        <w:gridCol w:w="1820"/>
      </w:tblGrid>
      <w:tr>
        <w:trPr/>
        <w:tc>
          <w:tcPr>
            <w:tcBorders/>
            <w:tcW w:w="1820" w:type="dxa"/>
          </w:tcPr>
          <w:p>
            <w:pPr>
              <w:pBdr/>
              <w:spacing w:after="60" w:before="60" w:line="276" w:lineRule="auto"/>
              <w:ind w:firstLine="0"/>
              <w:jc w:val="center"/>
              <w:rPr/>
            </w:pPr>
            <w:r>
              <w:rPr>
                <w:rFonts w:ascii="Times New Roman" w:hAnsi="Times New Roman"/>
                <w:b/>
                <w:bCs/>
                <w:sz w:val="22"/>
                <w:szCs w:val="22"/>
              </w:rPr>
              <w:t xml:space="preserve">Problema Específico</w:t>
            </w:r>
            <w:r/>
          </w:p>
        </w:tc>
        <w:tc>
          <w:tcPr>
            <w:tcBorders/>
            <w:tcW w:w="1820" w:type="dxa"/>
          </w:tcPr>
          <w:p>
            <w:pPr>
              <w:pBdr/>
              <w:spacing w:after="60" w:before="60" w:line="276" w:lineRule="auto"/>
              <w:ind w:firstLine="0"/>
              <w:jc w:val="center"/>
              <w:rPr/>
            </w:pPr>
            <w:r>
              <w:rPr>
                <w:rFonts w:ascii="Times New Roman" w:hAnsi="Times New Roman"/>
                <w:b/>
                <w:bCs/>
                <w:sz w:val="22"/>
                <w:szCs w:val="22"/>
              </w:rPr>
              <w:t xml:space="preserve">Pregunta de Investigación</w:t>
            </w:r>
            <w:r/>
          </w:p>
        </w:tc>
        <w:tc>
          <w:tcPr>
            <w:tcBorders/>
            <w:tcW w:w="1820" w:type="dxa"/>
          </w:tcPr>
          <w:p>
            <w:pPr>
              <w:pBdr/>
              <w:spacing w:after="60" w:before="60" w:line="276" w:lineRule="auto"/>
              <w:ind w:firstLine="0"/>
              <w:jc w:val="center"/>
              <w:rPr/>
            </w:pPr>
            <w:r>
              <w:rPr>
                <w:rFonts w:ascii="Times New Roman" w:hAnsi="Times New Roman"/>
                <w:b/>
                <w:bCs/>
                <w:sz w:val="22"/>
                <w:szCs w:val="22"/>
              </w:rPr>
              <w:t xml:space="preserve">Objetivo Específico</w:t>
            </w:r>
            <w:r/>
          </w:p>
        </w:tc>
        <w:tc>
          <w:tcPr>
            <w:tcBorders/>
            <w:tcW w:w="1820" w:type="dxa"/>
          </w:tcPr>
          <w:p>
            <w:pPr>
              <w:pBdr/>
              <w:spacing w:after="60" w:before="60" w:line="276" w:lineRule="auto"/>
              <w:ind w:firstLine="0"/>
              <w:jc w:val="center"/>
              <w:rPr/>
            </w:pPr>
            <w:r>
              <w:rPr>
                <w:rFonts w:ascii="Times New Roman" w:hAnsi="Times New Roman"/>
                <w:b/>
                <w:bCs/>
                <w:sz w:val="22"/>
                <w:szCs w:val="22"/>
              </w:rPr>
              <w:t xml:space="preserve">Método Aplicado</w:t>
            </w:r>
            <w:r/>
          </w:p>
        </w:tc>
        <w:tc>
          <w:tcPr>
            <w:tcBorders/>
            <w:tcW w:w="1820" w:type="dxa"/>
          </w:tcPr>
          <w:p>
            <w:pPr>
              <w:pBdr/>
              <w:spacing w:after="60" w:before="60" w:line="276" w:lineRule="auto"/>
              <w:ind w:firstLine="0"/>
              <w:jc w:val="center"/>
              <w:rPr/>
            </w:pPr>
            <w:r>
              <w:rPr>
                <w:rFonts w:ascii="Times New Roman" w:hAnsi="Times New Roman"/>
                <w:b/>
                <w:bCs/>
                <w:sz w:val="22"/>
                <w:szCs w:val="22"/>
              </w:rPr>
              <w:t xml:space="preserve">Resultado Esperado</w:t>
            </w:r>
            <w:r/>
          </w:p>
        </w:tc>
      </w:tr>
      <w:tr>
        <w:trPr/>
        <w:tc>
          <w:tcPr>
            <w:tcBorders/>
            <w:tcW w:w="1820" w:type="dxa"/>
          </w:tcPr>
          <w:p>
            <w:pPr>
              <w:pBdr/>
              <w:spacing w:after="60" w:before="60" w:line="276" w:lineRule="auto"/>
              <w:ind w:firstLine="0"/>
              <w:jc w:val="left"/>
              <w:rPr/>
            </w:pPr>
            <w:r>
              <w:rPr>
                <w:rFonts w:ascii="Times New Roman" w:hAnsi="Times New Roman"/>
                <w:sz w:val="22"/>
                <w:szCs w:val="22"/>
              </w:rPr>
              <w:t xml:space="preserve">P1: Desconocimiento del impacto de altitud en microdatos</w:t>
            </w:r>
            <w:r/>
          </w:p>
        </w:tc>
        <w:tc>
          <w:tcPr>
            <w:tcBorders/>
            <w:tcW w:w="1820" w:type="dxa"/>
          </w:tcPr>
          <w:p>
            <w:pPr>
              <w:pBdr/>
              <w:spacing w:after="60" w:before="60" w:line="276" w:lineRule="auto"/>
              <w:ind w:firstLine="0"/>
              <w:jc w:val="left"/>
              <w:rPr/>
            </w:pPr>
            <w:r>
              <w:rPr>
                <w:rFonts w:ascii="Times New Roman" w:hAnsi="Times New Roman"/>
                <w:sz w:val="22"/>
                <w:szCs w:val="22"/>
              </w:rPr>
              <w:t xml:space="preserve">PE1: ¿Cómo se distribuye la anemia y altitud?</w:t>
            </w:r>
            <w:r/>
          </w:p>
        </w:tc>
        <w:tc>
          <w:tcPr>
            <w:tcBorders/>
            <w:tcW w:w="1820" w:type="dxa"/>
          </w:tcPr>
          <w:p>
            <w:pPr>
              <w:pBdr/>
              <w:spacing w:after="60" w:before="60" w:line="276" w:lineRule="auto"/>
              <w:ind w:firstLine="0"/>
              <w:jc w:val="left"/>
              <w:rPr/>
            </w:pPr>
            <w:r>
              <w:rPr>
                <w:rFonts w:ascii="Times New Roman" w:hAnsi="Times New Roman"/>
                <w:sz w:val="22"/>
                <w:szCs w:val="22"/>
              </w:rPr>
              <w:t xml:space="preserve">OE1: Analizar características con EDA</w:t>
            </w:r>
            <w:r/>
          </w:p>
        </w:tc>
        <w:tc>
          <w:tcPr>
            <w:tcBorders/>
            <w:tcW w:w="1820" w:type="dxa"/>
          </w:tcPr>
          <w:p>
            <w:pPr>
              <w:pBdr/>
              <w:spacing w:after="60" w:before="60" w:line="276" w:lineRule="auto"/>
              <w:ind w:firstLine="0"/>
              <w:jc w:val="left"/>
              <w:rPr/>
            </w:pPr>
            <w:r>
              <w:rPr>
                <w:rFonts w:ascii="Times New Roman" w:hAnsi="Times New Roman"/>
                <w:sz w:val="22"/>
                <w:szCs w:val="22"/>
              </w:rPr>
              <w:t xml:space="preserve">Estadística descriptiva y visualización</w:t>
            </w:r>
            <w:r/>
          </w:p>
        </w:tc>
        <w:tc>
          <w:tcPr>
            <w:tcBorders/>
            <w:tcW w:w="1820" w:type="dxa"/>
          </w:tcPr>
          <w:p>
            <w:pPr>
              <w:pBdr/>
              <w:spacing w:after="60" w:before="60" w:line="276" w:lineRule="auto"/>
              <w:ind w:firstLine="0"/>
              <w:jc w:val="left"/>
              <w:rPr/>
            </w:pPr>
            <w:r>
              <w:rPr>
                <w:rFonts w:ascii="Times New Roman" w:hAnsi="Times New Roman"/>
                <w:sz w:val="22"/>
                <w:szCs w:val="22"/>
              </w:rPr>
              <w:t xml:space="preserve">Distribuciones de 10,340 niños peruanos</w:t>
            </w:r>
            <w:r/>
          </w:p>
        </w:tc>
      </w:tr>
      <w:tr>
        <w:trPr/>
        <w:tc>
          <w:tcPr>
            <w:tcBorders/>
            <w:tcW w:w="1820" w:type="dxa"/>
          </w:tcPr>
          <w:p>
            <w:pPr>
              <w:pBdr/>
              <w:spacing w:after="60" w:before="60" w:line="276" w:lineRule="auto"/>
              <w:ind w:firstLine="0"/>
              <w:jc w:val="left"/>
              <w:rPr/>
            </w:pPr>
            <w:r>
              <w:rPr>
                <w:rFonts w:ascii="Times New Roman" w:hAnsi="Times New Roman"/>
                <w:sz w:val="22"/>
                <w:szCs w:val="22"/>
              </w:rPr>
              <w:t xml:space="preserve">P2: Riesgo de fuga de información (data leakage)</w:t>
            </w:r>
            <w:r/>
          </w:p>
        </w:tc>
        <w:tc>
          <w:tcPr>
            <w:tcBorders/>
            <w:tcW w:w="1820" w:type="dxa"/>
          </w:tcPr>
          <w:p>
            <w:pPr>
              <w:pBdr/>
              <w:spacing w:after="60" w:before="60" w:line="276" w:lineRule="auto"/>
              <w:ind w:firstLine="0"/>
              <w:jc w:val="left"/>
              <w:rPr/>
            </w:pPr>
            <w:r>
              <w:rPr>
                <w:rFonts w:ascii="Times New Roman" w:hAnsi="Times New Roman"/>
                <w:sz w:val="22"/>
                <w:szCs w:val="22"/>
              </w:rPr>
              <w:t xml:space="preserve">PE2: ¿Cómo aislar el preprocesamiento?</w:t>
            </w:r>
            <w:r/>
          </w:p>
        </w:tc>
        <w:tc>
          <w:tcPr>
            <w:tcBorders/>
            <w:tcW w:w="1820" w:type="dxa"/>
          </w:tcPr>
          <w:p>
            <w:pPr>
              <w:pBdr/>
              <w:spacing w:after="60" w:before="60" w:line="276" w:lineRule="auto"/>
              <w:ind w:firstLine="0"/>
              <w:jc w:val="left"/>
              <w:rPr/>
            </w:pPr>
            <w:r>
              <w:rPr>
                <w:rFonts w:ascii="Times New Roman" w:hAnsi="Times New Roman"/>
                <w:sz w:val="22"/>
                <w:szCs w:val="22"/>
              </w:rPr>
              <w:t xml:space="preserve">OE2: Flujo anti-leakage y StandardScaler</w:t>
            </w:r>
            <w:r/>
          </w:p>
        </w:tc>
        <w:tc>
          <w:tcPr>
            <w:tcBorders/>
            <w:tcW w:w="1820" w:type="dxa"/>
          </w:tcPr>
          <w:p>
            <w:pPr>
              <w:pBdr/>
              <w:spacing w:after="60" w:before="60" w:line="276" w:lineRule="auto"/>
              <w:ind w:firstLine="0"/>
              <w:jc w:val="left"/>
              <w:rPr/>
            </w:pPr>
            <w:r>
              <w:rPr>
                <w:rFonts w:ascii="Times New Roman" w:hAnsi="Times New Roman"/>
                <w:sz w:val="22"/>
                <w:szCs w:val="22"/>
              </w:rPr>
              <w:t xml:space="preserve">Aislamiento estricto en split 80/20</w:t>
            </w:r>
            <w:r/>
          </w:p>
        </w:tc>
        <w:tc>
          <w:tcPr>
            <w:tcBorders/>
            <w:tcW w:w="1820" w:type="dxa"/>
          </w:tcPr>
          <w:p>
            <w:pPr>
              <w:pBdr/>
              <w:spacing w:after="60" w:before="60" w:line="276" w:lineRule="auto"/>
              <w:ind w:firstLine="0"/>
              <w:jc w:val="left"/>
              <w:rPr/>
            </w:pPr>
            <w:r>
              <w:rPr>
                <w:rFonts w:ascii="Times New Roman" w:hAnsi="Times New Roman"/>
                <w:sz w:val="22"/>
                <w:szCs w:val="22"/>
              </w:rPr>
              <w:t xml:space="preserve">Escalador calibrado solo en entrenamiento</w:t>
            </w:r>
            <w:r/>
          </w:p>
        </w:tc>
      </w:tr>
      <w:tr>
        <w:trPr/>
        <w:tc>
          <w:tcPr>
            <w:tcBorders/>
            <w:tcW w:w="1820" w:type="dxa"/>
          </w:tcPr>
          <w:p>
            <w:pPr>
              <w:pBdr/>
              <w:spacing w:after="60" w:before="60" w:line="276" w:lineRule="auto"/>
              <w:ind w:firstLine="0"/>
              <w:jc w:val="left"/>
              <w:rPr/>
            </w:pPr>
            <w:r>
              <w:rPr>
                <w:rFonts w:ascii="Times New Roman" w:hAnsi="Times New Roman"/>
                <w:sz w:val="22"/>
                <w:szCs w:val="22"/>
              </w:rPr>
              <w:t xml:space="preserve">P3: Incertidumbre del mejor algoritmo para anemia</w:t>
            </w:r>
            <w:r/>
          </w:p>
        </w:tc>
        <w:tc>
          <w:tcPr>
            <w:tcBorders/>
            <w:tcW w:w="1820" w:type="dxa"/>
          </w:tcPr>
          <w:p>
            <w:pPr>
              <w:pBdr/>
              <w:spacing w:after="60" w:before="60" w:line="276" w:lineRule="auto"/>
              <w:ind w:firstLine="0"/>
              <w:jc w:val="left"/>
              <w:rPr/>
            </w:pPr>
            <w:r>
              <w:rPr>
                <w:rFonts w:ascii="Times New Roman" w:hAnsi="Times New Roman"/>
                <w:sz w:val="22"/>
                <w:szCs w:val="22"/>
              </w:rPr>
              <w:t xml:space="preserve">PE3: ¿Qué modelo tiene mejor rendimiento?</w:t>
            </w:r>
            <w:r/>
          </w:p>
        </w:tc>
        <w:tc>
          <w:tcPr>
            <w:tcBorders/>
            <w:tcW w:w="1820" w:type="dxa"/>
          </w:tcPr>
          <w:p>
            <w:pPr>
              <w:pBdr/>
              <w:spacing w:after="60" w:before="60" w:line="276" w:lineRule="auto"/>
              <w:ind w:firstLine="0"/>
              <w:jc w:val="left"/>
              <w:rPr/>
            </w:pPr>
            <w:r>
              <w:rPr>
                <w:rFonts w:ascii="Times New Roman" w:hAnsi="Times New Roman"/>
                <w:sz w:val="22"/>
                <w:szCs w:val="22"/>
              </w:rPr>
              <w:t xml:space="preserve">OE3: Entrenar Random Forest y KNN</w:t>
            </w:r>
            <w:r/>
          </w:p>
        </w:tc>
        <w:tc>
          <w:tcPr>
            <w:tcBorders/>
            <w:tcW w:w="1820" w:type="dxa"/>
          </w:tcPr>
          <w:p>
            <w:pPr>
              <w:pBdr/>
              <w:spacing w:after="60" w:before="60" w:line="276" w:lineRule="auto"/>
              <w:ind w:firstLine="0"/>
              <w:jc w:val="left"/>
              <w:rPr/>
            </w:pPr>
            <w:r>
              <w:rPr>
                <w:rFonts w:ascii="Times New Roman" w:hAnsi="Times New Roman"/>
                <w:sz w:val="22"/>
                <w:szCs w:val="22"/>
              </w:rPr>
              <w:t xml:space="preserve">Ajuste de hiperparámetros (k=17)</w:t>
            </w:r>
            <w:r/>
          </w:p>
        </w:tc>
        <w:tc>
          <w:tcPr>
            <w:tcBorders/>
            <w:tcW w:w="1820" w:type="dxa"/>
          </w:tcPr>
          <w:p>
            <w:pPr>
              <w:pBdr/>
              <w:spacing w:after="60" w:before="60" w:line="276" w:lineRule="auto"/>
              <w:ind w:firstLine="0"/>
              <w:jc w:val="left"/>
              <w:rPr/>
            </w:pPr>
            <w:r>
              <w:rPr>
                <w:rFonts w:ascii="Times New Roman" w:hAnsi="Times New Roman"/>
                <w:sz w:val="22"/>
                <w:szCs w:val="22"/>
              </w:rPr>
              <w:t xml:space="preserve">Modelos entrenados y evaluados</w:t>
            </w:r>
            <w:r/>
          </w:p>
        </w:tc>
      </w:tr>
      <w:tr>
        <w:trPr/>
        <w:tc>
          <w:tcPr>
            <w:tcBorders/>
            <w:tcW w:w="1820" w:type="dxa"/>
          </w:tcPr>
          <w:p>
            <w:pPr>
              <w:pBdr/>
              <w:spacing w:after="60" w:before="60" w:line="276" w:lineRule="auto"/>
              <w:ind w:firstLine="0"/>
              <w:jc w:val="left"/>
              <w:rPr/>
            </w:pPr>
            <w:r>
              <w:rPr>
                <w:rFonts w:ascii="Times New Roman" w:hAnsi="Times New Roman"/>
                <w:sz w:val="22"/>
                <w:szCs w:val="22"/>
              </w:rPr>
              <w:t xml:space="preserve">P4: Necesidad de validar superioridad clínica</w:t>
            </w:r>
            <w:r/>
          </w:p>
        </w:tc>
        <w:tc>
          <w:tcPr>
            <w:tcBorders/>
            <w:tcW w:w="1820" w:type="dxa"/>
          </w:tcPr>
          <w:p>
            <w:pPr>
              <w:pBdr/>
              <w:spacing w:after="60" w:before="60" w:line="276" w:lineRule="auto"/>
              <w:ind w:firstLine="0"/>
              <w:jc w:val="left"/>
              <w:rPr/>
            </w:pPr>
            <w:r>
              <w:rPr>
                <w:rFonts w:ascii="Times New Roman" w:hAnsi="Times New Roman"/>
                <w:sz w:val="22"/>
                <w:szCs w:val="22"/>
              </w:rPr>
              <w:t xml:space="preserve">PE4: ¿Superan a los métodos tradicionales?</w:t>
            </w:r>
            <w:r/>
          </w:p>
        </w:tc>
        <w:tc>
          <w:tcPr>
            <w:tcBorders/>
            <w:tcW w:w="1820" w:type="dxa"/>
          </w:tcPr>
          <w:p>
            <w:pPr>
              <w:pBdr/>
              <w:spacing w:after="60" w:before="60" w:line="276" w:lineRule="auto"/>
              <w:ind w:firstLine="0"/>
              <w:jc w:val="left"/>
              <w:rPr/>
            </w:pPr>
            <w:r>
              <w:rPr>
                <w:rFonts w:ascii="Times New Roman" w:hAnsi="Times New Roman"/>
                <w:sz w:val="22"/>
                <w:szCs w:val="22"/>
              </w:rPr>
              <w:t xml:space="preserve">OE4: Evaluación con métricas de salud</w:t>
            </w:r>
            <w:r/>
          </w:p>
        </w:tc>
        <w:tc>
          <w:tcPr>
            <w:tcBorders/>
            <w:tcW w:w="1820" w:type="dxa"/>
          </w:tcPr>
          <w:p>
            <w:pPr>
              <w:pBdr/>
              <w:spacing w:after="60" w:before="60" w:line="276" w:lineRule="auto"/>
              <w:ind w:firstLine="0"/>
              <w:jc w:val="left"/>
              <w:rPr/>
            </w:pPr>
            <w:r>
              <w:rPr>
                <w:rFonts w:ascii="Times New Roman" w:hAnsi="Times New Roman"/>
                <w:sz w:val="22"/>
                <w:szCs w:val="22"/>
              </w:rPr>
              <w:t xml:space="preserve">Prueba independiente y 5-Fold CV</w:t>
            </w:r>
            <w:r/>
          </w:p>
        </w:tc>
        <w:tc>
          <w:tcPr>
            <w:tcBorders/>
            <w:tcW w:w="1820" w:type="dxa"/>
          </w:tcPr>
          <w:p>
            <w:pPr>
              <w:pBdr/>
              <w:spacing w:after="60" w:before="60" w:line="276" w:lineRule="auto"/>
              <w:ind w:firstLine="0"/>
              <w:jc w:val="left"/>
              <w:rPr/>
            </w:pPr>
            <w:r>
              <w:rPr>
                <w:rFonts w:ascii="Times New Roman" w:hAnsi="Times New Roman"/>
                <w:sz w:val="22"/>
                <w:szCs w:val="22"/>
              </w:rPr>
              <w:t xml:space="preserve">Recall de 99.67% en Random Forest</w:t>
            </w:r>
            <w:r/>
          </w:p>
        </w:tc>
      </w:tr>
      <w:tr>
        <w:trPr/>
        <w:tc>
          <w:tcPr>
            <w:tcBorders/>
            <w:tcW w:w="1820" w:type="dxa"/>
          </w:tcPr>
          <w:p>
            <w:pPr>
              <w:pBdr/>
              <w:spacing w:after="60" w:before="60" w:line="276" w:lineRule="auto"/>
              <w:ind w:firstLine="0"/>
              <w:jc w:val="left"/>
              <w:rPr/>
            </w:pPr>
            <w:r>
              <w:rPr>
                <w:rFonts w:ascii="Times New Roman" w:hAnsi="Times New Roman"/>
                <w:sz w:val="22"/>
                <w:szCs w:val="22"/>
              </w:rPr>
              <w:t xml:space="preserve">P5: Falta de herramientas ejecutables en postas</w:t>
            </w:r>
            <w:r/>
          </w:p>
        </w:tc>
        <w:tc>
          <w:tcPr>
            <w:tcBorders/>
            <w:tcW w:w="1820" w:type="dxa"/>
          </w:tcPr>
          <w:p>
            <w:pPr>
              <w:pBdr/>
              <w:spacing w:after="60" w:before="60" w:line="276" w:lineRule="auto"/>
              <w:ind w:firstLine="0"/>
              <w:jc w:val="left"/>
              <w:rPr/>
            </w:pPr>
            <w:r>
              <w:rPr>
                <w:rFonts w:ascii="Times New Roman" w:hAnsi="Times New Roman"/>
                <w:sz w:val="22"/>
                <w:szCs w:val="22"/>
              </w:rPr>
              <w:t xml:space="preserve">PE5: ¿Cómo empaquetar para uso asistencial?</w:t>
            </w:r>
            <w:r/>
          </w:p>
        </w:tc>
        <w:tc>
          <w:tcPr>
            <w:tcBorders/>
            <w:tcW w:w="1820" w:type="dxa"/>
          </w:tcPr>
          <w:p>
            <w:pPr>
              <w:pBdr/>
              <w:spacing w:after="60" w:before="60" w:line="276" w:lineRule="auto"/>
              <w:ind w:firstLine="0"/>
              <w:jc w:val="left"/>
              <w:rPr/>
            </w:pPr>
            <w:r>
              <w:rPr>
                <w:rFonts w:ascii="Times New Roman" w:hAnsi="Times New Roman"/>
                <w:sz w:val="22"/>
                <w:szCs w:val="22"/>
              </w:rPr>
              <w:t xml:space="preserve">OE5: Serialización y peso de variables</w:t>
            </w:r>
            <w:r/>
          </w:p>
        </w:tc>
        <w:tc>
          <w:tcPr>
            <w:tcBorders/>
            <w:tcW w:w="1820" w:type="dxa"/>
          </w:tcPr>
          <w:p>
            <w:pPr>
              <w:pBdr/>
              <w:spacing w:after="60" w:before="60" w:line="276" w:lineRule="auto"/>
              <w:ind w:firstLine="0"/>
              <w:jc w:val="left"/>
              <w:rPr/>
            </w:pPr>
            <w:r>
              <w:rPr>
                <w:rFonts w:ascii="Times New Roman" w:hAnsi="Times New Roman"/>
                <w:sz w:val="22"/>
                <w:szCs w:val="22"/>
              </w:rPr>
              <w:t xml:space="preserve">Exportación .joblib e índice Gini</w:t>
            </w:r>
            <w:r/>
          </w:p>
        </w:tc>
        <w:tc>
          <w:tcPr>
            <w:tcBorders/>
            <w:tcW w:w="1820" w:type="dxa"/>
          </w:tcPr>
          <w:p>
            <w:pPr>
              <w:pBdr/>
              <w:spacing w:after="60" w:before="60" w:line="276" w:lineRule="auto"/>
              <w:ind w:firstLine="0"/>
              <w:jc w:val="left"/>
              <w:rPr/>
            </w:pPr>
            <w:r>
              <w:rPr>
                <w:rFonts w:ascii="Times New Roman" w:hAnsi="Times New Roman"/>
                <w:sz w:val="22"/>
                <w:szCs w:val="22"/>
              </w:rPr>
              <w:t xml:space="preserve">Solución ligera lista para Colab</w:t>
            </w:r>
            <w:r/>
          </w:p>
        </w:tc>
      </w:tr>
    </w:tbl>
    <w:p>
      <w:pPr>
        <w:pStyle w:val="871"/>
        <w:pBdr/>
        <w:spacing w:line="480" w:lineRule="auto"/>
        <w:ind w:firstLine="720"/>
        <w:rPr/>
      </w:pPr>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13. Metodología de Desarrollo de la Solución</w:t>
      </w:r>
      <w:r/>
    </w:p>
    <w:p>
      <w:pPr>
        <w:pStyle w:val="871"/>
        <w:pBdr/>
        <w:spacing w:line="480" w:lineRule="auto"/>
        <w:ind w:firstLine="720"/>
        <w:rPr/>
      </w:pPr>
      <w:r>
        <w:rPr>
          <w:rFonts w:ascii="Times New Roman" w:hAnsi="Times New Roman" w:cs="Times New Roman"/>
          <w:sz w:val="24"/>
          <w:szCs w:val="24"/>
        </w:rPr>
        <w:t xml:space="preserve">Para desarrollar el proyecto se trabajó con la metodología estándar CRISP-DM, estructurando todo el avance en seis etapas de trabajo:</w:t>
      </w:r>
      <w:r/>
    </w:p>
    <w:p>
      <w:pPr>
        <w:pStyle w:val="871"/>
        <w:pBdr/>
        <w:spacing w:line="480" w:lineRule="auto"/>
        <w:ind w:firstLine="720"/>
        <w:rPr/>
      </w:pPr>
      <w:r>
        <w:rPr>
          <w:rFonts w:ascii="Times New Roman" w:hAnsi="Times New Roman" w:cs="Times New Roman"/>
          <w:sz w:val="24"/>
          <w:szCs w:val="24"/>
        </w:rPr>
        <w:t xml:space="preserve">1. El trabajo se revisó con postas rurales donde tienen un cuello de botella con días de demora para confirmar los análisis  y las equivocaciones al restar la altitud a mano con las tablas impresas.</w:t>
      </w:r>
      <w:r/>
    </w:p>
    <w:p>
      <w:pPr>
        <w:pStyle w:val="871"/>
        <w:pBdr/>
        <w:spacing w:line="480" w:lineRule="auto"/>
        <w:ind w:firstLine="720"/>
        <w:rPr/>
      </w:pPr>
      <w:r>
        <w:rPr>
          <w:rFonts w:ascii="Times New Roman" w:hAnsi="Times New Roman" w:cs="Times New Roman"/>
          <w:sz w:val="24"/>
          <w:szCs w:val="24"/>
        </w:rPr>
        <w:t xml:space="preserve">2. Se descargaron los módulos RECH6 (salud del menor) y RECH0 (vivienda y altitud) de la ENDES 2023, para ubicar las columnas clínicas de hemoglobina y la altitud.</w:t>
      </w:r>
      <w:r/>
    </w:p>
    <w:p>
      <w:pPr>
        <w:pStyle w:val="871"/>
        <w:pBdr/>
        <w:spacing w:line="480" w:lineRule="auto"/>
        <w:ind w:firstLine="720"/>
        <w:rPr/>
      </w:pPr>
      <w:r>
        <w:rPr>
          <w:rFonts w:ascii="Times New Roman" w:hAnsi="Times New Roman" w:cs="Times New Roman"/>
          <w:sz w:val="24"/>
          <w:szCs w:val="24"/>
        </w:rPr>
        <w:t xml:space="preserve">3. Se cru</w:t>
      </w:r>
      <w:r>
        <w:rPr>
          <w:rFonts w:ascii="Times New Roman" w:hAnsi="Times New Roman" w:cs="Times New Roman"/>
          <w:sz w:val="24"/>
          <w:szCs w:val="24"/>
        </w:rPr>
        <w:t xml:space="preserve">zaron ambos archivos con el identificador HHID, quedándonos con infantes de 6 a 35 meses con la data necesaria. Dividiendo la data en 80% entrenamiento y 20% prueba, se aplicó StandardScaler solo con los datos de entrenamiento para evitar la fuga de datos.</w:t>
      </w:r>
      <w:r/>
    </w:p>
    <w:p>
      <w:pPr>
        <w:pStyle w:val="871"/>
        <w:pBdr/>
        <w:spacing w:line="480" w:lineRule="auto"/>
        <w:ind w:firstLine="720"/>
        <w:rPr/>
      </w:pPr>
      <w:r>
        <w:rPr>
          <w:rFonts w:ascii="Times New Roman" w:hAnsi="Times New Roman" w:cs="Times New Roman"/>
          <w:sz w:val="24"/>
          <w:szCs w:val="24"/>
        </w:rPr>
        <w:t xml:space="preserve">4. Entrenamos los 2 algoritmos Random Forest con 100 árboles y KNN con vecinos cercanos en el rango de 1 a 31.</w:t>
      </w:r>
      <w:r/>
    </w:p>
    <w:p>
      <w:pPr>
        <w:pStyle w:val="871"/>
        <w:pBdr/>
        <w:spacing w:line="480" w:lineRule="auto"/>
        <w:ind w:firstLine="720"/>
        <w:rPr/>
      </w:pPr>
      <w:r>
        <w:rPr>
          <w:rFonts w:ascii="Times New Roman" w:hAnsi="Times New Roman" w:cs="Times New Roman"/>
          <w:sz w:val="24"/>
          <w:szCs w:val="24"/>
        </w:rPr>
        <w:t xml:space="preserve">5. Validamos con 2,068 niños para el modelo, analizando métricas clínicas como recall, precisión, curvas ROC.</w:t>
      </w:r>
      <w:r/>
    </w:p>
    <w:p>
      <w:pPr>
        <w:pStyle w:val="871"/>
        <w:pBdr/>
        <w:spacing w:line="480" w:lineRule="auto"/>
        <w:ind w:firstLine="720"/>
        <w:rPr/>
      </w:pPr>
      <w:r>
        <w:rPr>
          <w:rFonts w:ascii="Times New Roman" w:hAnsi="Times New Roman" w:cs="Times New Roman"/>
          <w:sz w:val="24"/>
          <w:szCs w:val="24"/>
        </w:rPr>
        <w:t xml:space="preserve">6. Exportamos los modelos entrenados en .joblib y dejamos listo el cuaderno de Google Colab para ejecutarlo en cualquier momento.</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14. Comprensión del Problema</w:t>
      </w:r>
      <w:r/>
    </w:p>
    <w:p>
      <w:pPr>
        <w:pStyle w:val="871"/>
        <w:pBdr/>
        <w:spacing w:line="480" w:lineRule="auto"/>
        <w:ind w:firstLine="720"/>
        <w:rPr/>
      </w:pPr>
      <w:r>
        <w:rPr>
          <w:rFonts w:ascii="Times New Roman" w:hAnsi="Times New Roman" w:cs="Times New Roman"/>
          <w:sz w:val="24"/>
          <w:szCs w:val="24"/>
        </w:rPr>
        <w:t xml:space="preserve">En esta fase inicial se analizaron las necesidades de los usuarios en el campo de atención, que son los médicos y enfermeros que atienden el SERUMS en postas rurales donde muchas veces no hay internet ni laboratorios clínicos.</w:t>
      </w:r>
      <w:r/>
    </w:p>
    <w:p>
      <w:pPr>
        <w:pStyle w:val="871"/>
        <w:pBdr/>
        <w:spacing w:line="480" w:lineRule="auto"/>
        <w:ind w:firstLine="720"/>
        <w:rPr/>
      </w:pPr>
      <w:r>
        <w:rPr>
          <w:rFonts w:ascii="Times New Roman" w:hAnsi="Times New Roman" w:cs="Times New Roman"/>
          <w:sz w:val="24"/>
          <w:szCs w:val="24"/>
        </w:rPr>
        <w:t xml:space="preserve">El software debe cumplir con requisitos prácticos: recibir los datos que se obtienen en la misma consulta médica (hemoglobina del </w:t>
      </w:r>
      <w:r>
        <w:rPr>
          <w:rFonts w:ascii="Times New Roman" w:hAnsi="Times New Roman" w:cs="Times New Roman"/>
          <w:sz w:val="24"/>
          <w:szCs w:val="24"/>
        </w:rPr>
        <w:t xml:space="preserve">Hemocue, altitud del pueblo, edad, peso, talla), brindar un resultado inmediato en menos de un segundo y sobre todo mantener un recall superior al 95%, ya que en salud un falso negativo significa dejar a un niño enfermo sin el sulfato ferroso que necesita.</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15. Comprensión de los Datos</w:t>
      </w:r>
      <w:r/>
    </w:p>
    <w:p>
      <w:pPr>
        <w:pStyle w:val="871"/>
        <w:pBdr/>
        <w:spacing w:line="480" w:lineRule="auto"/>
        <w:ind w:firstLine="720"/>
        <w:rPr/>
      </w:pPr>
      <w:r>
        <w:rPr>
          <w:rFonts w:ascii="Times New Roman" w:hAnsi="Times New Roman" w:cs="Times New Roman"/>
          <w:sz w:val="24"/>
          <w:szCs w:val="24"/>
        </w:rPr>
        <w:t xml:space="preserve">Para p</w:t>
      </w:r>
      <w:r>
        <w:rPr>
          <w:rFonts w:ascii="Times New Roman" w:hAnsi="Times New Roman" w:cs="Times New Roman"/>
          <w:sz w:val="24"/>
          <w:szCs w:val="24"/>
        </w:rPr>
        <w:t xml:space="preserve">oder entrenar estos modelos con información real de salud se usó la data oficial de la encuesta ENDES 2023 que el INEI tiene disponible en su portal abierto [9]. Para construir el dataset fue necesario procesar dos módulos que vienen en archivos separados:</w:t>
      </w:r>
      <w:r/>
    </w:p>
    <w:p>
      <w:pPr>
        <w:pStyle w:val="871"/>
        <w:pBdr/>
        <w:spacing w:line="480" w:lineRule="auto"/>
        <w:ind w:firstLine="720"/>
        <w:rPr/>
      </w:pPr>
      <w:r>
        <w:rPr>
          <w:rFonts w:ascii="Times New Roman" w:hAnsi="Times New Roman" w:cs="Times New Roman"/>
          <w:sz w:val="24"/>
          <w:szCs w:val="24"/>
        </w:rPr>
        <w:t xml:space="preserve">La tabla RECH6: Que cont</w:t>
      </w:r>
      <w:r>
        <w:rPr>
          <w:rFonts w:ascii="Times New Roman" w:hAnsi="Times New Roman" w:cs="Times New Roman"/>
          <w:sz w:val="24"/>
          <w:szCs w:val="24"/>
        </w:rPr>
        <w:t xml:space="preserve">iene los registros individuales de los niños evaluados. De este módulo extrajimos la hemoglobina medida con el Hemocue (HC56), el resultado de la prueba capilar (HC55=0 para prueba completa), la edad en meses (HC1), la talla (HC3) y el peso corporal (HC2).</w:t>
      </w:r>
      <w:r/>
    </w:p>
    <w:p>
      <w:pPr>
        <w:pStyle w:val="871"/>
        <w:pBdr/>
        <w:spacing w:line="480" w:lineRule="auto"/>
        <w:ind w:firstLine="720"/>
        <w:rPr/>
      </w:pPr>
      <w:r>
        <w:rPr>
          <w:rFonts w:ascii="Times New Roman" w:hAnsi="Times New Roman" w:cs="Times New Roman"/>
          <w:sz w:val="24"/>
          <w:szCs w:val="24"/>
        </w:rPr>
        <w:t xml:space="preserve">Tabla RECH0: Registra la información del domicilio y la ubicación geográfica, de donde obtuvimos la altitud en metros sobre el nivel del mar (HV040) y la llave de vivienda (HHID).</w:t>
      </w:r>
      <w:r/>
    </w:p>
    <w:p>
      <w:pPr>
        <w:pStyle w:val="871"/>
        <w:pBdr/>
        <w:spacing w:line="480" w:lineRule="auto"/>
        <w:ind w:firstLine="720"/>
        <w:rPr/>
      </w:pPr>
      <w:r>
        <w:rPr>
          <w:rFonts w:ascii="Times New Roman" w:hAnsi="Times New Roman" w:cs="Times New Roman"/>
          <w:sz w:val="24"/>
          <w:szCs w:val="24"/>
        </w:rPr>
        <w:t xml:space="preserve">Al hacer match estos datos con  HHID logramos consolidar el perfil clínico de cada niño junto con la altitud de su caserío, obteniendo un conjunto de 10,340 registros válidos para el modelado.</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16. Ingeniería y Preparación de Datos</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16.1. Data Card del Dataset</w:t>
      </w:r>
      <w:r/>
    </w:p>
    <w:p>
      <w:pPr>
        <w:pStyle w:val="871"/>
        <w:pBdr/>
        <w:spacing w:line="480" w:lineRule="auto"/>
        <w:ind w:firstLine="720"/>
        <w:rPr/>
      </w:pPr>
      <w:r>
        <w:rPr>
          <w:rFonts w:ascii="Times New Roman" w:hAnsi="Times New Roman" w:cs="Times New Roman"/>
          <w:sz w:val="24"/>
          <w:szCs w:val="24"/>
        </w:rPr>
        <w:t xml:space="preserve">En la Tabla 2 se detalla la ficha técnica del conjunto de datos procesado con todas sus características de ingeniería.</w:t>
      </w:r>
      <w:r/>
    </w:p>
    <w:tbl>
      <w:tblPr>
        <w:tblStyle w:val="883"/>
        <w:jc w:val="center"/>
        <w:tblW w:w="0" w:type="auto"/>
        <w:tblBorders/>
        <w:tblLook w:val="04A0" w:firstRow="1" w:lastRow="0" w:firstColumn="1" w:lastColumn="0" w:noHBand="0" w:noVBand="1"/>
      </w:tblPr>
      <w:tblGrid>
        <w:gridCol w:w="4549"/>
        <w:gridCol w:w="4549"/>
      </w:tblGrid>
      <w:tr>
        <w:trPr/>
        <w:tc>
          <w:tcPr>
            <w:tcBorders/>
            <w:tcW w:w="4549" w:type="dxa"/>
          </w:tcPr>
          <w:p>
            <w:pPr>
              <w:pBdr/>
              <w:spacing w:after="60" w:before="60" w:line="276" w:lineRule="auto"/>
              <w:ind w:firstLine="0"/>
              <w:jc w:val="center"/>
              <w:rPr/>
            </w:pPr>
            <w:r>
              <w:rPr>
                <w:rFonts w:ascii="Times New Roman" w:hAnsi="Times New Roman"/>
                <w:b/>
                <w:bCs/>
                <w:sz w:val="22"/>
                <w:szCs w:val="22"/>
              </w:rPr>
              <w:t xml:space="preserve">Parámetro del Data Card</w:t>
            </w:r>
            <w:r/>
          </w:p>
        </w:tc>
        <w:tc>
          <w:tcPr>
            <w:tcBorders/>
            <w:tcW w:w="4549" w:type="dxa"/>
          </w:tcPr>
          <w:p>
            <w:pPr>
              <w:pBdr/>
              <w:spacing w:after="60" w:before="60" w:line="276" w:lineRule="auto"/>
              <w:ind w:firstLine="0"/>
              <w:jc w:val="center"/>
              <w:rPr/>
            </w:pPr>
            <w:r>
              <w:rPr>
                <w:rFonts w:ascii="Times New Roman" w:hAnsi="Times New Roman"/>
                <w:b/>
                <w:bCs/>
                <w:sz w:val="22"/>
                <w:szCs w:val="22"/>
              </w:rPr>
              <w:t xml:space="preserve">Descripción Técnica</w:t>
            </w:r>
            <w:r/>
          </w:p>
        </w:tc>
      </w:tr>
      <w:tr>
        <w:trPr/>
        <w:tc>
          <w:tcPr>
            <w:tcBorders/>
            <w:tcW w:w="4549" w:type="dxa"/>
          </w:tcPr>
          <w:p>
            <w:pPr>
              <w:pBdr/>
              <w:spacing w:after="60" w:before="60" w:line="276" w:lineRule="auto"/>
              <w:ind w:firstLine="0"/>
              <w:jc w:val="left"/>
              <w:rPr/>
            </w:pPr>
            <w:r>
              <w:rPr>
                <w:rFonts w:ascii="Times New Roman" w:hAnsi="Times New Roman"/>
                <w:sz w:val="22"/>
                <w:szCs w:val="22"/>
              </w:rPr>
              <w:t xml:space="preserve">Nombre del Dataset</w:t>
            </w:r>
            <w:r/>
          </w:p>
        </w:tc>
        <w:tc>
          <w:tcPr>
            <w:tcBorders/>
            <w:tcW w:w="4549" w:type="dxa"/>
          </w:tcPr>
          <w:p>
            <w:pPr>
              <w:pBdr/>
              <w:spacing w:after="60" w:before="60" w:line="276" w:lineRule="auto"/>
              <w:ind w:firstLine="0"/>
              <w:jc w:val="left"/>
              <w:rPr/>
            </w:pPr>
            <w:r>
              <w:rPr>
                <w:rFonts w:ascii="Times New Roman" w:hAnsi="Times New Roman"/>
                <w:sz w:val="22"/>
                <w:szCs w:val="22"/>
              </w:rPr>
              <w:t xml:space="preserve">Microdatos Oficiales de Salud Infantil - ENDES Perú 2023 (INEI) [9]</w:t>
            </w:r>
            <w:r/>
          </w:p>
        </w:tc>
      </w:tr>
      <w:tr>
        <w:trPr/>
        <w:tc>
          <w:tcPr>
            <w:tcBorders/>
            <w:tcW w:w="4549" w:type="dxa"/>
          </w:tcPr>
          <w:p>
            <w:pPr>
              <w:pBdr/>
              <w:spacing w:after="60" w:before="60" w:line="276" w:lineRule="auto"/>
              <w:ind w:firstLine="0"/>
              <w:jc w:val="left"/>
              <w:rPr/>
            </w:pPr>
            <w:r>
              <w:rPr>
                <w:rFonts w:ascii="Times New Roman" w:hAnsi="Times New Roman"/>
                <w:sz w:val="22"/>
                <w:szCs w:val="22"/>
              </w:rPr>
              <w:t xml:space="preserve">Propósito</w:t>
            </w:r>
            <w:r/>
          </w:p>
        </w:tc>
        <w:tc>
          <w:tcPr>
            <w:tcBorders/>
            <w:tcW w:w="4549" w:type="dxa"/>
          </w:tcPr>
          <w:p>
            <w:pPr>
              <w:pBdr/>
              <w:spacing w:after="60" w:before="60" w:line="276" w:lineRule="auto"/>
              <w:ind w:firstLine="0"/>
              <w:jc w:val="left"/>
              <w:rPr/>
            </w:pPr>
            <w:r>
              <w:rPr>
                <w:rFonts w:ascii="Times New Roman" w:hAnsi="Times New Roman"/>
                <w:sz w:val="22"/>
                <w:szCs w:val="22"/>
              </w:rPr>
              <w:t xml:space="preserve">Entrenamiento de modelos de soporte para triaje de anemia en atención primaria</w:t>
            </w:r>
            <w:r/>
          </w:p>
        </w:tc>
      </w:tr>
      <w:tr>
        <w:trPr/>
        <w:tc>
          <w:tcPr>
            <w:tcBorders/>
            <w:tcW w:w="4549" w:type="dxa"/>
          </w:tcPr>
          <w:p>
            <w:pPr>
              <w:pBdr/>
              <w:spacing w:after="60" w:before="60" w:line="276" w:lineRule="auto"/>
              <w:ind w:firstLine="0"/>
              <w:jc w:val="left"/>
              <w:rPr/>
            </w:pPr>
            <w:r>
              <w:rPr>
                <w:rFonts w:ascii="Times New Roman" w:hAnsi="Times New Roman"/>
                <w:sz w:val="22"/>
                <w:szCs w:val="22"/>
              </w:rPr>
              <w:t xml:space="preserve">Población y Unidad</w:t>
            </w:r>
            <w:r/>
          </w:p>
        </w:tc>
        <w:tc>
          <w:tcPr>
            <w:tcBorders/>
            <w:tcW w:w="4549" w:type="dxa"/>
          </w:tcPr>
          <w:p>
            <w:pPr>
              <w:pBdr/>
              <w:spacing w:after="60" w:before="60" w:line="276" w:lineRule="auto"/>
              <w:ind w:firstLine="0"/>
              <w:jc w:val="left"/>
              <w:rPr/>
            </w:pPr>
            <w:r>
              <w:rPr>
                <w:rFonts w:ascii="Times New Roman" w:hAnsi="Times New Roman"/>
                <w:sz w:val="22"/>
                <w:szCs w:val="22"/>
              </w:rPr>
              <w:t xml:space="preserve">Infantes peruanos de 6 a 35 meses evaluados en sus hogares</w:t>
            </w:r>
            <w:r/>
          </w:p>
        </w:tc>
      </w:tr>
      <w:tr>
        <w:trPr/>
        <w:tc>
          <w:tcPr>
            <w:tcBorders/>
            <w:tcW w:w="4549" w:type="dxa"/>
          </w:tcPr>
          <w:p>
            <w:pPr>
              <w:pBdr/>
              <w:spacing w:after="60" w:before="60" w:line="276" w:lineRule="auto"/>
              <w:ind w:firstLine="0"/>
              <w:jc w:val="left"/>
              <w:rPr/>
            </w:pPr>
            <w:r>
              <w:rPr>
                <w:rFonts w:ascii="Times New Roman" w:hAnsi="Times New Roman"/>
                <w:sz w:val="22"/>
                <w:szCs w:val="22"/>
              </w:rPr>
              <w:t xml:space="preserve">Módulos Integrados</w:t>
            </w:r>
            <w:r/>
          </w:p>
        </w:tc>
        <w:tc>
          <w:tcPr>
            <w:tcBorders/>
            <w:tcW w:w="4549" w:type="dxa"/>
          </w:tcPr>
          <w:p>
            <w:pPr>
              <w:pBdr/>
              <w:spacing w:after="60" w:before="60" w:line="276" w:lineRule="auto"/>
              <w:ind w:firstLine="0"/>
              <w:jc w:val="left"/>
              <w:rPr/>
            </w:pPr>
            <w:r>
              <w:rPr>
                <w:rFonts w:ascii="Times New Roman" w:hAnsi="Times New Roman"/>
                <w:sz w:val="22"/>
                <w:szCs w:val="22"/>
              </w:rPr>
              <w:t xml:space="preserve">RECH6 (Salud del niño) y RECH0 (Vivienda y altitud geográfica)</w:t>
            </w:r>
            <w:r/>
          </w:p>
        </w:tc>
      </w:tr>
      <w:tr>
        <w:trPr/>
        <w:tc>
          <w:tcPr>
            <w:tcBorders/>
            <w:tcW w:w="4549" w:type="dxa"/>
          </w:tcPr>
          <w:p>
            <w:pPr>
              <w:pBdr/>
              <w:spacing w:after="60" w:before="60" w:line="276" w:lineRule="auto"/>
              <w:ind w:firstLine="0"/>
              <w:jc w:val="left"/>
              <w:rPr/>
            </w:pPr>
            <w:r>
              <w:rPr>
                <w:rFonts w:ascii="Times New Roman" w:hAnsi="Times New Roman"/>
                <w:sz w:val="22"/>
                <w:szCs w:val="22"/>
              </w:rPr>
              <w:t xml:space="preserve">Identificador Relacional</w:t>
            </w:r>
            <w:r/>
          </w:p>
        </w:tc>
        <w:tc>
          <w:tcPr>
            <w:tcBorders/>
            <w:tcW w:w="4549" w:type="dxa"/>
          </w:tcPr>
          <w:p>
            <w:pPr>
              <w:pBdr/>
              <w:spacing w:after="60" w:before="60" w:line="276" w:lineRule="auto"/>
              <w:ind w:firstLine="0"/>
              <w:jc w:val="left"/>
              <w:rPr/>
            </w:pPr>
            <w:r>
              <w:rPr>
                <w:rFonts w:ascii="Times New Roman" w:hAnsi="Times New Roman"/>
                <w:sz w:val="22"/>
                <w:szCs w:val="22"/>
              </w:rPr>
              <w:t xml:space="preserve">Código HHID (Household Identifier) para enlace relacional uno a muchos</w:t>
            </w:r>
            <w:r/>
          </w:p>
        </w:tc>
      </w:tr>
      <w:tr>
        <w:trPr/>
        <w:tc>
          <w:tcPr>
            <w:tcBorders/>
            <w:tcW w:w="4549" w:type="dxa"/>
          </w:tcPr>
          <w:p>
            <w:pPr>
              <w:pBdr/>
              <w:spacing w:after="60" w:before="60" w:line="276" w:lineRule="auto"/>
              <w:ind w:firstLine="0"/>
              <w:jc w:val="left"/>
              <w:rPr/>
            </w:pPr>
            <w:r>
              <w:rPr>
                <w:rFonts w:ascii="Times New Roman" w:hAnsi="Times New Roman"/>
                <w:sz w:val="22"/>
                <w:szCs w:val="22"/>
              </w:rPr>
              <w:t xml:space="preserve">Población Filtrada</w:t>
            </w:r>
            <w:r/>
          </w:p>
        </w:tc>
        <w:tc>
          <w:tcPr>
            <w:tcBorders/>
            <w:tcW w:w="4549" w:type="dxa"/>
          </w:tcPr>
          <w:p>
            <w:pPr>
              <w:pBdr/>
              <w:spacing w:after="60" w:before="60" w:line="276" w:lineRule="auto"/>
              <w:ind w:firstLine="0"/>
              <w:jc w:val="left"/>
              <w:rPr/>
            </w:pPr>
            <w:r>
              <w:rPr>
                <w:rFonts w:ascii="Times New Roman" w:hAnsi="Times New Roman"/>
                <w:sz w:val="22"/>
                <w:szCs w:val="22"/>
              </w:rPr>
              <w:t xml:space="preserve">10,340 registros con prueba de sangre válida (código HC55=0)</w:t>
            </w:r>
            <w:r/>
          </w:p>
        </w:tc>
      </w:tr>
      <w:tr>
        <w:trPr/>
        <w:tc>
          <w:tcPr>
            <w:tcBorders/>
            <w:tcW w:w="4549" w:type="dxa"/>
          </w:tcPr>
          <w:p>
            <w:pPr>
              <w:pBdr/>
              <w:spacing w:after="60" w:before="60" w:line="276" w:lineRule="auto"/>
              <w:ind w:firstLine="0"/>
              <w:jc w:val="left"/>
              <w:rPr/>
            </w:pPr>
            <w:r>
              <w:rPr>
                <w:rFonts w:ascii="Times New Roman" w:hAnsi="Times New Roman"/>
                <w:sz w:val="22"/>
                <w:szCs w:val="22"/>
              </w:rPr>
              <w:t xml:space="preserve">Variables Predictoras (7)</w:t>
            </w:r>
            <w:r/>
          </w:p>
        </w:tc>
        <w:tc>
          <w:tcPr>
            <w:tcBorders/>
            <w:tcW w:w="4549" w:type="dxa"/>
          </w:tcPr>
          <w:p>
            <w:pPr>
              <w:pBdr/>
              <w:spacing w:after="60" w:before="60" w:line="276" w:lineRule="auto"/>
              <w:ind w:firstLine="0"/>
              <w:jc w:val="left"/>
              <w:rPr/>
            </w:pPr>
            <w:r>
              <w:rPr>
                <w:rFonts w:ascii="Times New Roman" w:hAnsi="Times New Roman"/>
                <w:sz w:val="22"/>
                <w:szCs w:val="22"/>
              </w:rPr>
              <w:t xml:space="preserve">Hemoglobina_Observada, Altitud_msnm, Talla_cm, Edad_meses, Peso_kg, Sexo_Femenino, Fiebre_Reciente</w:t>
            </w:r>
            <w:r/>
          </w:p>
        </w:tc>
      </w:tr>
      <w:tr>
        <w:trPr/>
        <w:tc>
          <w:tcPr>
            <w:tcBorders/>
            <w:tcW w:w="4549" w:type="dxa"/>
          </w:tcPr>
          <w:p>
            <w:pPr>
              <w:pBdr/>
              <w:spacing w:after="60" w:before="60" w:line="276" w:lineRule="auto"/>
              <w:ind w:firstLine="0"/>
              <w:jc w:val="left"/>
              <w:rPr/>
            </w:pPr>
            <w:r>
              <w:rPr>
                <w:rFonts w:ascii="Times New Roman" w:hAnsi="Times New Roman"/>
                <w:sz w:val="22"/>
                <w:szCs w:val="22"/>
              </w:rPr>
              <w:t xml:space="preserve">Variable Objetivo (Target)</w:t>
            </w:r>
            <w:r/>
          </w:p>
        </w:tc>
        <w:tc>
          <w:tcPr>
            <w:tcBorders/>
            <w:tcW w:w="4549" w:type="dxa"/>
          </w:tcPr>
          <w:p>
            <w:pPr>
              <w:pBdr/>
              <w:spacing w:after="60" w:before="60" w:line="276" w:lineRule="auto"/>
              <w:ind w:firstLine="0"/>
              <w:jc w:val="left"/>
              <w:rPr/>
            </w:pPr>
            <w:r>
              <w:rPr>
                <w:rFonts w:ascii="Times New Roman" w:hAnsi="Times New Roman"/>
                <w:sz w:val="22"/>
                <w:szCs w:val="22"/>
              </w:rPr>
              <w:t xml:space="preserve">Anemia (0 = Sano / No anémico, 1 = Anémico) según NTS N° 134-MINSA</w:t>
            </w:r>
            <w:r/>
          </w:p>
        </w:tc>
      </w:tr>
      <w:tr>
        <w:trPr/>
        <w:tc>
          <w:tcPr>
            <w:tcBorders/>
            <w:tcW w:w="4549" w:type="dxa"/>
          </w:tcPr>
          <w:p>
            <w:pPr>
              <w:pBdr/>
              <w:spacing w:after="60" w:before="60" w:line="276" w:lineRule="auto"/>
              <w:ind w:firstLine="0"/>
              <w:jc w:val="left"/>
              <w:rPr/>
            </w:pPr>
            <w:r>
              <w:rPr>
                <w:rFonts w:ascii="Times New Roman" w:hAnsi="Times New Roman"/>
                <w:sz w:val="22"/>
                <w:szCs w:val="22"/>
              </w:rPr>
              <w:t xml:space="preserve">Distribución de Clases</w:t>
            </w:r>
            <w:r/>
          </w:p>
        </w:tc>
        <w:tc>
          <w:tcPr>
            <w:tcBorders/>
            <w:tcW w:w="4549" w:type="dxa"/>
          </w:tcPr>
          <w:p>
            <w:pPr>
              <w:pBdr/>
              <w:spacing w:after="60" w:before="60" w:line="276" w:lineRule="auto"/>
              <w:ind w:firstLine="0"/>
              <w:jc w:val="left"/>
              <w:rPr/>
            </w:pPr>
            <w:r>
              <w:rPr>
                <w:rFonts w:ascii="Times New Roman" w:hAnsi="Times New Roman"/>
                <w:sz w:val="22"/>
                <w:szCs w:val="22"/>
              </w:rPr>
              <w:t xml:space="preserve">7,270 niños sanos (70.31%) y 3,070 niños anémicos (29.69%)</w:t>
            </w:r>
            <w:r/>
          </w:p>
        </w:tc>
      </w:tr>
      <w:tr>
        <w:trPr/>
        <w:tc>
          <w:tcPr>
            <w:tcBorders/>
            <w:tcW w:w="4549" w:type="dxa"/>
          </w:tcPr>
          <w:p>
            <w:pPr>
              <w:pBdr/>
              <w:spacing w:after="60" w:before="60" w:line="276" w:lineRule="auto"/>
              <w:ind w:firstLine="0"/>
              <w:jc w:val="left"/>
              <w:rPr/>
            </w:pPr>
            <w:r>
              <w:rPr>
                <w:rFonts w:ascii="Times New Roman" w:hAnsi="Times New Roman"/>
                <w:sz w:val="22"/>
                <w:szCs w:val="22"/>
              </w:rPr>
              <w:t xml:space="preserve">Licencia de Uso</w:t>
            </w:r>
            <w:r/>
          </w:p>
        </w:tc>
        <w:tc>
          <w:tcPr>
            <w:tcBorders/>
            <w:tcW w:w="4549" w:type="dxa"/>
          </w:tcPr>
          <w:p>
            <w:pPr>
              <w:pBdr/>
              <w:spacing w:after="60" w:before="60" w:line="276" w:lineRule="auto"/>
              <w:ind w:firstLine="0"/>
              <w:jc w:val="left"/>
              <w:rPr/>
            </w:pPr>
            <w:r>
              <w:rPr>
                <w:rFonts w:ascii="Times New Roman" w:hAnsi="Times New Roman"/>
                <w:sz w:val="22"/>
                <w:szCs w:val="22"/>
              </w:rPr>
              <w:t xml:space="preserve">Datos abiertos públicos con fines científicos y académicos (INEI Perú)</w:t>
            </w:r>
            <w:r/>
          </w:p>
        </w:tc>
      </w:tr>
    </w:tbl>
    <w:p>
      <w:pPr>
        <w:pStyle w:val="871"/>
        <w:pBdr/>
        <w:spacing w:line="480" w:lineRule="auto"/>
        <w:ind w:firstLine="720"/>
        <w:rPr/>
      </w:pPr>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16.2. Calidad de los Datos</w:t>
      </w:r>
      <w:r/>
    </w:p>
    <w:p>
      <w:pPr>
        <w:pStyle w:val="871"/>
        <w:pBdr/>
        <w:spacing w:line="480" w:lineRule="auto"/>
        <w:ind w:firstLine="720"/>
        <w:rPr/>
      </w:pPr>
      <w:r>
        <w:rPr>
          <w:rFonts w:ascii="Times New Roman" w:hAnsi="Times New Roman" w:cs="Times New Roman"/>
          <w:sz w:val="24"/>
          <w:szCs w:val="24"/>
        </w:rPr>
        <w:t xml:space="preserve">Al revisar la calidad de los datos se comprobaron las condiciones necesarias para que los modelos no aprendan de datos con errores o vacíos:</w:t>
      </w:r>
      <w:r/>
    </w:p>
    <w:p>
      <w:pPr>
        <w:pStyle w:val="871"/>
        <w:pBdr/>
        <w:spacing w:line="480" w:lineRule="auto"/>
        <w:ind w:firstLine="720"/>
        <w:rPr/>
      </w:pPr>
      <w:r>
        <w:rPr>
          <w:rFonts w:ascii="Times New Roman" w:hAnsi="Times New Roman" w:cs="Times New Roman"/>
          <w:sz w:val="24"/>
          <w:szCs w:val="24"/>
        </w:rPr>
        <w:t xml:space="preserve">- Completitud de la muestra: De los má</w:t>
      </w:r>
      <w:r>
        <w:rPr>
          <w:rFonts w:ascii="Times New Roman" w:hAnsi="Times New Roman" w:cs="Times New Roman"/>
          <w:sz w:val="24"/>
          <w:szCs w:val="24"/>
        </w:rPr>
        <w:t xml:space="preserve">s de 22 mil registros brutos que tenía el módulo RECH6, se seleccionaron exactamente 10,340 niños entre 6 y 35 meses que tenían su prueba de hemoglobina completa y válida, descartando registros donde la madre no aceptó la prueba o donde faltaba la altitud.</w:t>
      </w:r>
      <w:r/>
    </w:p>
    <w:p>
      <w:pPr>
        <w:pStyle w:val="871"/>
        <w:pBdr/>
        <w:spacing w:line="480" w:lineRule="auto"/>
        <w:ind w:firstLine="720"/>
        <w:rPr/>
      </w:pPr>
      <w:r>
        <w:rPr>
          <w:rFonts w:ascii="Times New Roman" w:hAnsi="Times New Roman" w:cs="Times New Roman"/>
          <w:sz w:val="24"/>
          <w:szCs w:val="24"/>
        </w:rPr>
        <w:t xml:space="preserve">- Exactitud en las medicio</w:t>
      </w:r>
      <w:r>
        <w:rPr>
          <w:rFonts w:ascii="Times New Roman" w:hAnsi="Times New Roman" w:cs="Times New Roman"/>
          <w:sz w:val="24"/>
          <w:szCs w:val="24"/>
        </w:rPr>
        <w:t xml:space="preserve">nes: Se revisó que los valores de hemoglobina observada estuvieran dentro de rangos biológicamente compatibles con la vida (entre 3.0 y 19.5 g/dL) y que la altitud del pueblo estuviera entre 0 y 4,600 metros, que corresponde a las zonas habitadas del Perú.</w:t>
      </w:r>
      <w:r/>
    </w:p>
    <w:p>
      <w:pPr>
        <w:pStyle w:val="871"/>
        <w:pBdr/>
        <w:spacing w:line="480" w:lineRule="auto"/>
        <w:ind w:firstLine="720"/>
        <w:rPr/>
      </w:pPr>
      <w:r>
        <w:rPr>
          <w:rFonts w:ascii="Times New Roman" w:hAnsi="Times New Roman" w:cs="Times New Roman"/>
          <w:sz w:val="24"/>
          <w:szCs w:val="24"/>
        </w:rPr>
        <w:t xml:space="preserve">- Consistencia entre módulos: Al cruzar la tabla de salud RECH6 con la tabla de vivienda RECH0 usando el código HHID no se encontraron filas huérfanas ni datos contradictorios de ubicación.</w:t>
      </w:r>
      <w:r/>
    </w:p>
    <w:p>
      <w:pPr>
        <w:pStyle w:val="871"/>
        <w:pBdr/>
        <w:spacing w:line="480" w:lineRule="auto"/>
        <w:ind w:firstLine="720"/>
        <w:rPr/>
      </w:pPr>
      <w:r>
        <w:rPr>
          <w:rFonts w:ascii="Times New Roman" w:hAnsi="Times New Roman" w:cs="Times New Roman"/>
          <w:sz w:val="24"/>
          <w:szCs w:val="24"/>
        </w:rPr>
        <w:t xml:space="preserve">- Unicidad: Se revisó que ningún niño estuviera duplicado en la base de datos, verificando el identificador único de hogar y número de orden.</w:t>
      </w:r>
      <w:r/>
    </w:p>
    <w:p>
      <w:pPr>
        <w:pStyle w:val="871"/>
        <w:pBdr/>
        <w:spacing w:line="480" w:lineRule="auto"/>
        <w:ind w:firstLine="720"/>
        <w:rPr/>
      </w:pPr>
      <w:r>
        <w:rPr>
          <w:rFonts w:ascii="Times New Roman" w:hAnsi="Times New Roman" w:cs="Times New Roman"/>
          <w:sz w:val="24"/>
          <w:szCs w:val="24"/>
        </w:rPr>
        <w:t xml:space="preserve">- Validez y actualidad: Las variables coinciden con los lineamientos técnicos del MINSA y corresponden a la ENDES 2023, siendo la información más reciente que tiene el país para estudiar la anemia infantil.</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16.3. Exploratory Data Analysis — EDA</w:t>
      </w:r>
      <w:r/>
    </w:p>
    <w:p>
      <w:pPr>
        <w:pStyle w:val="871"/>
        <w:pBdr/>
        <w:spacing w:line="480" w:lineRule="auto"/>
        <w:ind w:firstLine="720"/>
        <w:rPr/>
      </w:pPr>
      <w:r>
        <w:rPr>
          <w:rFonts w:ascii="Times New Roman" w:hAnsi="Times New Roman" w:cs="Times New Roman"/>
          <w:sz w:val="24"/>
          <w:szCs w:val="24"/>
        </w:rPr>
        <w:t xml:space="preserve">Se analizó y examinó la distribución estadísticas en los 10,340 casos antes de iniciar el entrenamiento:</w:t>
      </w:r>
      <w:r/>
    </w:p>
    <w:p>
      <w:pPr>
        <w:pStyle w:val="871"/>
        <w:pBdr/>
        <w:spacing w:line="480" w:lineRule="auto"/>
        <w:ind w:firstLine="720"/>
        <w:rPr/>
      </w:pPr>
      <w:r>
        <w:rPr>
          <w:rFonts w:ascii="Times New Roman" w:hAnsi="Times New Roman" w:cs="Times New Roman"/>
          <w:sz w:val="24"/>
          <w:szCs w:val="24"/>
        </w:rPr>
        <w:t xml:space="preserve">- Distribución de hemoglobina y altitud: El valor medio de hemoglobina en la muestra fue de 11.23 </w:t>
      </w:r>
      <w:r>
        <w:rPr>
          <w:rFonts w:ascii="Times New Roman" w:hAnsi="Times New Roman" w:cs="Times New Roman"/>
          <w:sz w:val="24"/>
          <w:szCs w:val="24"/>
        </w:rPr>
        <w:t xml:space="preserve">g/dL. Al realiazar una comparación con la costa respecto a la altitud encontramos que en la costa el promedio se ubica en 10.8 g/dL, mientras que en localidades como Puno  sube a 13.5 g/dL, esto reafirma el aumento de glóbulos rojos ante la hipoxia andina.</w:t>
      </w:r>
      <w:r/>
    </w:p>
    <w:p>
      <w:pPr>
        <w:pStyle w:val="871"/>
        <w:pBdr/>
        <w:spacing w:line="480" w:lineRule="auto"/>
        <w:ind w:firstLine="720"/>
        <w:rPr/>
      </w:pPr>
      <w:r>
        <w:rPr>
          <w:rFonts w:ascii="Times New Roman" w:hAnsi="Times New Roman" w:cs="Times New Roman"/>
          <w:sz w:val="24"/>
          <w:szCs w:val="24"/>
        </w:rPr>
        <w:t xml:space="preserve">- Proporción de clases: La </w:t>
      </w:r>
      <w:r>
        <w:rPr>
          <w:rFonts w:ascii="Times New Roman" w:hAnsi="Times New Roman" w:cs="Times New Roman"/>
          <w:sz w:val="24"/>
          <w:szCs w:val="24"/>
        </w:rPr>
        <w:t xml:space="preserve">muestra quedó conformada por 7,270 infantes sin anemia (70.31%) y 3,070 anémicos (29.69%). Este notable diferencia confirma que no podíamos evaluar con exactitud simple, ya que predecir siempre sano daría un 70% aparente sin detectar a ningún niño enfermo.</w:t>
      </w:r>
      <w:r/>
    </w:p>
    <w:p>
      <w:pPr>
        <w:pStyle w:val="871"/>
        <w:pBdr/>
        <w:spacing w:line="480" w:lineRule="auto"/>
        <w:ind w:firstLine="720"/>
        <w:rPr/>
      </w:pPr>
      <w:r>
        <w:rPr>
          <w:rFonts w:ascii="Times New Roman" w:hAnsi="Times New Roman" w:cs="Times New Roman"/>
          <w:sz w:val="24"/>
          <w:szCs w:val="24"/>
        </w:rPr>
        <w:t xml:space="preserve">- Relación con</w:t>
      </w:r>
      <w:r>
        <w:rPr>
          <w:rFonts w:ascii="Times New Roman" w:hAnsi="Times New Roman" w:cs="Times New Roman"/>
          <w:sz w:val="24"/>
          <w:szCs w:val="24"/>
        </w:rPr>
        <w:t xml:space="preserve"> edad: La mayor concentración de casos anémicos apareció entre los 6 y 18 meses, etapa donde  finaliza la lactancia materna. Asimismo, los infantes con menor peso y talla registraron niveles más bajos de hemoglobina, asociándose la anemia con la nutrición.</w:t>
      </w:r>
      <w:r/>
    </w:p>
    <w:p>
      <w:pPr>
        <w:pStyle w:val="871"/>
        <w:pBdr/>
        <w:spacing w:line="480" w:lineRule="auto"/>
        <w:ind w:firstLine="720"/>
        <w:rPr/>
      </w:pPr>
      <w:r>
        <w:rPr>
          <w:rFonts w:ascii="Times New Roman" w:hAnsi="Times New Roman" w:cs="Times New Roman"/>
          <w:sz w:val="24"/>
          <w:szCs w:val="24"/>
        </w:rPr>
        <w:t xml:space="preserve">- Evidencia obtenida: Después de analizar la evidencia un factor a tomar en cuenta antes de evaluar a un niño de la sierra sin corregir por la altitud esta generaría falsos negativos, esto fundamenta la altitud como una variable a tomar en cuenta.</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16.4. Preparación e Ingeniería de Datos</w:t>
      </w:r>
      <w:r/>
    </w:p>
    <w:p>
      <w:pPr>
        <w:pStyle w:val="871"/>
        <w:pBdr/>
        <w:spacing w:line="480" w:lineRule="auto"/>
        <w:ind w:firstLine="720"/>
        <w:rPr/>
      </w:pPr>
      <w:r>
        <w:rPr>
          <w:rFonts w:ascii="Times New Roman" w:hAnsi="Times New Roman" w:cs="Times New Roman"/>
          <w:sz w:val="24"/>
          <w:szCs w:val="24"/>
        </w:rPr>
        <w:t xml:space="preserve">Para tener una condición óptima antes del modelado, aplicamos una limpieza y transformación en Python:</w:t>
      </w:r>
      <w:r/>
    </w:p>
    <w:p>
      <w:pPr>
        <w:pStyle w:val="871"/>
        <w:pBdr/>
        <w:spacing w:line="480" w:lineRule="auto"/>
        <w:ind w:firstLine="720"/>
        <w:rPr/>
      </w:pPr>
      <w:r>
        <w:rPr>
          <w:rFonts w:ascii="Times New Roman" w:hAnsi="Times New Roman" w:cs="Times New Roman"/>
          <w:sz w:val="24"/>
          <w:szCs w:val="24"/>
        </w:rPr>
        <w:t xml:space="preserve">- Conservamos únicamente a los infantes de 6 a 35 meses con prueba de hemoglobina completa. Omitimos registros donde no hay muestra o donde faltaba la altitud de la vivienda.</w:t>
      </w:r>
      <w:r/>
    </w:p>
    <w:p>
      <w:pPr>
        <w:pStyle w:val="871"/>
        <w:pBdr/>
        <w:spacing w:line="480" w:lineRule="auto"/>
        <w:ind w:firstLine="720"/>
        <w:rPr/>
      </w:pPr>
      <w:r>
        <w:rPr>
          <w:rFonts w:ascii="Times New Roman" w:hAnsi="Times New Roman" w:cs="Times New Roman"/>
          <w:sz w:val="24"/>
          <w:szCs w:val="24"/>
        </w:rPr>
        <w:t xml:space="preserve">- En concordancia con la norma NTS N° 134-MINSA, en l</w:t>
      </w:r>
      <w:r>
        <w:rPr>
          <w:rFonts w:ascii="Times New Roman" w:hAnsi="Times New Roman" w:cs="Times New Roman"/>
          <w:sz w:val="24"/>
          <w:szCs w:val="24"/>
        </w:rPr>
        <w:t xml:space="preserve">ocalidades sobre los 1,000 m s. n. m. restamos el factor de corrección por altitud al valor reportado por el Hemocue. Si la hemoglobina ajustada resultó menor a 11.0 g/dL se etiquetó como 1 (anémico), y si fue igual o mayor a 11.0 g/dL como 0 (sin anemia).</w:t>
      </w:r>
      <w:r/>
    </w:p>
    <w:p>
      <w:pPr>
        <w:pStyle w:val="871"/>
        <w:pBdr/>
        <w:spacing w:line="480" w:lineRule="auto"/>
        <w:ind w:firstLine="720"/>
        <w:rPr/>
      </w:pPr>
      <w:r>
        <w:rPr>
          <w:rFonts w:ascii="Times New Roman" w:hAnsi="Times New Roman" w:cs="Times New Roman"/>
          <w:sz w:val="24"/>
          <w:szCs w:val="24"/>
        </w:rPr>
        <w:t xml:space="preserve">- Asignamos valor binario 1 para sexo femenino y 0 para masculino. Para la variable de fiebre reciente se asignó 1  y 0 en ausencia, controlando variaciones por factores externos.</w:t>
      </w:r>
      <w:r/>
    </w:p>
    <w:p>
      <w:pPr>
        <w:pStyle w:val="871"/>
        <w:pBdr/>
        <w:spacing w:line="480" w:lineRule="auto"/>
        <w:ind w:firstLine="720"/>
        <w:rPr/>
      </w:pPr>
      <w:r>
        <w:rPr>
          <w:rFonts w:ascii="Times New Roman" w:hAnsi="Times New Roman" w:cs="Times New Roman"/>
          <w:sz w:val="24"/>
          <w:szCs w:val="24"/>
        </w:rPr>
        <w:t xml:space="preserve">- Estandarización con Standar</w:t>
      </w:r>
      <w:r>
        <w:rPr>
          <w:rFonts w:ascii="Times New Roman" w:hAnsi="Times New Roman" w:cs="Times New Roman"/>
          <w:sz w:val="24"/>
          <w:szCs w:val="24"/>
        </w:rPr>
        <w:t xml:space="preserve">dScaler: Dado que la altitud alcanza más de 4,000 metros y la hemoglobina se mueve en rangos de 3 a 19 g/dL, esa diferencia afectaría el cálculo de distancias en KNN. Aplicamos StandardScaler para transformar las variables a media cero y varianza unitaria.</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16.5. Prevención de Data Leakage</w:t>
      </w:r>
      <w:r/>
    </w:p>
    <w:p>
      <w:pPr>
        <w:pStyle w:val="871"/>
        <w:pBdr/>
        <w:spacing w:line="480" w:lineRule="auto"/>
        <w:ind w:firstLine="720"/>
        <w:rPr/>
      </w:pPr>
      <w:r>
        <w:rPr>
          <w:rFonts w:ascii="Times New Roman" w:hAnsi="Times New Roman" w:cs="Times New Roman"/>
          <w:sz w:val="24"/>
          <w:szCs w:val="24"/>
        </w:rPr>
        <w:t xml:space="preserve">Un error muy </w:t>
      </w:r>
      <w:r>
        <w:rPr>
          <w:rFonts w:ascii="Times New Roman" w:hAnsi="Times New Roman" w:cs="Times New Roman"/>
          <w:sz w:val="24"/>
          <w:szCs w:val="24"/>
        </w:rPr>
        <w:t xml:space="preserve">común al hacer modelos de inteligencia artificial es la fuga de información (data leakage), que pasa cuando se normalizan todos los datos juntos antes de dividirlos, haciendo que el modelo ya conozca datos de la prueba y dé resultados falsamente perfectos.</w:t>
      </w:r>
      <w:r/>
    </w:p>
    <w:p>
      <w:pPr>
        <w:pStyle w:val="871"/>
        <w:pBdr/>
        <w:spacing w:line="480" w:lineRule="auto"/>
        <w:ind w:firstLine="720"/>
        <w:rPr/>
      </w:pPr>
      <w:r>
        <w:rPr>
          <w:rFonts w:ascii="Times New Roman" w:hAnsi="Times New Roman" w:cs="Times New Roman"/>
          <w:sz w:val="24"/>
          <w:szCs w:val="24"/>
        </w:rPr>
        <w:t xml:space="preserve">Para que esto no ocurra en nuestro trabajo, se cuidó el orden de los pasos:</w:t>
      </w:r>
      <w:r/>
    </w:p>
    <w:p>
      <w:pPr>
        <w:pStyle w:val="871"/>
        <w:pBdr/>
        <w:spacing w:line="480" w:lineRule="auto"/>
        <w:ind w:firstLine="720"/>
        <w:rPr/>
      </w:pPr>
      <w:r>
        <w:rPr>
          <w:rFonts w:ascii="Times New Roman" w:hAnsi="Times New Roman" w:cs="Times New Roman"/>
          <w:sz w:val="24"/>
          <w:szCs w:val="24"/>
        </w:rPr>
        <w:t xml:space="preserve">- Primero se dividió la base de datos de 10,340 registros usando train_test_split de forma estratificada: el 80% (8,272 niños) para entrenar los modelos y el 20% restante (2,068 niños) como conjunto de prueba ciego.</w:t>
      </w:r>
      <w:r/>
    </w:p>
    <w:p>
      <w:pPr>
        <w:pStyle w:val="871"/>
        <w:pBdr/>
        <w:spacing w:line="480" w:lineRule="auto"/>
        <w:ind w:firstLine="720"/>
        <w:rPr/>
      </w:pPr>
      <w:r>
        <w:rPr>
          <w:rFonts w:ascii="Times New Roman" w:hAnsi="Times New Roman" w:cs="Times New Roman"/>
          <w:sz w:val="24"/>
          <w:szCs w:val="24"/>
        </w:rPr>
        <w:t xml:space="preserve">- Luego de haber separado los datos, recién se aplicó el escalador StandardScaler. El escalador aprendió la media y la desviación estándar únicamente con el grupo de entrenamiento mediante fit_transform().</w:t>
      </w:r>
      <w:r/>
    </w:p>
    <w:p>
      <w:pPr>
        <w:pStyle w:val="871"/>
        <w:pBdr/>
        <w:spacing w:line="480" w:lineRule="auto"/>
        <w:ind w:firstLine="720"/>
        <w:rPr/>
      </w:pPr>
      <w:r>
        <w:rPr>
          <w:rFonts w:ascii="Times New Roman" w:hAnsi="Times New Roman" w:cs="Times New Roman"/>
          <w:sz w:val="24"/>
          <w:szCs w:val="24"/>
        </w:rPr>
        <w:t xml:space="preserve">- Para los datos de prueba nunca se volvió a ajustar el escalador; solo se aplicó transform() usando los valores que ya habían quedado guardados del entrenamiento.</w:t>
      </w:r>
      <w:r/>
    </w:p>
    <w:p>
      <w:pPr>
        <w:pStyle w:val="871"/>
        <w:pBdr/>
        <w:spacing w:line="480" w:lineRule="auto"/>
        <w:ind w:firstLine="720"/>
        <w:rPr/>
      </w:pPr>
      <w:r>
        <w:rPr>
          <w:rFonts w:ascii="Times New Roman" w:hAnsi="Times New Roman" w:cs="Times New Roman"/>
          <w:sz w:val="24"/>
          <w:szCs w:val="24"/>
        </w:rPr>
        <w:t xml:space="preserve">Con esto nos aseguramos de que el modelo evalúe niños que nunca antes vio, tal como pasará en la posta médica cuando el médico ingrese a un paciente nuevo en la consulta.</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17. Diseño de la Solución de IA</w:t>
      </w:r>
      <w:r/>
    </w:p>
    <w:p>
      <w:pPr>
        <w:pStyle w:val="871"/>
        <w:pBdr/>
        <w:spacing w:line="480" w:lineRule="auto"/>
        <w:ind w:firstLine="720"/>
        <w:rPr/>
      </w:pPr>
      <w:r>
        <w:rPr>
          <w:rFonts w:ascii="Times New Roman" w:hAnsi="Times New Roman" w:cs="Times New Roman"/>
          <w:sz w:val="24"/>
          <w:szCs w:val="24"/>
        </w:rPr>
        <w:t xml:space="preserve">La solución se pensó como un sistema rápido y fácil de usar en las postas de salud, dividido en tres partes principales:</w:t>
      </w:r>
      <w:r/>
    </w:p>
    <w:p>
      <w:pPr>
        <w:pStyle w:val="871"/>
        <w:pBdr/>
        <w:spacing w:line="480" w:lineRule="auto"/>
        <w:ind w:firstLine="720"/>
        <w:rPr/>
      </w:pPr>
      <w:r>
        <w:rPr>
          <w:rFonts w:ascii="Times New Roman" w:hAnsi="Times New Roman" w:cs="Times New Roman"/>
          <w:sz w:val="24"/>
          <w:szCs w:val="24"/>
        </w:rPr>
        <w:t xml:space="preserve">- 1. Entrada de datos en consulta: El médico o enfermero ingresa en la pantalla los datos que midió con el Hemocue y la balanza (hemoglobina observada, altitud del pueblo, edad, talla, peso, sexo y si tuvo fiebre).</w:t>
      </w:r>
      <w:r/>
    </w:p>
    <w:p>
      <w:pPr>
        <w:pStyle w:val="871"/>
        <w:pBdr/>
        <w:spacing w:line="480" w:lineRule="auto"/>
        <w:ind w:firstLine="720"/>
        <w:rPr/>
      </w:pPr>
      <w:r>
        <w:rPr>
          <w:rFonts w:ascii="Times New Roman" w:hAnsi="Times New Roman" w:cs="Times New Roman"/>
          <w:sz w:val="24"/>
          <w:szCs w:val="24"/>
        </w:rPr>
        <w:t xml:space="preserve">- 2. Procesamiento y predicción</w:t>
      </w:r>
      <w:r>
        <w:rPr>
          <w:rFonts w:ascii="Times New Roman" w:hAnsi="Times New Roman" w:cs="Times New Roman"/>
          <w:sz w:val="24"/>
          <w:szCs w:val="24"/>
        </w:rPr>
        <w:t xml:space="preserve"> con IA: El programa carga en memoria los parámetros del escalador StandardScaler y los modelos serializados de Random Forest y KNN. Aplica la normalización a los datos ingresados y en milisegundos corre la inferencia para ver si el niño tiene anemia o no.</w:t>
      </w:r>
      <w:r/>
    </w:p>
    <w:p>
      <w:pPr>
        <w:pStyle w:val="871"/>
        <w:pBdr/>
        <w:spacing w:line="480" w:lineRule="auto"/>
        <w:ind w:firstLine="720"/>
        <w:rPr/>
      </w:pPr>
      <w:r>
        <w:rPr>
          <w:rFonts w:ascii="Times New Roman" w:hAnsi="Times New Roman" w:cs="Times New Roman"/>
          <w:sz w:val="24"/>
          <w:szCs w:val="24"/>
        </w:rPr>
        <w:t xml:space="preserve">- 3. Salida de resultados: El sistema le m</w:t>
      </w:r>
      <w:r>
        <w:rPr>
          <w:rFonts w:ascii="Times New Roman" w:hAnsi="Times New Roman" w:cs="Times New Roman"/>
          <w:sz w:val="24"/>
          <w:szCs w:val="24"/>
        </w:rPr>
        <w:t xml:space="preserve">uestra al médico en pantalla el diagnóstico directo (Sano o Anémico), la probabilidad calculada y una alerta de apoyo para que pueda entregar las gotas de sulfato ferroso en el momento sin tener que esperar días a los resultados del laboratorio provincial.</w:t>
      </w:r>
      <w:r/>
    </w:p>
    <w:p>
      <w:pPr>
        <w:pStyle w:val="871"/>
        <w:pBdr/>
        <w:spacing w:line="480" w:lineRule="auto"/>
        <w:ind w:firstLine="720"/>
        <w:rPr/>
      </w:pPr>
      <w:r>
        <w:rPr>
          <w:rFonts w:ascii="Times New Roman" w:hAnsi="Times New Roman" w:cs="Times New Roman"/>
          <w:sz w:val="24"/>
          <w:szCs w:val="24"/>
        </w:rPr>
        <w:t xml:space="preserve">Al estar programado en módulos separados, los archivos de los modelos (.joblib) quedan guardados en el disco y se pueden cargar en cualquier computadora sin necesidad de volver a entrenar todo desde cero.</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17.1. Técnicas de Ingeniería de Software</w:t>
      </w:r>
      <w:r/>
    </w:p>
    <w:p>
      <w:pPr>
        <w:pStyle w:val="871"/>
        <w:pBdr/>
        <w:spacing w:line="480" w:lineRule="auto"/>
        <w:ind w:firstLine="720"/>
        <w:rPr/>
      </w:pPr>
      <w:r>
        <w:rPr>
          <w:rFonts w:ascii="Times New Roman" w:hAnsi="Times New Roman" w:cs="Times New Roman"/>
          <w:sz w:val="24"/>
          <w:szCs w:val="24"/>
        </w:rPr>
        <w:t xml:space="preserve">Para garantizar el funcionamiento del proyecto se estructuró los requerimientos de este:</w:t>
      </w:r>
      <w:r/>
    </w:p>
    <w:p>
      <w:pPr>
        <w:pStyle w:val="871"/>
        <w:pBdr/>
        <w:spacing w:line="480" w:lineRule="auto"/>
        <w:ind w:firstLine="720"/>
        <w:rPr/>
      </w:pPr>
      <w:r>
        <w:rPr>
          <w:rFonts w:ascii="Times New Roman" w:hAnsi="Times New Roman" w:cs="Times New Roman"/>
          <w:sz w:val="24"/>
          <w:szCs w:val="24"/>
        </w:rPr>
        <w:t xml:space="preserve">Requerimientos funcionales: La aplicación recibe las siete vari</w:t>
      </w:r>
      <w:r>
        <w:rPr>
          <w:rFonts w:ascii="Times New Roman" w:hAnsi="Times New Roman" w:cs="Times New Roman"/>
          <w:sz w:val="24"/>
          <w:szCs w:val="24"/>
        </w:rPr>
        <w:t xml:space="preserve">ables clínicas del triaje (hemoglobina de Hemocue, altitud en m s. n. m., edad en meses, peso, talla, sexo y antecedente febril). Se aplica el escalador serializado y genera el diagnóstico, señalando la necesidad de tratamiento a un recall superior al 95%.</w:t>
      </w:r>
      <w:r/>
    </w:p>
    <w:p>
      <w:pPr>
        <w:pStyle w:val="871"/>
        <w:pBdr/>
        <w:spacing w:line="480" w:lineRule="auto"/>
        <w:ind w:firstLine="720"/>
        <w:rPr/>
      </w:pPr>
      <w:r>
        <w:rPr>
          <w:rFonts w:ascii="Times New Roman" w:hAnsi="Times New Roman" w:cs="Times New Roman"/>
          <w:sz w:val="24"/>
          <w:szCs w:val="24"/>
        </w:rPr>
        <w:t xml:space="preserve">Requerimientos no funcionales: El paquete de datos ocupan menos de 2 MB en disco y consumen menos de 45 MB de RAM, lo cual permite su ejecución sin conexión a internet en computadoras básicas de postas rurales, además de ofrecer soporte en Google Colab.</w:t>
      </w:r>
      <w:r/>
    </w:p>
    <w:p>
      <w:pPr>
        <w:pStyle w:val="871"/>
        <w:pBdr/>
        <w:spacing w:line="480" w:lineRule="auto"/>
        <w:ind w:firstLine="720"/>
        <w:rPr/>
      </w:pPr>
      <w:r>
        <w:rPr>
          <w:rFonts w:ascii="Times New Roman" w:hAnsi="Times New Roman" w:cs="Times New Roman"/>
          <w:sz w:val="24"/>
          <w:szCs w:val="24"/>
        </w:rPr>
        <w:t xml:space="preserve">Para la mantenibilidad del proyecto usamos control de versiones con Git bajo una estructura modular (data, src, models, results, docs), validando con datos sintéticos y casos límite para evitar caídas durante la ejecución.</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18. Desarrollo e Implementación</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18.1. Diseño del Modelo de IA</w:t>
      </w:r>
      <w:r/>
    </w:p>
    <w:p>
      <w:pPr>
        <w:pStyle w:val="871"/>
        <w:pBdr/>
        <w:spacing w:line="480" w:lineRule="auto"/>
        <w:ind w:firstLine="720"/>
        <w:rPr/>
      </w:pPr>
      <w:r>
        <w:rPr>
          <w:rFonts w:ascii="Times New Roman" w:hAnsi="Times New Roman" w:cs="Times New Roman"/>
          <w:sz w:val="24"/>
          <w:szCs w:val="24"/>
        </w:rPr>
        <w:t xml:space="preserve">Para resolver el problema se seleccionaron dos modelos de aprendizaje automático:</w:t>
      </w:r>
      <w:r/>
    </w:p>
    <w:p>
      <w:pPr>
        <w:pStyle w:val="871"/>
        <w:pBdr/>
        <w:spacing w:line="480" w:lineRule="auto"/>
        <w:ind w:firstLine="720"/>
        <w:rPr/>
      </w:pPr>
      <w:r>
        <w:rPr>
          <w:rFonts w:ascii="Times New Roman" w:hAnsi="Times New Roman" w:cs="Times New Roman"/>
          <w:sz w:val="24"/>
          <w:szCs w:val="24"/>
        </w:rPr>
        <w:t xml:space="preserve">Random Forest fue seleccionado como modelo principal por tratarse de un ensamble de árboles de decisión. Este algoritmo es capaz de capturar rel</w:t>
      </w:r>
      <w:r>
        <w:rPr>
          <w:rFonts w:ascii="Times New Roman" w:hAnsi="Times New Roman" w:cs="Times New Roman"/>
          <w:sz w:val="24"/>
          <w:szCs w:val="24"/>
        </w:rPr>
        <w:t xml:space="preserve">aciones no lineales e interacciones complejas entre la altitud y la hemoglobina, ofreciendo una alta resistencia al sobreajuste mediante el promedio de 100 árboles de decisión independientes entrenados con muestras bootstrap y criterio de impureza de Gini.</w:t>
      </w:r>
      <w:r/>
    </w:p>
    <w:p>
      <w:pPr>
        <w:pStyle w:val="871"/>
        <w:pBdr/>
        <w:spacing w:line="480" w:lineRule="auto"/>
        <w:ind w:firstLine="720"/>
        <w:rPr/>
      </w:pPr>
      <w:r>
        <w:rPr>
          <w:rFonts w:ascii="Times New Roman" w:hAnsi="Times New Roman" w:cs="Times New Roman"/>
          <w:sz w:val="24"/>
          <w:szCs w:val="24"/>
        </w:rPr>
        <w:t xml:space="preserve">K-Nearest Neighbors (KNN) fue seleccionado como modelo de contraste geométrico </w:t>
      </w:r>
      <w:r>
        <w:rPr>
          <w:rFonts w:ascii="Times New Roman" w:hAnsi="Times New Roman" w:cs="Times New Roman"/>
          <w:sz w:val="24"/>
          <w:szCs w:val="24"/>
        </w:rPr>
        <w:t xml:space="preserve">basado en instancias. Permite evaluar cómo clasifica un enfoque puramente espacial basado en distancias euclidianas. Tras realizar un barrido experimental de parámetros desde k=1 hasta k=31, se determinó que k=17 proporciona el punto óptimo de estabilidad.</w:t>
      </w:r>
      <w:r/>
    </w:p>
    <w:p>
      <w:pPr>
        <w:pStyle w:val="871"/>
        <w:pBdr/>
        <w:spacing w:line="480" w:lineRule="auto"/>
        <w:ind w:firstLine="720"/>
        <w:rPr/>
      </w:pPr>
      <w:r>
        <w:rPr>
          <w:rFonts w:ascii="Times New Roman" w:hAnsi="Times New Roman" w:cs="Times New Roman"/>
          <w:sz w:val="24"/>
          <w:szCs w:val="24"/>
        </w:rPr>
        <w:t xml:space="preserve">Las 7 variables de entrada alimentan a los modelos para predecir la variable objetivo binaria (Anemia: 0 = Sano, 1 = Anémico). El entrenamiento se ejecutó sobre las 8,272 muestras de entrenamiento.</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18.2. Modelo Base — Baseline</w:t>
      </w:r>
      <w:r/>
    </w:p>
    <w:p>
      <w:pPr>
        <w:pStyle w:val="871"/>
        <w:pBdr/>
        <w:spacing w:line="480" w:lineRule="auto"/>
        <w:ind w:firstLine="720"/>
        <w:rPr/>
      </w:pPr>
      <w:r>
        <w:rPr>
          <w:rFonts w:ascii="Times New Roman" w:hAnsi="Times New Roman" w:cs="Times New Roman"/>
          <w:sz w:val="24"/>
          <w:szCs w:val="24"/>
        </w:rPr>
        <w:t xml:space="preserve">Para poder contrastar el aporte real de los modelos lo comparamos frente a un método simple, implementamos un clasificador baseline de referencia con DummyClassifier de Scikit-learn usando la regla most_frequent.</w:t>
      </w:r>
      <w:r/>
    </w:p>
    <w:p>
      <w:pPr>
        <w:pStyle w:val="871"/>
        <w:pBdr/>
        <w:spacing w:line="480" w:lineRule="auto"/>
        <w:ind w:firstLine="720"/>
        <w:rPr/>
      </w:pPr>
      <w:r>
        <w:rPr>
          <w:rFonts w:ascii="Times New Roman" w:hAnsi="Times New Roman" w:cs="Times New Roman"/>
          <w:sz w:val="24"/>
          <w:szCs w:val="24"/>
        </w:rPr>
        <w:t xml:space="preserve">Este clasificador asigna siempre la categoría predominante que vendría a ser sin anemia. Dado que en la data del INEI el 70.31% no presenta la afección, el Dummy alcanza un aparente 70.31% de exactitud  sin haber aprendido ninguna relación clínica.</w:t>
      </w:r>
      <w:r/>
    </w:p>
    <w:p>
      <w:pPr>
        <w:pStyle w:val="871"/>
        <w:pBdr/>
        <w:spacing w:line="480" w:lineRule="auto"/>
        <w:ind w:firstLine="720"/>
        <w:rPr/>
      </w:pPr>
      <w:r>
        <w:rPr>
          <w:rFonts w:ascii="Times New Roman" w:hAnsi="Times New Roman" w:cs="Times New Roman"/>
          <w:sz w:val="24"/>
          <w:szCs w:val="24"/>
        </w:rPr>
        <w:t xml:space="preserve">No obstante, al revisar las métricas se observa su error en la práctica: su recall y su F1-Score son 0</w:t>
      </w:r>
      <w:r>
        <w:rPr>
          <w:rFonts w:ascii="Times New Roman" w:hAnsi="Times New Roman" w:cs="Times New Roman"/>
          <w:sz w:val="24"/>
          <w:szCs w:val="24"/>
        </w:rPr>
        <w:t xml:space="preserve">.00%, fallando en la totalidad de los 614 niños anémicos de la prueba. En un caso real de salud esto supone  dejar sin tratamiento a 614 infantes. Este contraste fundamenta la necesidad de clasificadores como Random Forest y KNN para la detección temprana.</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19. Diseño Experimental</w:t>
      </w:r>
      <w:r/>
    </w:p>
    <w:p>
      <w:pPr>
        <w:pStyle w:val="871"/>
        <w:pBdr/>
        <w:spacing w:line="480" w:lineRule="auto"/>
        <w:ind w:firstLine="720"/>
        <w:rPr/>
      </w:pPr>
      <w:r>
        <w:rPr>
          <w:rFonts w:ascii="Times New Roman" w:hAnsi="Times New Roman" w:cs="Times New Roman"/>
          <w:sz w:val="24"/>
          <w:szCs w:val="24"/>
        </w:rPr>
        <w:t xml:space="preserve">Se diseñaron experimentos controlados bajo una misma semilla aleatoria fija (random_state=42) para comparar sistemáticamente el comportamiento de los algoritmos bajo idénticas condiciones (Tabla 3).</w:t>
      </w:r>
      <w:r/>
    </w:p>
    <w:tbl>
      <w:tblPr>
        <w:tblStyle w:val="883"/>
        <w:jc w:val="center"/>
        <w:tblW w:w="0" w:type="auto"/>
        <w:tblBorders/>
        <w:tblLook w:val="04A0" w:firstRow="1" w:lastRow="0" w:firstColumn="1" w:lastColumn="0" w:noHBand="0" w:noVBand="1"/>
      </w:tblPr>
      <w:tblGrid>
        <w:gridCol w:w="1820"/>
        <w:gridCol w:w="1820"/>
        <w:gridCol w:w="1820"/>
        <w:gridCol w:w="1820"/>
        <w:gridCol w:w="1820"/>
      </w:tblGrid>
      <w:tr>
        <w:trPr/>
        <w:tc>
          <w:tcPr>
            <w:tcBorders/>
            <w:tcW w:w="1820" w:type="dxa"/>
          </w:tcPr>
          <w:p>
            <w:pPr>
              <w:pBdr/>
              <w:spacing w:after="60" w:before="60" w:line="276" w:lineRule="auto"/>
              <w:ind w:firstLine="0"/>
              <w:jc w:val="center"/>
              <w:rPr/>
            </w:pPr>
            <w:r>
              <w:rPr>
                <w:rFonts w:ascii="Times New Roman" w:hAnsi="Times New Roman"/>
                <w:b/>
                <w:bCs/>
                <w:sz w:val="22"/>
                <w:szCs w:val="22"/>
              </w:rPr>
              <w:t xml:space="preserve">Exp.</w:t>
            </w:r>
            <w:r/>
          </w:p>
        </w:tc>
        <w:tc>
          <w:tcPr>
            <w:tcBorders/>
            <w:tcW w:w="1820" w:type="dxa"/>
          </w:tcPr>
          <w:p>
            <w:pPr>
              <w:pBdr/>
              <w:spacing w:after="60" w:before="60" w:line="276" w:lineRule="auto"/>
              <w:ind w:firstLine="0"/>
              <w:jc w:val="center"/>
              <w:rPr/>
            </w:pPr>
            <w:r>
              <w:rPr>
                <w:rFonts w:ascii="Times New Roman" w:hAnsi="Times New Roman"/>
                <w:b/>
                <w:bCs/>
                <w:sz w:val="22"/>
                <w:szCs w:val="22"/>
              </w:rPr>
              <w:t xml:space="preserve">Modelo Evaluado</w:t>
            </w:r>
            <w:r/>
          </w:p>
        </w:tc>
        <w:tc>
          <w:tcPr>
            <w:tcBorders/>
            <w:tcW w:w="1820" w:type="dxa"/>
          </w:tcPr>
          <w:p>
            <w:pPr>
              <w:pBdr/>
              <w:spacing w:after="60" w:before="60" w:line="276" w:lineRule="auto"/>
              <w:ind w:firstLine="0"/>
              <w:jc w:val="center"/>
              <w:rPr/>
            </w:pPr>
            <w:r>
              <w:rPr>
                <w:rFonts w:ascii="Times New Roman" w:hAnsi="Times New Roman"/>
                <w:b/>
                <w:bCs/>
                <w:sz w:val="22"/>
                <w:szCs w:val="22"/>
              </w:rPr>
              <w:t xml:space="preserve">Variables</w:t>
            </w:r>
            <w:r/>
          </w:p>
        </w:tc>
        <w:tc>
          <w:tcPr>
            <w:tcBorders/>
            <w:tcW w:w="1820" w:type="dxa"/>
          </w:tcPr>
          <w:p>
            <w:pPr>
              <w:pBdr/>
              <w:spacing w:after="60" w:before="60" w:line="276" w:lineRule="auto"/>
              <w:ind w:firstLine="0"/>
              <w:jc w:val="center"/>
              <w:rPr/>
            </w:pPr>
            <w:r>
              <w:rPr>
                <w:rFonts w:ascii="Times New Roman" w:hAnsi="Times New Roman"/>
                <w:b/>
                <w:bCs/>
                <w:sz w:val="22"/>
                <w:szCs w:val="22"/>
              </w:rPr>
              <w:t xml:space="preserve">Hiperparámetros</w:t>
            </w:r>
            <w:r/>
          </w:p>
        </w:tc>
        <w:tc>
          <w:tcPr>
            <w:tcBorders/>
            <w:tcW w:w="1820" w:type="dxa"/>
          </w:tcPr>
          <w:p>
            <w:pPr>
              <w:pBdr/>
              <w:spacing w:after="60" w:before="60" w:line="276" w:lineRule="auto"/>
              <w:ind w:firstLine="0"/>
              <w:jc w:val="center"/>
              <w:rPr/>
            </w:pPr>
            <w:r>
              <w:rPr>
                <w:rFonts w:ascii="Times New Roman" w:hAnsi="Times New Roman"/>
                <w:b/>
                <w:bCs/>
                <w:sz w:val="22"/>
                <w:szCs w:val="22"/>
              </w:rPr>
              <w:t xml:space="preserve">Propósito Experimental</w:t>
            </w:r>
            <w:r/>
          </w:p>
        </w:tc>
      </w:tr>
      <w:tr>
        <w:trPr/>
        <w:tc>
          <w:tcPr>
            <w:tcBorders/>
            <w:tcW w:w="1820" w:type="dxa"/>
          </w:tcPr>
          <w:p>
            <w:pPr>
              <w:pBdr/>
              <w:spacing w:after="60" w:before="60" w:line="276" w:lineRule="auto"/>
              <w:ind w:firstLine="0"/>
              <w:jc w:val="left"/>
              <w:rPr/>
            </w:pPr>
            <w:r>
              <w:rPr>
                <w:rFonts w:ascii="Times New Roman" w:hAnsi="Times New Roman"/>
                <w:sz w:val="22"/>
                <w:szCs w:val="22"/>
              </w:rPr>
              <w:t xml:space="preserve">E1</w:t>
            </w:r>
            <w:r/>
          </w:p>
        </w:tc>
        <w:tc>
          <w:tcPr>
            <w:tcBorders/>
            <w:tcW w:w="1820" w:type="dxa"/>
          </w:tcPr>
          <w:p>
            <w:pPr>
              <w:pBdr/>
              <w:spacing w:after="60" w:before="60" w:line="276" w:lineRule="auto"/>
              <w:ind w:firstLine="0"/>
              <w:jc w:val="left"/>
              <w:rPr/>
            </w:pPr>
            <w:r>
              <w:rPr>
                <w:rFonts w:ascii="Times New Roman" w:hAnsi="Times New Roman"/>
                <w:sz w:val="22"/>
                <w:szCs w:val="22"/>
              </w:rPr>
              <w:t xml:space="preserve">Baseline Dummy</w:t>
            </w:r>
            <w:r/>
          </w:p>
        </w:tc>
        <w:tc>
          <w:tcPr>
            <w:tcBorders/>
            <w:tcW w:w="1820" w:type="dxa"/>
          </w:tcPr>
          <w:p>
            <w:pPr>
              <w:pBdr/>
              <w:spacing w:after="60" w:before="60" w:line="276" w:lineRule="auto"/>
              <w:ind w:firstLine="0"/>
              <w:jc w:val="left"/>
              <w:rPr/>
            </w:pPr>
            <w:r>
              <w:rPr>
                <w:rFonts w:ascii="Times New Roman" w:hAnsi="Times New Roman"/>
                <w:sz w:val="22"/>
                <w:szCs w:val="22"/>
              </w:rPr>
              <w:t xml:space="preserve">7 variables</w:t>
            </w:r>
            <w:r/>
          </w:p>
        </w:tc>
        <w:tc>
          <w:tcPr>
            <w:tcBorders/>
            <w:tcW w:w="1820" w:type="dxa"/>
          </w:tcPr>
          <w:p>
            <w:pPr>
              <w:pBdr/>
              <w:spacing w:after="60" w:before="60" w:line="276" w:lineRule="auto"/>
              <w:ind w:firstLine="0"/>
              <w:jc w:val="left"/>
              <w:rPr/>
            </w:pPr>
            <w:r>
              <w:rPr>
                <w:rFonts w:ascii="Times New Roman" w:hAnsi="Times New Roman"/>
                <w:sz w:val="22"/>
                <w:szCs w:val="22"/>
              </w:rPr>
              <w:t xml:space="preserve">strategy='most_frequent'</w:t>
            </w:r>
            <w:r/>
          </w:p>
        </w:tc>
        <w:tc>
          <w:tcPr>
            <w:tcBorders/>
            <w:tcW w:w="1820" w:type="dxa"/>
          </w:tcPr>
          <w:p>
            <w:pPr>
              <w:pBdr/>
              <w:spacing w:after="60" w:before="60" w:line="276" w:lineRule="auto"/>
              <w:ind w:firstLine="0"/>
              <w:jc w:val="left"/>
              <w:rPr/>
            </w:pPr>
            <w:r>
              <w:rPr>
                <w:rFonts w:ascii="Times New Roman" w:hAnsi="Times New Roman"/>
                <w:sz w:val="22"/>
                <w:szCs w:val="22"/>
              </w:rPr>
              <w:t xml:space="preserve">Establecer la línea base trivial sin aprendizaje</w:t>
            </w:r>
            <w:r/>
          </w:p>
        </w:tc>
      </w:tr>
      <w:tr>
        <w:trPr/>
        <w:tc>
          <w:tcPr>
            <w:tcBorders/>
            <w:tcW w:w="1820" w:type="dxa"/>
          </w:tcPr>
          <w:p>
            <w:pPr>
              <w:pBdr/>
              <w:spacing w:after="60" w:before="60" w:line="276" w:lineRule="auto"/>
              <w:ind w:firstLine="0"/>
              <w:jc w:val="left"/>
              <w:rPr/>
            </w:pPr>
            <w:r>
              <w:rPr>
                <w:rFonts w:ascii="Times New Roman" w:hAnsi="Times New Roman"/>
                <w:sz w:val="22"/>
                <w:szCs w:val="22"/>
              </w:rPr>
              <w:t xml:space="preserve">E2</w:t>
            </w:r>
            <w:r/>
          </w:p>
        </w:tc>
        <w:tc>
          <w:tcPr>
            <w:tcBorders/>
            <w:tcW w:w="1820" w:type="dxa"/>
          </w:tcPr>
          <w:p>
            <w:pPr>
              <w:pBdr/>
              <w:spacing w:after="60" w:before="60" w:line="276" w:lineRule="auto"/>
              <w:ind w:firstLine="0"/>
              <w:jc w:val="left"/>
              <w:rPr/>
            </w:pPr>
            <w:r>
              <w:rPr>
                <w:rFonts w:ascii="Times New Roman" w:hAnsi="Times New Roman"/>
                <w:sz w:val="22"/>
                <w:szCs w:val="22"/>
              </w:rPr>
              <w:t xml:space="preserve">K-Nearest Neighbors</w:t>
            </w:r>
            <w:r/>
          </w:p>
        </w:tc>
        <w:tc>
          <w:tcPr>
            <w:tcBorders/>
            <w:tcW w:w="1820" w:type="dxa"/>
          </w:tcPr>
          <w:p>
            <w:pPr>
              <w:pBdr/>
              <w:spacing w:after="60" w:before="60" w:line="276" w:lineRule="auto"/>
              <w:ind w:firstLine="0"/>
              <w:jc w:val="left"/>
              <w:rPr/>
            </w:pPr>
            <w:r>
              <w:rPr>
                <w:rFonts w:ascii="Times New Roman" w:hAnsi="Times New Roman"/>
                <w:sz w:val="22"/>
                <w:szCs w:val="22"/>
              </w:rPr>
              <w:t xml:space="preserve">7 escaladas</w:t>
            </w:r>
            <w:r/>
          </w:p>
        </w:tc>
        <w:tc>
          <w:tcPr>
            <w:tcBorders/>
            <w:tcW w:w="1820" w:type="dxa"/>
          </w:tcPr>
          <w:p>
            <w:pPr>
              <w:pBdr/>
              <w:spacing w:after="60" w:before="60" w:line="276" w:lineRule="auto"/>
              <w:ind w:firstLine="0"/>
              <w:jc w:val="left"/>
              <w:rPr/>
            </w:pPr>
            <w:r>
              <w:rPr>
                <w:rFonts w:ascii="Times New Roman" w:hAnsi="Times New Roman"/>
                <w:sz w:val="22"/>
                <w:szCs w:val="22"/>
              </w:rPr>
              <w:t xml:space="preserve">k=17, métrica euclidiana</w:t>
            </w:r>
            <w:r/>
          </w:p>
        </w:tc>
        <w:tc>
          <w:tcPr>
            <w:tcBorders/>
            <w:tcW w:w="1820" w:type="dxa"/>
          </w:tcPr>
          <w:p>
            <w:pPr>
              <w:pBdr/>
              <w:spacing w:after="60" w:before="60" w:line="276" w:lineRule="auto"/>
              <w:ind w:firstLine="0"/>
              <w:jc w:val="left"/>
              <w:rPr/>
            </w:pPr>
            <w:r>
              <w:rPr>
                <w:rFonts w:ascii="Times New Roman" w:hAnsi="Times New Roman"/>
                <w:sz w:val="22"/>
                <w:szCs w:val="22"/>
              </w:rPr>
              <w:t xml:space="preserve">Evaluar clasificación por cercanía métrica óptima</w:t>
            </w:r>
            <w:r/>
          </w:p>
        </w:tc>
      </w:tr>
      <w:tr>
        <w:trPr/>
        <w:tc>
          <w:tcPr>
            <w:tcBorders/>
            <w:tcW w:w="1820" w:type="dxa"/>
          </w:tcPr>
          <w:p>
            <w:pPr>
              <w:pBdr/>
              <w:spacing w:after="60" w:before="60" w:line="276" w:lineRule="auto"/>
              <w:ind w:firstLine="0"/>
              <w:jc w:val="left"/>
              <w:rPr/>
            </w:pPr>
            <w:r>
              <w:rPr>
                <w:rFonts w:ascii="Times New Roman" w:hAnsi="Times New Roman"/>
                <w:sz w:val="22"/>
                <w:szCs w:val="22"/>
              </w:rPr>
              <w:t xml:space="preserve">E3</w:t>
            </w:r>
            <w:r/>
          </w:p>
        </w:tc>
        <w:tc>
          <w:tcPr>
            <w:tcBorders/>
            <w:tcW w:w="1820" w:type="dxa"/>
          </w:tcPr>
          <w:p>
            <w:pPr>
              <w:pBdr/>
              <w:spacing w:after="60" w:before="60" w:line="276" w:lineRule="auto"/>
              <w:ind w:firstLine="0"/>
              <w:jc w:val="left"/>
              <w:rPr/>
            </w:pPr>
            <w:r>
              <w:rPr>
                <w:rFonts w:ascii="Times New Roman" w:hAnsi="Times New Roman"/>
                <w:sz w:val="22"/>
                <w:szCs w:val="22"/>
              </w:rPr>
              <w:t xml:space="preserve">Random Forest</w:t>
            </w:r>
            <w:r/>
          </w:p>
        </w:tc>
        <w:tc>
          <w:tcPr>
            <w:tcBorders/>
            <w:tcW w:w="1820" w:type="dxa"/>
          </w:tcPr>
          <w:p>
            <w:pPr>
              <w:pBdr/>
              <w:spacing w:after="60" w:before="60" w:line="276" w:lineRule="auto"/>
              <w:ind w:firstLine="0"/>
              <w:jc w:val="left"/>
              <w:rPr/>
            </w:pPr>
            <w:r>
              <w:rPr>
                <w:rFonts w:ascii="Times New Roman" w:hAnsi="Times New Roman"/>
                <w:sz w:val="22"/>
                <w:szCs w:val="22"/>
              </w:rPr>
              <w:t xml:space="preserve">7 escaladas</w:t>
            </w:r>
            <w:r/>
          </w:p>
        </w:tc>
        <w:tc>
          <w:tcPr>
            <w:tcBorders/>
            <w:tcW w:w="1820" w:type="dxa"/>
          </w:tcPr>
          <w:p>
            <w:pPr>
              <w:pBdr/>
              <w:spacing w:after="60" w:before="60" w:line="276" w:lineRule="auto"/>
              <w:ind w:firstLine="0"/>
              <w:jc w:val="left"/>
              <w:rPr/>
            </w:pPr>
            <w:r>
              <w:rPr>
                <w:rFonts w:ascii="Times New Roman" w:hAnsi="Times New Roman"/>
                <w:sz w:val="22"/>
                <w:szCs w:val="22"/>
              </w:rPr>
              <w:t xml:space="preserve">100 árboles, criterio Gini</w:t>
            </w:r>
            <w:r/>
          </w:p>
        </w:tc>
        <w:tc>
          <w:tcPr>
            <w:tcBorders/>
            <w:tcW w:w="1820" w:type="dxa"/>
          </w:tcPr>
          <w:p>
            <w:pPr>
              <w:pBdr/>
              <w:spacing w:after="60" w:before="60" w:line="276" w:lineRule="auto"/>
              <w:ind w:firstLine="0"/>
              <w:jc w:val="left"/>
              <w:rPr/>
            </w:pPr>
            <w:r>
              <w:rPr>
                <w:rFonts w:ascii="Times New Roman" w:hAnsi="Times New Roman"/>
                <w:sz w:val="22"/>
                <w:szCs w:val="22"/>
              </w:rPr>
              <w:t xml:space="preserve">Evaluar ensamble no lineal con alta sensibilidad clínica</w:t>
            </w:r>
            <w:r/>
          </w:p>
        </w:tc>
      </w:tr>
    </w:tbl>
    <w:p>
      <w:pPr>
        <w:pStyle w:val="871"/>
        <w:pBdr/>
        <w:spacing w:line="480" w:lineRule="auto"/>
        <w:ind w:firstLine="720"/>
        <w:rPr/>
      </w:pPr>
      <w:r/>
      <w:r/>
    </w:p>
    <w:p>
      <w:pPr>
        <w:pStyle w:val="871"/>
        <w:pBdr/>
        <w:spacing w:line="480" w:lineRule="auto"/>
        <w:ind w:firstLine="720"/>
        <w:rPr/>
      </w:pPr>
      <w:r>
        <w:rPr>
          <w:rFonts w:ascii="Times New Roman" w:hAnsi="Times New Roman" w:cs="Times New Roman"/>
          <w:sz w:val="24"/>
          <w:szCs w:val="24"/>
        </w:rPr>
        <w:t xml:space="preserve">En cada experimento se mantuvieron constantes el conjunto </w:t>
      </w:r>
      <w:r>
        <w:rPr>
          <w:rFonts w:ascii="Times New Roman" w:hAnsi="Times New Roman" w:cs="Times New Roman"/>
          <w:sz w:val="24"/>
          <w:szCs w:val="24"/>
        </w:rPr>
        <w:t xml:space="preserve">de datos de entrenamiento (8,272 registros), el conjunto de prueba independiente (2,068 casos) y el escalado StandardScaler. Lo que varió fue la familia del modelo y su estructura algorítmica, midiéndose su efectividad con métricas clínicas estandarizadas.</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20. Evaluación</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20.1. Métricas de Evaluación</w:t>
      </w:r>
      <w:r/>
    </w:p>
    <w:p>
      <w:pPr>
        <w:pStyle w:val="871"/>
        <w:pBdr/>
        <w:spacing w:line="480" w:lineRule="auto"/>
        <w:ind w:firstLine="720"/>
        <w:rPr/>
      </w:pPr>
      <w:r>
        <w:rPr>
          <w:rFonts w:ascii="Times New Roman" w:hAnsi="Times New Roman" w:cs="Times New Roman"/>
          <w:sz w:val="24"/>
          <w:szCs w:val="24"/>
        </w:rPr>
        <w:t xml:space="preserve">Para poder evaluar los clasificadores nos centramos en lo que puede ayudar al personal médico:</w:t>
      </w:r>
      <w:r/>
    </w:p>
    <w:p>
      <w:pPr>
        <w:pStyle w:val="871"/>
        <w:pBdr/>
        <w:spacing w:line="480" w:lineRule="auto"/>
        <w:ind w:firstLine="720"/>
        <w:rPr/>
      </w:pPr>
      <w:r>
        <w:rPr>
          <w:rFonts w:ascii="Times New Roman" w:hAnsi="Times New Roman" w:cs="Times New Roman"/>
          <w:sz w:val="24"/>
          <w:szCs w:val="24"/>
        </w:rPr>
        <w:t xml:space="preserve">Recall: La métrica más importante porque con esta medimos la proporción de infantes anémicos identificados. En la consulta diaria, un falso negativo representa un niño sin su tratamiento oportuno.</w:t>
      </w:r>
      <w:r/>
    </w:p>
    <w:p>
      <w:pPr>
        <w:pStyle w:val="871"/>
        <w:pBdr/>
        <w:spacing w:line="480" w:lineRule="auto"/>
        <w:ind w:firstLine="720"/>
        <w:rPr/>
      </w:pPr>
      <w:r>
        <w:rPr>
          <w:rFonts w:ascii="Times New Roman" w:hAnsi="Times New Roman" w:cs="Times New Roman"/>
          <w:sz w:val="24"/>
          <w:szCs w:val="24"/>
        </w:rPr>
        <w:t xml:space="preserve">Precisión: Verifica que las alertas emitidas por el algoritmo sí sean infantes con anemia, reduciendo falsas alarmas durante la consulta.</w:t>
      </w:r>
      <w:r/>
    </w:p>
    <w:p>
      <w:pPr>
        <w:pStyle w:val="871"/>
        <w:pBdr/>
        <w:spacing w:line="480" w:lineRule="auto"/>
        <w:ind w:firstLine="720"/>
        <w:rPr/>
      </w:pPr>
      <w:r>
        <w:rPr>
          <w:rFonts w:ascii="Times New Roman" w:hAnsi="Times New Roman" w:cs="Times New Roman"/>
          <w:sz w:val="24"/>
          <w:szCs w:val="24"/>
        </w:rPr>
        <w:t xml:space="preserve">F1-Score: El F1-Score combina los dos anteriores, al usar data de la encuesta hay un desbalance pero con el F1-Score nos reporta la tasa general de aciertos en la muestra.</w:t>
      </w:r>
      <w:r/>
    </w:p>
    <w:p>
      <w:pPr>
        <w:pStyle w:val="871"/>
        <w:pBdr/>
        <w:spacing w:line="480" w:lineRule="auto"/>
        <w:ind w:firstLine="720"/>
        <w:rPr/>
      </w:pPr>
      <w:r>
        <w:rPr>
          <w:rFonts w:ascii="Times New Roman" w:hAnsi="Times New Roman" w:cs="Times New Roman"/>
          <w:sz w:val="24"/>
          <w:szCs w:val="24"/>
        </w:rPr>
        <w:t xml:space="preserve">Curva ROC y Matriz de Confusión: La curva nos muestra que tan bueno es para la capacidad de discriminación en distintos umbrales, mientras que la matriz detalla el recuento de aciertos y equivocaciones sobre la muestra de prueba.</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20.2. Validación</w:t>
      </w:r>
      <w:r/>
    </w:p>
    <w:p>
      <w:pPr>
        <w:pStyle w:val="871"/>
        <w:pBdr/>
        <w:spacing w:line="480" w:lineRule="auto"/>
        <w:ind w:firstLine="720"/>
        <w:rPr/>
      </w:pPr>
      <w:r>
        <w:rPr>
          <w:rFonts w:ascii="Times New Roman" w:hAnsi="Times New Roman" w:cs="Times New Roman"/>
          <w:sz w:val="24"/>
          <w:szCs w:val="24"/>
        </w:rPr>
        <w:t xml:space="preserve">Para poder verificar la estabilidad de los resultados y descartar un golpe de suerte con los datos, implementamos un protocolo de validación en dos niveles:</w:t>
      </w:r>
      <w:r/>
    </w:p>
    <w:p>
      <w:pPr>
        <w:pStyle w:val="871"/>
        <w:pBdr/>
        <w:spacing w:line="480" w:lineRule="auto"/>
        <w:ind w:firstLine="720"/>
        <w:rPr/>
      </w:pPr>
      <w:r>
        <w:rPr>
          <w:rFonts w:ascii="Times New Roman" w:hAnsi="Times New Roman" w:cs="Times New Roman"/>
          <w:sz w:val="24"/>
          <w:szCs w:val="24"/>
        </w:rPr>
        <w:t xml:space="preserve">Primero reservamos un grupo de 2,068 infantes como conjunto de prueba independiente ciego para los algoritmos durante el entrenamiento, preservando la proporción para que tenga el mismo porcentaje de infantes con y sin anemia.</w:t>
      </w:r>
      <w:r/>
    </w:p>
    <w:p>
      <w:pPr>
        <w:pStyle w:val="871"/>
        <w:pBdr/>
        <w:spacing w:line="480" w:lineRule="auto"/>
        <w:ind w:firstLine="720"/>
        <w:rPr/>
      </w:pPr>
      <w:r>
        <w:rPr>
          <w:rFonts w:ascii="Times New Roman" w:hAnsi="Times New Roman" w:cs="Times New Roman"/>
          <w:sz w:val="24"/>
          <w:szCs w:val="24"/>
        </w:rPr>
        <w:t xml:space="preserve">Después con los 8,272 regi</w:t>
      </w:r>
      <w:r>
        <w:rPr>
          <w:rFonts w:ascii="Times New Roman" w:hAnsi="Times New Roman" w:cs="Times New Roman"/>
          <w:sz w:val="24"/>
          <w:szCs w:val="24"/>
        </w:rPr>
        <w:t xml:space="preserve">stros de entrenamiento ejecutamos validación cruzada estratificada de 5 pliegues. El conjunto se divide en cinco bloques equivalentes: cuatro entrenan y uno evalúa, promediando cinco iteraciones para calcular la media y desviación estándar de cada métrica.</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20.3. Comparación de Modelos</w:t>
      </w:r>
      <w:r/>
    </w:p>
    <w:p>
      <w:pPr>
        <w:pStyle w:val="871"/>
        <w:pBdr/>
        <w:spacing w:line="480" w:lineRule="auto"/>
        <w:ind w:firstLine="720"/>
        <w:rPr/>
      </w:pPr>
      <w:r>
        <w:rPr>
          <w:rFonts w:ascii="Times New Roman" w:hAnsi="Times New Roman" w:cs="Times New Roman"/>
          <w:sz w:val="24"/>
          <w:szCs w:val="24"/>
        </w:rPr>
        <w:t xml:space="preserve">Al poner a prueba los modelos con la muestra de 2,068 niños, se aprecian las diferencias técnicas entre los modelos:</w:t>
      </w:r>
      <w:r/>
    </w:p>
    <w:p>
      <w:pPr>
        <w:pStyle w:val="871"/>
        <w:pBdr/>
        <w:spacing w:line="480" w:lineRule="auto"/>
        <w:ind w:firstLine="720"/>
        <w:rPr/>
      </w:pPr>
      <w:r>
        <w:rPr>
          <w:rFonts w:ascii="Times New Roman" w:hAnsi="Times New Roman" w:cs="Times New Roman"/>
          <w:sz w:val="24"/>
          <w:szCs w:val="24"/>
        </w:rPr>
        <w:t xml:space="preserve">Con un resultado casi perfecto Random Forest alcanzó u</w:t>
      </w:r>
      <w:r>
        <w:rPr>
          <w:rFonts w:ascii="Times New Roman" w:hAnsi="Times New Roman" w:cs="Times New Roman"/>
          <w:sz w:val="24"/>
          <w:szCs w:val="24"/>
        </w:rPr>
        <w:t xml:space="preserve">n con 99.67% de recall y 99.90% de exactitud, fallando en únicamente 2 de los 614 infantes anémicos de la prueba. Esto es porque el modelo combina 100 árboles de decisión diferentes que modelan adecuadamente las no linealidades entre altitud y hemoglobina.</w:t>
      </w:r>
      <w:r/>
    </w:p>
    <w:p>
      <w:pPr>
        <w:pStyle w:val="871"/>
        <w:pBdr/>
        <w:spacing w:line="480" w:lineRule="auto"/>
        <w:ind w:firstLine="720"/>
        <w:rPr/>
      </w:pPr>
      <w:r>
        <w:rPr>
          <w:rFonts w:ascii="Times New Roman" w:hAnsi="Times New Roman" w:cs="Times New Roman"/>
          <w:sz w:val="24"/>
          <w:szCs w:val="24"/>
        </w:rPr>
        <w:t xml:space="preserve">Por su lado, KNN con k=17 registró 89.90% de recall y 96.62% de exactitud, omitiendo tan solo 62 casos anémicos. Al calcular tantas variables unas siete el cálculo euclidiano pierde resolución en registros cercanos al umbral clínico de 11.0 g/dL.</w:t>
      </w:r>
      <w:r/>
    </w:p>
    <w:p>
      <w:pPr>
        <w:pStyle w:val="871"/>
        <w:pBdr/>
        <w:spacing w:line="480" w:lineRule="auto"/>
        <w:ind w:firstLine="720"/>
        <w:rPr/>
      </w:pPr>
      <w:r>
        <w:rPr>
          <w:rFonts w:ascii="Times New Roman" w:hAnsi="Times New Roman" w:cs="Times New Roman"/>
          <w:sz w:val="24"/>
          <w:szCs w:val="24"/>
        </w:rPr>
        <w:t xml:space="preserve">Frente al clasificador Dummy (0.00% de recall), ambos modelos ratificaron su superioridad, posicionando a Random Forest como el algoritmo más confiable.</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20.4. Interpretabilidad</w:t>
      </w:r>
      <w:r/>
    </w:p>
    <w:p>
      <w:pPr>
        <w:pStyle w:val="871"/>
        <w:pBdr/>
        <w:spacing w:line="480" w:lineRule="auto"/>
        <w:ind w:firstLine="720"/>
        <w:rPr/>
      </w:pPr>
      <w:r>
        <w:rPr>
          <w:rFonts w:ascii="Times New Roman" w:hAnsi="Times New Roman" w:cs="Times New Roman"/>
          <w:sz w:val="24"/>
          <w:szCs w:val="24"/>
        </w:rPr>
        <w:t xml:space="preserve">En medicina es indispensable que el médico sepa por qué el modelo tomó una decisión y no sea una caja negra misteriosa. Por eso usamos la importancia de variables con el índice de Gini en Random Forest:</w:t>
      </w:r>
      <w:r/>
    </w:p>
    <w:p>
      <w:pPr>
        <w:pStyle w:val="871"/>
        <w:pBdr/>
        <w:spacing w:line="480" w:lineRule="auto"/>
        <w:ind w:firstLine="720"/>
        <w:rPr/>
      </w:pPr>
      <w:r>
        <w:rPr>
          <w:rFonts w:ascii="Times New Roman" w:hAnsi="Times New Roman" w:cs="Times New Roman"/>
          <w:sz w:val="24"/>
          <w:szCs w:val="24"/>
        </w:rPr>
        <w:t xml:space="preserve">- La hemoglobina observada fue la variable más importante con un 87.74% de peso en la decisión.</w:t>
      </w:r>
      <w:r/>
    </w:p>
    <w:p>
      <w:pPr>
        <w:pStyle w:val="871"/>
        <w:pBdr/>
        <w:spacing w:line="480" w:lineRule="auto"/>
        <w:ind w:firstLine="720"/>
        <w:rPr/>
      </w:pPr>
      <w:r>
        <w:rPr>
          <w:rFonts w:ascii="Times New Roman" w:hAnsi="Times New Roman" w:cs="Times New Roman"/>
          <w:sz w:val="24"/>
          <w:szCs w:val="24"/>
        </w:rPr>
        <w:t xml:space="preserve">- La altitud </w:t>
      </w:r>
      <w:r>
        <w:rPr>
          <w:rFonts w:ascii="Times New Roman" w:hAnsi="Times New Roman" w:cs="Times New Roman"/>
          <w:sz w:val="24"/>
          <w:szCs w:val="24"/>
        </w:rPr>
        <w:t xml:space="preserve">del pueblo aportó un 7.12% fundamental. Esto es clave porque confirma que el modelo aprendió por sí solo que a mayor altura sobre el nivel del mar se necesita más hemoglobina para estar sano, tal como dice la norma técnica del MINSA para la hipoxia andina.</w:t>
      </w:r>
      <w:r/>
    </w:p>
    <w:p>
      <w:pPr>
        <w:pStyle w:val="871"/>
        <w:pBdr/>
        <w:spacing w:line="480" w:lineRule="auto"/>
        <w:ind w:firstLine="720"/>
        <w:rPr/>
      </w:pPr>
      <w:r>
        <w:rPr>
          <w:rFonts w:ascii="Times New Roman" w:hAnsi="Times New Roman" w:cs="Times New Roman"/>
          <w:sz w:val="24"/>
          <w:szCs w:val="24"/>
        </w:rPr>
        <w:t xml:space="preserve">- Las demás variables (talla, edad, peso, sexo y fiebre) aportaron el 5.14% restante, ayudando a ajustar los casos donde el valor de hemoglobina está en el límite.</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20.5. Evaluación del Artefacto</w:t>
      </w:r>
      <w:r/>
    </w:p>
    <w:p>
      <w:pPr>
        <w:pStyle w:val="871"/>
        <w:pBdr/>
        <w:spacing w:line="480" w:lineRule="auto"/>
        <w:ind w:firstLine="720"/>
        <w:rPr/>
      </w:pPr>
      <w:r>
        <w:rPr>
          <w:rFonts w:ascii="Times New Roman" w:hAnsi="Times New Roman" w:cs="Times New Roman"/>
          <w:sz w:val="24"/>
          <w:szCs w:val="24"/>
        </w:rPr>
        <w:t xml:space="preserve">También comprobamos el rendimiento computacional del software bajo condiciones de atención primaria:</w:t>
      </w:r>
      <w:r/>
    </w:p>
    <w:p>
      <w:pPr>
        <w:pStyle w:val="871"/>
        <w:pBdr/>
        <w:spacing w:line="480" w:lineRule="auto"/>
        <w:ind w:firstLine="720"/>
        <w:rPr/>
      </w:pPr>
      <w:r>
        <w:rPr>
          <w:rFonts w:ascii="Times New Roman" w:hAnsi="Times New Roman" w:cs="Times New Roman"/>
          <w:sz w:val="24"/>
          <w:szCs w:val="24"/>
        </w:rPr>
        <w:t xml:space="preserve">El sistema tarda tan solo 2 milisegundos, esto demuestra un triaje instantáneo sin demoras durante la consulta.</w:t>
      </w:r>
      <w:r/>
    </w:p>
    <w:p>
      <w:pPr>
        <w:pStyle w:val="871"/>
        <w:pBdr/>
        <w:spacing w:line="480" w:lineRule="auto"/>
        <w:ind w:firstLine="720"/>
        <w:rPr/>
      </w:pPr>
      <w:r>
        <w:rPr>
          <w:rFonts w:ascii="Times New Roman" w:hAnsi="Times New Roman" w:cs="Times New Roman"/>
          <w:sz w:val="24"/>
          <w:szCs w:val="24"/>
        </w:rPr>
        <w:t xml:space="preserve">El archivo final del modelo ocupan menos de 2 MB en disco y demandan menos de 45 MB de memoria RAM, garantizando su funcionamiento inclusive en computadoras más antiguas y limitadas.</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20.6. Prototipo</w:t>
      </w:r>
      <w:r/>
    </w:p>
    <w:p>
      <w:pPr>
        <w:pStyle w:val="871"/>
        <w:pBdr/>
        <w:spacing w:line="480" w:lineRule="auto"/>
        <w:ind w:firstLine="720"/>
        <w:rPr/>
      </w:pPr>
      <w:r>
        <w:rPr>
          <w:rFonts w:ascii="Times New Roman" w:hAnsi="Times New Roman" w:cs="Times New Roman"/>
          <w:sz w:val="24"/>
          <w:szCs w:val="24"/>
        </w:rPr>
        <w:t xml:space="preserve">Se construyó un prototipo funcional en Google Colab para probar el sistema de manera interactiva sin tener que instalar programas pesados en la computadora.</w:t>
      </w:r>
      <w:r/>
    </w:p>
    <w:p>
      <w:pPr>
        <w:pStyle w:val="871"/>
        <w:pBdr/>
        <w:spacing w:line="480" w:lineRule="auto"/>
        <w:ind w:firstLine="720"/>
        <w:rPr/>
      </w:pPr>
      <w:r>
        <w:rPr>
          <w:rFonts w:ascii="Times New Roman" w:hAnsi="Times New Roman" w:cs="Times New Roman"/>
          <w:sz w:val="24"/>
          <w:szCs w:val="24"/>
        </w:rPr>
        <w:t xml:space="preserve">El médico o enfermero solo ingresa los datos que midió en la consulta: la hemoglobina del Hemocue, la altitud del pueblo, la edad en meses, el peso, la talla, el sexo y si tuvo fiebr</w:t>
      </w:r>
      <w:r>
        <w:rPr>
          <w:rFonts w:ascii="Times New Roman" w:hAnsi="Times New Roman" w:cs="Times New Roman"/>
          <w:sz w:val="24"/>
          <w:szCs w:val="24"/>
        </w:rPr>
        <w:t xml:space="preserve">e. Al presionar el botón de predecir, el sistema normaliza los datos con el escalador guardado y muestra en pantalla si el niño tiene anemia o está sano, junto con el porcentaje de seguridad y la recomendación de iniciar el tratamiento con sulfato ferroso.</w:t>
      </w:r>
      <w:r/>
    </w:p>
    <w:p>
      <w:pPr>
        <w:pStyle w:val="871"/>
        <w:pBdr/>
        <w:spacing w:line="480" w:lineRule="auto"/>
        <w:ind w:firstLine="720"/>
        <w:rPr/>
      </w:pPr>
      <w:r>
        <w:rPr>
          <w:rFonts w:ascii="Times New Roman" w:hAnsi="Times New Roman" w:cs="Times New Roman"/>
          <w:sz w:val="24"/>
          <w:szCs w:val="24"/>
        </w:rPr>
        <w:t xml:space="preserve">Este prototipo permite que cualquier médico del SERUMS o estudiante de la FIEI UNFV pueda probar los modelos desde un celular o laptop con internet.</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20.7. Despliegue</w:t>
      </w:r>
      <w:r/>
    </w:p>
    <w:p>
      <w:pPr>
        <w:pStyle w:val="871"/>
        <w:pBdr/>
        <w:spacing w:line="480" w:lineRule="auto"/>
        <w:ind w:firstLine="720"/>
        <w:rPr/>
      </w:pPr>
      <w:r>
        <w:rPr>
          <w:rFonts w:ascii="Times New Roman" w:hAnsi="Times New Roman" w:cs="Times New Roman"/>
          <w:sz w:val="24"/>
          <w:szCs w:val="24"/>
        </w:rPr>
        <w:t xml:space="preserve">Para que la solución sea fácil de llevar a cualquier centro de salud, los modelos entrenados y el escalador se guardaron en formato binario (.joblib) usando la librería joblib de Python.</w:t>
      </w:r>
      <w:r/>
    </w:p>
    <w:p>
      <w:pPr>
        <w:pStyle w:val="871"/>
        <w:pBdr/>
        <w:spacing w:line="480" w:lineRule="auto"/>
        <w:ind w:firstLine="720"/>
        <w:rPr/>
      </w:pPr>
      <w:r>
        <w:rPr>
          <w:rFonts w:ascii="Times New Roman" w:hAnsi="Times New Roman" w:cs="Times New Roman"/>
          <w:sz w:val="24"/>
          <w:szCs w:val="24"/>
        </w:rPr>
        <w:t xml:space="preserve">Con esto, cualquier posta de salud puede cargar los archivos con una sola línea de código (joblib.load) y hacer las predicciones de forma totalmente offline, sin necesitar conexión a internet ni pagar por servidores en la nube.</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20.8. Reproducibilidad</w:t>
      </w:r>
      <w:r/>
    </w:p>
    <w:p>
      <w:pPr>
        <w:pStyle w:val="871"/>
        <w:pBdr/>
        <w:spacing w:line="480" w:lineRule="auto"/>
        <w:ind w:firstLine="720"/>
        <w:rPr/>
      </w:pPr>
      <w:r>
        <w:rPr>
          <w:rFonts w:ascii="Times New Roman" w:hAnsi="Times New Roman" w:cs="Times New Roman"/>
          <w:sz w:val="24"/>
          <w:szCs w:val="24"/>
        </w:rPr>
        <w:t xml:space="preserve">Para que los docentes y estudiantes puedan revisar, probar y validar mi proyecto por su cuenta dejé todo listo y estandarizado:</w:t>
      </w:r>
      <w:r/>
    </w:p>
    <w:p>
      <w:pPr>
        <w:pStyle w:val="871"/>
        <w:pBdr/>
        <w:spacing w:line="480" w:lineRule="auto"/>
        <w:ind w:firstLine="720"/>
        <w:rPr/>
      </w:pPr>
      <w:r>
        <w:rPr>
          <w:rFonts w:ascii="Times New Roman" w:hAnsi="Times New Roman" w:cs="Times New Roman"/>
          <w:sz w:val="24"/>
          <w:szCs w:val="24"/>
        </w:rPr>
        <w:t xml:space="preserve">La semilla está fijada en random_state=42 tanto en entrenar los árboles como la separación del grupo de infantes, garantizando particiones idénticas en cualquier equipo.</w:t>
      </w:r>
      <w:r/>
    </w:p>
    <w:p>
      <w:pPr>
        <w:pStyle w:val="871"/>
        <w:pBdr/>
        <w:spacing w:line="480" w:lineRule="auto"/>
        <w:ind w:firstLine="720"/>
        <w:rPr/>
      </w:pPr>
      <w:r>
        <w:rPr>
          <w:rFonts w:ascii="Times New Roman" w:hAnsi="Times New Roman" w:cs="Times New Roman"/>
          <w:sz w:val="24"/>
          <w:szCs w:val="24"/>
        </w:rPr>
        <w:t xml:space="preserve">Se configuró todo sobre Python 3.10 con dependencias fijadas en requirements.txt , dejando accesible el dataset  de 10,340 registros junto al script reproducible en GitHub para replicar el pipeline completo con una sola instrucción.</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21. Resultados</w:t>
      </w:r>
      <w:r/>
    </w:p>
    <w:p>
      <w:pPr>
        <w:pStyle w:val="871"/>
        <w:pBdr/>
        <w:spacing w:line="480" w:lineRule="auto"/>
        <w:ind w:firstLine="720"/>
        <w:rPr/>
      </w:pPr>
      <w:r>
        <w:rPr>
          <w:rFonts w:ascii="Times New Roman" w:hAnsi="Times New Roman" w:cs="Times New Roman"/>
          <w:sz w:val="24"/>
          <w:szCs w:val="24"/>
        </w:rPr>
        <w:t xml:space="preserve">En la Tabla 4 se presentan objetivamente las métricas obtenidas sobre el conjunto de prueba independiente de 2,068 niños peruanos (1,454 sanos y 614 anémicos), junto al promedio de validación cruzada estratificada de 5 pliegues.</w:t>
      </w:r>
      <w:r/>
    </w:p>
    <w:tbl>
      <w:tblPr>
        <w:tblStyle w:val="883"/>
        <w:jc w:val="center"/>
        <w:tblW w:w="0" w:type="auto"/>
        <w:tblBorders/>
        <w:tblLook w:val="04A0" w:firstRow="1" w:lastRow="0" w:firstColumn="1" w:lastColumn="0" w:noHBand="0" w:noVBand="1"/>
      </w:tblPr>
      <w:tblGrid>
        <w:gridCol w:w="1300"/>
        <w:gridCol w:w="1300"/>
        <w:gridCol w:w="1300"/>
        <w:gridCol w:w="1300"/>
        <w:gridCol w:w="1300"/>
        <w:gridCol w:w="1300"/>
        <w:gridCol w:w="1300"/>
      </w:tblGrid>
      <w:tr>
        <w:trPr/>
        <w:tc>
          <w:tcPr>
            <w:tcBorders/>
            <w:tcW w:w="1300" w:type="dxa"/>
          </w:tcPr>
          <w:p>
            <w:pPr>
              <w:pBdr/>
              <w:spacing w:after="60" w:before="60" w:line="276" w:lineRule="auto"/>
              <w:ind w:firstLine="0"/>
              <w:jc w:val="center"/>
              <w:rPr/>
            </w:pPr>
            <w:r>
              <w:rPr>
                <w:rFonts w:ascii="Times New Roman" w:hAnsi="Times New Roman"/>
                <w:b/>
                <w:bCs/>
                <w:sz w:val="22"/>
                <w:szCs w:val="22"/>
              </w:rPr>
              <w:t xml:space="preserve">Modelo</w:t>
            </w:r>
            <w:r/>
          </w:p>
        </w:tc>
        <w:tc>
          <w:tcPr>
            <w:tcBorders/>
            <w:tcW w:w="1300" w:type="dxa"/>
          </w:tcPr>
          <w:p>
            <w:pPr>
              <w:pBdr/>
              <w:spacing w:after="60" w:before="60" w:line="276" w:lineRule="auto"/>
              <w:ind w:firstLine="0"/>
              <w:jc w:val="center"/>
              <w:rPr/>
            </w:pPr>
            <w:r>
              <w:rPr>
                <w:rFonts w:ascii="Times New Roman" w:hAnsi="Times New Roman"/>
                <w:b/>
                <w:bCs/>
                <w:sz w:val="22"/>
                <w:szCs w:val="22"/>
              </w:rPr>
              <w:t xml:space="preserve">Accuracy (%)</w:t>
            </w:r>
            <w:r/>
          </w:p>
        </w:tc>
        <w:tc>
          <w:tcPr>
            <w:tcBorders/>
            <w:tcW w:w="1300" w:type="dxa"/>
          </w:tcPr>
          <w:p>
            <w:pPr>
              <w:pBdr/>
              <w:spacing w:after="60" w:before="60" w:line="276" w:lineRule="auto"/>
              <w:ind w:firstLine="0"/>
              <w:jc w:val="center"/>
              <w:rPr/>
            </w:pPr>
            <w:r>
              <w:rPr>
                <w:rFonts w:ascii="Times New Roman" w:hAnsi="Times New Roman"/>
                <w:b/>
                <w:bCs/>
                <w:sz w:val="22"/>
                <w:szCs w:val="22"/>
              </w:rPr>
              <w:t xml:space="preserve">Precisión (%)</w:t>
            </w:r>
            <w:r/>
          </w:p>
        </w:tc>
        <w:tc>
          <w:tcPr>
            <w:tcBorders/>
            <w:tcW w:w="1300" w:type="dxa"/>
          </w:tcPr>
          <w:p>
            <w:pPr>
              <w:pBdr/>
              <w:spacing w:after="60" w:before="60" w:line="276" w:lineRule="auto"/>
              <w:ind w:firstLine="0"/>
              <w:jc w:val="center"/>
              <w:rPr/>
            </w:pPr>
            <w:r>
              <w:rPr>
                <w:rFonts w:ascii="Times New Roman" w:hAnsi="Times New Roman"/>
                <w:b/>
                <w:bCs/>
                <w:sz w:val="22"/>
                <w:szCs w:val="22"/>
              </w:rPr>
              <w:t xml:space="preserve">Recall (%)</w:t>
            </w:r>
            <w:r/>
          </w:p>
        </w:tc>
        <w:tc>
          <w:tcPr>
            <w:tcBorders/>
            <w:tcW w:w="1300" w:type="dxa"/>
          </w:tcPr>
          <w:p>
            <w:pPr>
              <w:pBdr/>
              <w:spacing w:after="60" w:before="60" w:line="276" w:lineRule="auto"/>
              <w:ind w:firstLine="0"/>
              <w:jc w:val="center"/>
              <w:rPr/>
            </w:pPr>
            <w:r>
              <w:rPr>
                <w:rFonts w:ascii="Times New Roman" w:hAnsi="Times New Roman"/>
                <w:b/>
                <w:bCs/>
                <w:sz w:val="22"/>
                <w:szCs w:val="22"/>
              </w:rPr>
              <w:t xml:space="preserve">F1-Score (%)</w:t>
            </w:r>
            <w:r/>
          </w:p>
        </w:tc>
        <w:tc>
          <w:tcPr>
            <w:tcBorders/>
            <w:tcW w:w="1300" w:type="dxa"/>
          </w:tcPr>
          <w:p>
            <w:pPr>
              <w:pBdr/>
              <w:spacing w:after="60" w:before="60" w:line="276" w:lineRule="auto"/>
              <w:ind w:firstLine="0"/>
              <w:jc w:val="center"/>
              <w:rPr/>
            </w:pPr>
            <w:r>
              <w:rPr>
                <w:rFonts w:ascii="Times New Roman" w:hAnsi="Times New Roman"/>
                <w:b/>
                <w:bCs/>
                <w:sz w:val="22"/>
                <w:szCs w:val="22"/>
              </w:rPr>
              <w:t xml:space="preserve">ROC-AUC</w:t>
            </w:r>
            <w:r/>
          </w:p>
        </w:tc>
        <w:tc>
          <w:tcPr>
            <w:tcBorders/>
            <w:tcW w:w="1300" w:type="dxa"/>
          </w:tcPr>
          <w:p>
            <w:pPr>
              <w:pBdr/>
              <w:spacing w:after="60" w:before="60" w:line="276" w:lineRule="auto"/>
              <w:ind w:firstLine="0"/>
              <w:jc w:val="center"/>
              <w:rPr/>
            </w:pPr>
            <w:r>
              <w:rPr>
                <w:rFonts w:ascii="Times New Roman" w:hAnsi="Times New Roman"/>
                <w:b/>
                <w:bCs/>
                <w:sz w:val="22"/>
                <w:szCs w:val="22"/>
              </w:rPr>
              <w:t xml:space="preserve">5-Fold CV F1 (%)</w:t>
            </w:r>
            <w:r/>
          </w:p>
        </w:tc>
      </w:tr>
      <w:tr>
        <w:trPr/>
        <w:tc>
          <w:tcPr>
            <w:tcBorders/>
            <w:tcW w:w="1300" w:type="dxa"/>
          </w:tcPr>
          <w:p>
            <w:pPr>
              <w:pBdr/>
              <w:spacing w:after="60" w:before="60" w:line="276" w:lineRule="auto"/>
              <w:ind w:firstLine="0"/>
              <w:jc w:val="left"/>
              <w:rPr/>
            </w:pPr>
            <w:r>
              <w:rPr>
                <w:rFonts w:ascii="Times New Roman" w:hAnsi="Times New Roman"/>
                <w:sz w:val="22"/>
                <w:szCs w:val="22"/>
              </w:rPr>
              <w:t xml:space="preserve">Baseline Dummy</w:t>
            </w:r>
            <w:r/>
          </w:p>
        </w:tc>
        <w:tc>
          <w:tcPr>
            <w:tcBorders/>
            <w:tcW w:w="1300" w:type="dxa"/>
          </w:tcPr>
          <w:p>
            <w:pPr>
              <w:pBdr/>
              <w:spacing w:after="60" w:before="60" w:line="276" w:lineRule="auto"/>
              <w:ind w:firstLine="0"/>
              <w:jc w:val="left"/>
              <w:rPr/>
            </w:pPr>
            <w:r>
              <w:rPr>
                <w:rFonts w:ascii="Times New Roman" w:hAnsi="Times New Roman"/>
                <w:sz w:val="22"/>
                <w:szCs w:val="22"/>
              </w:rPr>
              <w:t xml:space="preserve">70.31%</w:t>
            </w:r>
            <w:r/>
          </w:p>
        </w:tc>
        <w:tc>
          <w:tcPr>
            <w:tcBorders/>
            <w:tcW w:w="1300" w:type="dxa"/>
          </w:tcPr>
          <w:p>
            <w:pPr>
              <w:pBdr/>
              <w:spacing w:after="60" w:before="60" w:line="276" w:lineRule="auto"/>
              <w:ind w:firstLine="0"/>
              <w:jc w:val="left"/>
              <w:rPr/>
            </w:pPr>
            <w:r>
              <w:rPr>
                <w:rFonts w:ascii="Times New Roman" w:hAnsi="Times New Roman"/>
                <w:sz w:val="22"/>
                <w:szCs w:val="22"/>
              </w:rPr>
              <w:t xml:space="preserve">0.00%</w:t>
            </w:r>
            <w:r/>
          </w:p>
        </w:tc>
        <w:tc>
          <w:tcPr>
            <w:tcBorders/>
            <w:tcW w:w="1300" w:type="dxa"/>
          </w:tcPr>
          <w:p>
            <w:pPr>
              <w:pBdr/>
              <w:spacing w:after="60" w:before="60" w:line="276" w:lineRule="auto"/>
              <w:ind w:firstLine="0"/>
              <w:jc w:val="left"/>
              <w:rPr/>
            </w:pPr>
            <w:r>
              <w:rPr>
                <w:rFonts w:ascii="Times New Roman" w:hAnsi="Times New Roman"/>
                <w:sz w:val="22"/>
                <w:szCs w:val="22"/>
              </w:rPr>
              <w:t xml:space="preserve">0.00%</w:t>
            </w:r>
            <w:r/>
          </w:p>
        </w:tc>
        <w:tc>
          <w:tcPr>
            <w:tcBorders/>
            <w:tcW w:w="1300" w:type="dxa"/>
          </w:tcPr>
          <w:p>
            <w:pPr>
              <w:pBdr/>
              <w:spacing w:after="60" w:before="60" w:line="276" w:lineRule="auto"/>
              <w:ind w:firstLine="0"/>
              <w:jc w:val="left"/>
              <w:rPr/>
            </w:pPr>
            <w:r>
              <w:rPr>
                <w:rFonts w:ascii="Times New Roman" w:hAnsi="Times New Roman"/>
                <w:sz w:val="22"/>
                <w:szCs w:val="22"/>
              </w:rPr>
              <w:t xml:space="preserve">0.00%</w:t>
            </w:r>
            <w:r/>
          </w:p>
        </w:tc>
        <w:tc>
          <w:tcPr>
            <w:tcBorders/>
            <w:tcW w:w="1300" w:type="dxa"/>
          </w:tcPr>
          <w:p>
            <w:pPr>
              <w:pBdr/>
              <w:spacing w:after="60" w:before="60" w:line="276" w:lineRule="auto"/>
              <w:ind w:firstLine="0"/>
              <w:jc w:val="left"/>
              <w:rPr/>
            </w:pPr>
            <w:r>
              <w:rPr>
                <w:rFonts w:ascii="Times New Roman" w:hAnsi="Times New Roman"/>
                <w:sz w:val="22"/>
                <w:szCs w:val="22"/>
              </w:rPr>
              <w:t xml:space="preserve">0.5000</w:t>
            </w:r>
            <w:r/>
          </w:p>
        </w:tc>
        <w:tc>
          <w:tcPr>
            <w:tcBorders/>
            <w:tcW w:w="1300" w:type="dxa"/>
          </w:tcPr>
          <w:p>
            <w:pPr>
              <w:pBdr/>
              <w:spacing w:after="60" w:before="60" w:line="276" w:lineRule="auto"/>
              <w:ind w:firstLine="0"/>
              <w:jc w:val="left"/>
              <w:rPr/>
            </w:pPr>
            <w:r>
              <w:rPr>
                <w:rFonts w:ascii="Times New Roman" w:hAnsi="Times New Roman"/>
                <w:sz w:val="22"/>
                <w:szCs w:val="22"/>
              </w:rPr>
              <w:t xml:space="preserve">0.00% (± 0.00%)</w:t>
            </w:r>
            <w:r/>
          </w:p>
        </w:tc>
      </w:tr>
      <w:tr>
        <w:trPr/>
        <w:tc>
          <w:tcPr>
            <w:tcBorders/>
            <w:tcW w:w="1300" w:type="dxa"/>
          </w:tcPr>
          <w:p>
            <w:pPr>
              <w:pBdr/>
              <w:spacing w:after="60" w:before="60" w:line="276" w:lineRule="auto"/>
              <w:ind w:firstLine="0"/>
              <w:jc w:val="left"/>
              <w:rPr/>
            </w:pPr>
            <w:r>
              <w:rPr>
                <w:rFonts w:ascii="Times New Roman" w:hAnsi="Times New Roman"/>
                <w:sz w:val="22"/>
                <w:szCs w:val="22"/>
              </w:rPr>
              <w:t xml:space="preserve">KNN (k=17)</w:t>
            </w:r>
            <w:r/>
          </w:p>
        </w:tc>
        <w:tc>
          <w:tcPr>
            <w:tcBorders/>
            <w:tcW w:w="1300" w:type="dxa"/>
          </w:tcPr>
          <w:p>
            <w:pPr>
              <w:pBdr/>
              <w:spacing w:after="60" w:before="60" w:line="276" w:lineRule="auto"/>
              <w:ind w:firstLine="0"/>
              <w:jc w:val="left"/>
              <w:rPr/>
            </w:pPr>
            <w:r>
              <w:rPr>
                <w:rFonts w:ascii="Times New Roman" w:hAnsi="Times New Roman"/>
                <w:sz w:val="22"/>
                <w:szCs w:val="22"/>
              </w:rPr>
              <w:t xml:space="preserve">96.62%</w:t>
            </w:r>
            <w:r/>
          </w:p>
        </w:tc>
        <w:tc>
          <w:tcPr>
            <w:tcBorders/>
            <w:tcW w:w="1300" w:type="dxa"/>
          </w:tcPr>
          <w:p>
            <w:pPr>
              <w:pBdr/>
              <w:spacing w:after="60" w:before="60" w:line="276" w:lineRule="auto"/>
              <w:ind w:firstLine="0"/>
              <w:jc w:val="left"/>
              <w:rPr/>
            </w:pPr>
            <w:r>
              <w:rPr>
                <w:rFonts w:ascii="Times New Roman" w:hAnsi="Times New Roman"/>
                <w:sz w:val="22"/>
                <w:szCs w:val="22"/>
              </w:rPr>
              <w:t xml:space="preserve">98.57%</w:t>
            </w:r>
            <w:r/>
          </w:p>
        </w:tc>
        <w:tc>
          <w:tcPr>
            <w:tcBorders/>
            <w:tcW w:w="1300" w:type="dxa"/>
          </w:tcPr>
          <w:p>
            <w:pPr>
              <w:pBdr/>
              <w:spacing w:after="60" w:before="60" w:line="276" w:lineRule="auto"/>
              <w:ind w:firstLine="0"/>
              <w:jc w:val="left"/>
              <w:rPr/>
            </w:pPr>
            <w:r>
              <w:rPr>
                <w:rFonts w:ascii="Times New Roman" w:hAnsi="Times New Roman"/>
                <w:sz w:val="22"/>
                <w:szCs w:val="22"/>
              </w:rPr>
              <w:t xml:space="preserve">89.90%</w:t>
            </w:r>
            <w:r/>
          </w:p>
        </w:tc>
        <w:tc>
          <w:tcPr>
            <w:tcBorders/>
            <w:tcW w:w="1300" w:type="dxa"/>
          </w:tcPr>
          <w:p>
            <w:pPr>
              <w:pBdr/>
              <w:spacing w:after="60" w:before="60" w:line="276" w:lineRule="auto"/>
              <w:ind w:firstLine="0"/>
              <w:jc w:val="left"/>
              <w:rPr/>
            </w:pPr>
            <w:r>
              <w:rPr>
                <w:rFonts w:ascii="Times New Roman" w:hAnsi="Times New Roman"/>
                <w:sz w:val="22"/>
                <w:szCs w:val="22"/>
              </w:rPr>
              <w:t xml:space="preserve">94.04%</w:t>
            </w:r>
            <w:r/>
          </w:p>
        </w:tc>
        <w:tc>
          <w:tcPr>
            <w:tcBorders/>
            <w:tcW w:w="1300" w:type="dxa"/>
          </w:tcPr>
          <w:p>
            <w:pPr>
              <w:pBdr/>
              <w:spacing w:after="60" w:before="60" w:line="276" w:lineRule="auto"/>
              <w:ind w:firstLine="0"/>
              <w:jc w:val="left"/>
              <w:rPr/>
            </w:pPr>
            <w:r>
              <w:rPr>
                <w:rFonts w:ascii="Times New Roman" w:hAnsi="Times New Roman"/>
                <w:sz w:val="22"/>
                <w:szCs w:val="22"/>
              </w:rPr>
              <w:t xml:space="preserve">0.9958</w:t>
            </w:r>
            <w:r/>
          </w:p>
        </w:tc>
        <w:tc>
          <w:tcPr>
            <w:tcBorders/>
            <w:tcW w:w="1300" w:type="dxa"/>
          </w:tcPr>
          <w:p>
            <w:pPr>
              <w:pBdr/>
              <w:spacing w:after="60" w:before="60" w:line="276" w:lineRule="auto"/>
              <w:ind w:firstLine="0"/>
              <w:jc w:val="left"/>
              <w:rPr/>
            </w:pPr>
            <w:r>
              <w:rPr>
                <w:rFonts w:ascii="Times New Roman" w:hAnsi="Times New Roman"/>
                <w:sz w:val="22"/>
                <w:szCs w:val="22"/>
              </w:rPr>
              <w:t xml:space="preserve">93.49% (± 1.48%)</w:t>
            </w:r>
            <w:r/>
          </w:p>
        </w:tc>
      </w:tr>
      <w:tr>
        <w:trPr/>
        <w:tc>
          <w:tcPr>
            <w:tcBorders/>
            <w:tcW w:w="1300" w:type="dxa"/>
          </w:tcPr>
          <w:p>
            <w:pPr>
              <w:pBdr/>
              <w:spacing w:after="60" w:before="60" w:line="276" w:lineRule="auto"/>
              <w:ind w:firstLine="0"/>
              <w:jc w:val="left"/>
              <w:rPr/>
            </w:pPr>
            <w:r>
              <w:rPr>
                <w:rFonts w:ascii="Times New Roman" w:hAnsi="Times New Roman"/>
                <w:sz w:val="22"/>
                <w:szCs w:val="22"/>
              </w:rPr>
              <w:t xml:space="preserve">Random Forest (100)</w:t>
            </w:r>
            <w:r/>
          </w:p>
        </w:tc>
        <w:tc>
          <w:tcPr>
            <w:tcBorders/>
            <w:tcW w:w="1300" w:type="dxa"/>
          </w:tcPr>
          <w:p>
            <w:pPr>
              <w:pBdr/>
              <w:spacing w:after="60" w:before="60" w:line="276" w:lineRule="auto"/>
              <w:ind w:firstLine="0"/>
              <w:jc w:val="left"/>
              <w:rPr/>
            </w:pPr>
            <w:r>
              <w:rPr>
                <w:rFonts w:ascii="Times New Roman" w:hAnsi="Times New Roman"/>
                <w:sz w:val="22"/>
                <w:szCs w:val="22"/>
              </w:rPr>
              <w:t xml:space="preserve">99.90%</w:t>
            </w:r>
            <w:r/>
          </w:p>
        </w:tc>
        <w:tc>
          <w:tcPr>
            <w:tcBorders/>
            <w:tcW w:w="1300" w:type="dxa"/>
          </w:tcPr>
          <w:p>
            <w:pPr>
              <w:pBdr/>
              <w:spacing w:after="60" w:before="60" w:line="276" w:lineRule="auto"/>
              <w:ind w:firstLine="0"/>
              <w:jc w:val="left"/>
              <w:rPr/>
            </w:pPr>
            <w:r>
              <w:rPr>
                <w:rFonts w:ascii="Times New Roman" w:hAnsi="Times New Roman"/>
                <w:sz w:val="22"/>
                <w:szCs w:val="22"/>
              </w:rPr>
              <w:t xml:space="preserve">100.00%</w:t>
            </w:r>
            <w:r/>
          </w:p>
        </w:tc>
        <w:tc>
          <w:tcPr>
            <w:tcBorders/>
            <w:tcW w:w="1300" w:type="dxa"/>
          </w:tcPr>
          <w:p>
            <w:pPr>
              <w:pBdr/>
              <w:spacing w:after="60" w:before="60" w:line="276" w:lineRule="auto"/>
              <w:ind w:firstLine="0"/>
              <w:jc w:val="left"/>
              <w:rPr/>
            </w:pPr>
            <w:r>
              <w:rPr>
                <w:rFonts w:ascii="Times New Roman" w:hAnsi="Times New Roman"/>
                <w:sz w:val="22"/>
                <w:szCs w:val="22"/>
              </w:rPr>
              <w:t xml:space="preserve">99.67%</w:t>
            </w:r>
            <w:r/>
          </w:p>
        </w:tc>
        <w:tc>
          <w:tcPr>
            <w:tcBorders/>
            <w:tcW w:w="1300" w:type="dxa"/>
          </w:tcPr>
          <w:p>
            <w:pPr>
              <w:pBdr/>
              <w:spacing w:after="60" w:before="60" w:line="276" w:lineRule="auto"/>
              <w:ind w:firstLine="0"/>
              <w:jc w:val="left"/>
              <w:rPr/>
            </w:pPr>
            <w:r>
              <w:rPr>
                <w:rFonts w:ascii="Times New Roman" w:hAnsi="Times New Roman"/>
                <w:sz w:val="22"/>
                <w:szCs w:val="22"/>
              </w:rPr>
              <w:t xml:space="preserve">99.84%</w:t>
            </w:r>
            <w:r/>
          </w:p>
        </w:tc>
        <w:tc>
          <w:tcPr>
            <w:tcBorders/>
            <w:tcW w:w="1300" w:type="dxa"/>
          </w:tcPr>
          <w:p>
            <w:pPr>
              <w:pBdr/>
              <w:spacing w:after="60" w:before="60" w:line="276" w:lineRule="auto"/>
              <w:ind w:firstLine="0"/>
              <w:jc w:val="left"/>
              <w:rPr/>
            </w:pPr>
            <w:r>
              <w:rPr>
                <w:rFonts w:ascii="Times New Roman" w:hAnsi="Times New Roman"/>
                <w:sz w:val="22"/>
                <w:szCs w:val="22"/>
              </w:rPr>
              <w:t xml:space="preserve">0.9999</w:t>
            </w:r>
            <w:r/>
          </w:p>
        </w:tc>
        <w:tc>
          <w:tcPr>
            <w:tcBorders/>
            <w:tcW w:w="1300" w:type="dxa"/>
          </w:tcPr>
          <w:p>
            <w:pPr>
              <w:pBdr/>
              <w:spacing w:after="60" w:before="60" w:line="276" w:lineRule="auto"/>
              <w:ind w:firstLine="0"/>
              <w:jc w:val="left"/>
              <w:rPr/>
            </w:pPr>
            <w:r>
              <w:rPr>
                <w:rFonts w:ascii="Times New Roman" w:hAnsi="Times New Roman"/>
                <w:sz w:val="22"/>
                <w:szCs w:val="22"/>
              </w:rPr>
              <w:t xml:space="preserve">99.82% (± 0.08%)</w:t>
            </w:r>
            <w:r/>
          </w:p>
        </w:tc>
      </w:tr>
    </w:tbl>
    <w:p>
      <w:pPr>
        <w:pStyle w:val="871"/>
        <w:pBdr/>
        <w:spacing w:line="480" w:lineRule="auto"/>
        <w:ind w:firstLine="720"/>
        <w:rPr/>
      </w:pPr>
      <w:r/>
      <w:r/>
    </w:p>
    <w:p>
      <w:pPr>
        <w:pStyle w:val="871"/>
        <w:pBdr/>
        <w:spacing w:after="40" w:before="120" w:line="240" w:lineRule="auto"/>
        <w:ind w:firstLine="0"/>
        <w:jc w:val="center"/>
        <w:rPr/>
      </w:pPr>
      <w:r>
        <mc:AlternateContent>
          <mc:Choice Requires="wpg">
            <w:drawing>
              <wp:inline xmlns:wp="http://schemas.openxmlformats.org/drawingml/2006/wordprocessingDrawing" distT="0" distB="0" distL="0" distR="0">
                <wp:extent cx="4572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_neighbors_optimization.png"/>
                        <pic:cNvPicPr>
                          <a:picLocks noChangeAspect="1"/>
                        </pic:cNvPicPr>
                        <pic:nvPr/>
                      </pic:nvPicPr>
                      <pic:blipFill rotWithShape="1">
                        <a:blip r:embed="rId12"/>
                        <a:stretch/>
                      </pic:blipFill>
                      <pic:spPr bwMode="auto">
                        <a:xfrm>
                          <a:off x="0" y="0"/>
                          <a:ext cx="4572000" cy="2571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0.00pt;height:202.50pt;mso-wrap-distance-left:0.00pt;mso-wrap-distance-top:0.00pt;mso-wrap-distance-right:0.00pt;mso-wrap-distance-bottom:0.00pt;z-index:1;" stroked="false">
                <v:imagedata r:id="rId12" o:title=""/>
                <o:lock v:ext="edit" rotation="t"/>
              </v:shape>
            </w:pict>
          </mc:Fallback>
        </mc:AlternateContent>
      </w:r>
      <w:r/>
    </w:p>
    <w:p>
      <w:pPr>
        <w:pStyle w:val="871"/>
        <w:pBdr/>
        <w:spacing w:after="160" w:line="240" w:lineRule="auto"/>
        <w:ind w:firstLine="0"/>
        <w:jc w:val="center"/>
        <w:rPr/>
      </w:pPr>
      <w:r>
        <w:rPr>
          <w:rFonts w:ascii="Times New Roman" w:hAnsi="Times New Roman"/>
          <w:i/>
          <w:iCs/>
          <w:sz w:val="20"/>
          <w:szCs w:val="20"/>
        </w:rPr>
        <w:t xml:space="preserve">Figura 1. Optimización del hiperparámetro k en KNN evaluado de k=1 a k=31 sobre microdatos ENDES.</w:t>
      </w:r>
      <w:r/>
    </w:p>
    <w:p>
      <w:pPr>
        <w:pStyle w:val="871"/>
        <w:pBdr/>
        <w:spacing w:after="40" w:before="120" w:line="240" w:lineRule="auto"/>
        <w:ind w:firstLine="0"/>
        <w:jc w:val="center"/>
        <w:rPr/>
      </w:pPr>
      <w:r>
        <mc:AlternateContent>
          <mc:Choice Requires="wpg">
            <w:drawing>
              <wp:inline xmlns:wp="http://schemas.openxmlformats.org/drawingml/2006/wordprocessingDrawing" distT="0" distB="0" distL="0" distR="0">
                <wp:extent cx="4754880" cy="19451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a:picLocks noChangeAspect="1"/>
                        </pic:cNvPicPr>
                        <pic:nvPr/>
                      </pic:nvPicPr>
                      <pic:blipFill rotWithShape="1">
                        <a:blip r:embed="rId13"/>
                        <a:stretch/>
                      </pic:blipFill>
                      <pic:spPr bwMode="auto">
                        <a:xfrm>
                          <a:off x="0" y="0"/>
                          <a:ext cx="4754880" cy="19451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4.40pt;height:153.16pt;mso-wrap-distance-left:0.00pt;mso-wrap-distance-top:0.00pt;mso-wrap-distance-right:0.00pt;mso-wrap-distance-bottom:0.00pt;z-index:1;" stroked="false">
                <v:imagedata r:id="rId13" o:title=""/>
                <o:lock v:ext="edit" rotation="t"/>
              </v:shape>
            </w:pict>
          </mc:Fallback>
        </mc:AlternateContent>
      </w:r>
      <w:r/>
    </w:p>
    <w:p>
      <w:pPr>
        <w:pStyle w:val="871"/>
        <w:pBdr/>
        <w:spacing w:after="160" w:line="240" w:lineRule="auto"/>
        <w:ind w:firstLine="0"/>
        <w:jc w:val="center"/>
        <w:rPr/>
      </w:pPr>
      <w:r>
        <w:rPr>
          <w:rFonts w:ascii="Times New Roman" w:hAnsi="Times New Roman"/>
          <w:i/>
          <w:iCs/>
          <w:sz w:val="20"/>
          <w:szCs w:val="20"/>
        </w:rPr>
        <w:t xml:space="preserve">Figura 2. Matrices de confusión normalizadas y absolutas para Random Forest y KNN en la partición de prueba.</w:t>
      </w:r>
      <w:r/>
    </w:p>
    <w:p>
      <w:pPr>
        <w:pStyle w:val="871"/>
        <w:pBdr/>
        <w:spacing w:after="40" w:before="120" w:line="240" w:lineRule="auto"/>
        <w:ind w:firstLine="0"/>
        <w:jc w:val="center"/>
        <w:rPr/>
      </w:pPr>
      <w:r>
        <mc:AlternateContent>
          <mc:Choice Requires="wpg">
            <w:drawing>
              <wp:inline xmlns:wp="http://schemas.openxmlformats.org/drawingml/2006/wordprocessingDrawing" distT="0" distB="0" distL="0" distR="0">
                <wp:extent cx="4572000" cy="3265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a:picLocks noChangeAspect="1"/>
                        </pic:cNvPicPr>
                        <pic:nvPr/>
                      </pic:nvPicPr>
                      <pic:blipFill rotWithShape="1">
                        <a:blip r:embed="rId14"/>
                        <a:stretch/>
                      </pic:blipFill>
                      <pic:spPr bwMode="auto">
                        <a:xfrm>
                          <a:off x="0" y="0"/>
                          <a:ext cx="4572000" cy="32657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60.00pt;height:257.14pt;mso-wrap-distance-left:0.00pt;mso-wrap-distance-top:0.00pt;mso-wrap-distance-right:0.00pt;mso-wrap-distance-bottom:0.00pt;z-index:1;" stroked="false">
                <v:imagedata r:id="rId14" o:title=""/>
                <o:lock v:ext="edit" rotation="t"/>
              </v:shape>
            </w:pict>
          </mc:Fallback>
        </mc:AlternateContent>
      </w:r>
      <w:r/>
    </w:p>
    <w:p>
      <w:pPr>
        <w:pStyle w:val="871"/>
        <w:pBdr/>
        <w:spacing w:after="160" w:line="240" w:lineRule="auto"/>
        <w:ind w:firstLine="0"/>
        <w:jc w:val="center"/>
        <w:rPr/>
      </w:pPr>
      <w:r>
        <w:rPr>
          <w:rFonts w:ascii="Times New Roman" w:hAnsi="Times New Roman"/>
          <w:i/>
          <w:iCs/>
          <w:sz w:val="20"/>
          <w:szCs w:val="20"/>
        </w:rPr>
        <w:t xml:space="preserve">Figura 3. Curvas ROC comparativas y área bajo la curva (AUC) para Random Forest (0.99997) y KNN (0.9958).</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Importancia de Características según el Índice de Gini</w:t>
      </w:r>
      <w:r/>
    </w:p>
    <w:p>
      <w:pPr>
        <w:pStyle w:val="871"/>
        <w:pBdr/>
        <w:spacing w:line="480" w:lineRule="auto"/>
        <w:ind w:firstLine="720"/>
        <w:rPr/>
      </w:pPr>
      <w:r>
        <w:rPr>
          <w:rFonts w:ascii="Times New Roman" w:hAnsi="Times New Roman" w:cs="Times New Roman"/>
          <w:sz w:val="24"/>
          <w:szCs w:val="24"/>
        </w:rPr>
        <w:t xml:space="preserve">En la Tabla 5 se resume la importancia de cada variable clínica y geográfica calculada por Random Forest.</w:t>
      </w:r>
      <w:r/>
    </w:p>
    <w:tbl>
      <w:tblPr>
        <w:tblStyle w:val="883"/>
        <w:jc w:val="center"/>
        <w:tblW w:w="0" w:type="auto"/>
        <w:tblBorders/>
        <w:tblLook w:val="04A0" w:firstRow="1" w:lastRow="0" w:firstColumn="1" w:lastColumn="0" w:noHBand="0" w:noVBand="1"/>
      </w:tblPr>
      <w:tblGrid>
        <w:gridCol w:w="3033"/>
        <w:gridCol w:w="3033"/>
        <w:gridCol w:w="3033"/>
      </w:tblGrid>
      <w:tr>
        <w:trPr/>
        <w:tc>
          <w:tcPr>
            <w:tcBorders/>
            <w:tcW w:w="3033" w:type="dxa"/>
          </w:tcPr>
          <w:p>
            <w:pPr>
              <w:pBdr/>
              <w:spacing w:after="60" w:before="60" w:line="276" w:lineRule="auto"/>
              <w:ind w:firstLine="0"/>
              <w:jc w:val="center"/>
              <w:rPr/>
            </w:pPr>
            <w:r>
              <w:rPr>
                <w:rFonts w:ascii="Times New Roman" w:hAnsi="Times New Roman"/>
                <w:b/>
                <w:bCs/>
                <w:sz w:val="22"/>
                <w:szCs w:val="22"/>
              </w:rPr>
              <w:t xml:space="preserve">Variable Clínica / Geográfica</w:t>
            </w:r>
            <w:r/>
          </w:p>
        </w:tc>
        <w:tc>
          <w:tcPr>
            <w:tcBorders/>
            <w:tcW w:w="3033" w:type="dxa"/>
          </w:tcPr>
          <w:p>
            <w:pPr>
              <w:pBdr/>
              <w:spacing w:after="60" w:before="60" w:line="276" w:lineRule="auto"/>
              <w:ind w:firstLine="0"/>
              <w:jc w:val="center"/>
              <w:rPr/>
            </w:pPr>
            <w:r>
              <w:rPr>
                <w:rFonts w:ascii="Times New Roman" w:hAnsi="Times New Roman"/>
                <w:b/>
                <w:bCs/>
                <w:sz w:val="22"/>
                <w:szCs w:val="22"/>
              </w:rPr>
              <w:t xml:space="preserve">Aporte Gini (%)</w:t>
            </w:r>
            <w:r/>
          </w:p>
        </w:tc>
        <w:tc>
          <w:tcPr>
            <w:tcBorders/>
            <w:tcW w:w="3033" w:type="dxa"/>
          </w:tcPr>
          <w:p>
            <w:pPr>
              <w:pBdr/>
              <w:spacing w:after="60" w:before="60" w:line="276" w:lineRule="auto"/>
              <w:ind w:firstLine="0"/>
              <w:jc w:val="center"/>
              <w:rPr/>
            </w:pPr>
            <w:r>
              <w:rPr>
                <w:rFonts w:ascii="Times New Roman" w:hAnsi="Times New Roman"/>
                <w:b/>
                <w:bCs/>
                <w:sz w:val="22"/>
                <w:szCs w:val="22"/>
              </w:rPr>
              <w:t xml:space="preserve">Interpretación Médica</w:t>
            </w:r>
            <w:r/>
          </w:p>
        </w:tc>
      </w:tr>
      <w:tr>
        <w:trPr/>
        <w:tc>
          <w:tcPr>
            <w:tcBorders/>
            <w:tcW w:w="3033" w:type="dxa"/>
          </w:tcPr>
          <w:p>
            <w:pPr>
              <w:pBdr/>
              <w:spacing w:after="60" w:before="60" w:line="276" w:lineRule="auto"/>
              <w:ind w:firstLine="0"/>
              <w:jc w:val="left"/>
              <w:rPr/>
            </w:pPr>
            <w:r>
              <w:rPr>
                <w:rFonts w:ascii="Times New Roman" w:hAnsi="Times New Roman"/>
                <w:sz w:val="22"/>
                <w:szCs w:val="22"/>
              </w:rPr>
              <w:t xml:space="preserve">Hemoglobina_Observada (g/dL)</w:t>
            </w:r>
            <w:r/>
          </w:p>
        </w:tc>
        <w:tc>
          <w:tcPr>
            <w:tcBorders/>
            <w:tcW w:w="3033" w:type="dxa"/>
          </w:tcPr>
          <w:p>
            <w:pPr>
              <w:pBdr/>
              <w:spacing w:after="60" w:before="60" w:line="276" w:lineRule="auto"/>
              <w:ind w:firstLine="0"/>
              <w:jc w:val="left"/>
              <w:rPr/>
            </w:pPr>
            <w:r>
              <w:rPr>
                <w:rFonts w:ascii="Times New Roman" w:hAnsi="Times New Roman"/>
                <w:sz w:val="22"/>
                <w:szCs w:val="22"/>
              </w:rPr>
              <w:t xml:space="preserve">87.74%</w:t>
            </w:r>
            <w:r/>
          </w:p>
        </w:tc>
        <w:tc>
          <w:tcPr>
            <w:tcBorders/>
            <w:tcW w:w="3033" w:type="dxa"/>
          </w:tcPr>
          <w:p>
            <w:pPr>
              <w:pBdr/>
              <w:spacing w:after="60" w:before="60" w:line="276" w:lineRule="auto"/>
              <w:ind w:firstLine="0"/>
              <w:jc w:val="left"/>
              <w:rPr/>
            </w:pPr>
            <w:r>
              <w:rPr>
                <w:rFonts w:ascii="Times New Roman" w:hAnsi="Times New Roman"/>
                <w:sz w:val="22"/>
                <w:szCs w:val="22"/>
              </w:rPr>
              <w:t xml:space="preserve">Variable fisiológica principal de oxigenación</w:t>
            </w:r>
            <w:r/>
          </w:p>
        </w:tc>
      </w:tr>
      <w:tr>
        <w:trPr/>
        <w:tc>
          <w:tcPr>
            <w:tcBorders/>
            <w:tcW w:w="3033" w:type="dxa"/>
          </w:tcPr>
          <w:p>
            <w:pPr>
              <w:pBdr/>
              <w:spacing w:after="60" w:before="60" w:line="276" w:lineRule="auto"/>
              <w:ind w:firstLine="0"/>
              <w:jc w:val="left"/>
              <w:rPr/>
            </w:pPr>
            <w:r>
              <w:rPr>
                <w:rFonts w:ascii="Times New Roman" w:hAnsi="Times New Roman"/>
                <w:sz w:val="22"/>
                <w:szCs w:val="22"/>
              </w:rPr>
              <w:t xml:space="preserve">Altitud_msnm (metros)</w:t>
            </w:r>
            <w:r/>
          </w:p>
        </w:tc>
        <w:tc>
          <w:tcPr>
            <w:tcBorders/>
            <w:tcW w:w="3033" w:type="dxa"/>
          </w:tcPr>
          <w:p>
            <w:pPr>
              <w:pBdr/>
              <w:spacing w:after="60" w:before="60" w:line="276" w:lineRule="auto"/>
              <w:ind w:firstLine="0"/>
              <w:jc w:val="left"/>
              <w:rPr/>
            </w:pPr>
            <w:r>
              <w:rPr>
                <w:rFonts w:ascii="Times New Roman" w:hAnsi="Times New Roman"/>
                <w:sz w:val="22"/>
                <w:szCs w:val="22"/>
              </w:rPr>
              <w:t xml:space="preserve">7.12%</w:t>
            </w:r>
            <w:r/>
          </w:p>
        </w:tc>
        <w:tc>
          <w:tcPr>
            <w:tcBorders/>
            <w:tcW w:w="3033" w:type="dxa"/>
          </w:tcPr>
          <w:p>
            <w:pPr>
              <w:pBdr/>
              <w:spacing w:after="60" w:before="60" w:line="276" w:lineRule="auto"/>
              <w:ind w:firstLine="0"/>
              <w:jc w:val="left"/>
              <w:rPr/>
            </w:pPr>
            <w:r>
              <w:rPr>
                <w:rFonts w:ascii="Times New Roman" w:hAnsi="Times New Roman"/>
                <w:sz w:val="22"/>
                <w:szCs w:val="22"/>
              </w:rPr>
              <w:t xml:space="preserve">Compensación por hipoxia en comunidades andinas del Perú</w:t>
            </w:r>
            <w:r/>
          </w:p>
        </w:tc>
      </w:tr>
      <w:tr>
        <w:trPr/>
        <w:tc>
          <w:tcPr>
            <w:tcBorders/>
            <w:tcW w:w="3033" w:type="dxa"/>
          </w:tcPr>
          <w:p>
            <w:pPr>
              <w:pBdr/>
              <w:spacing w:after="60" w:before="60" w:line="276" w:lineRule="auto"/>
              <w:ind w:firstLine="0"/>
              <w:jc w:val="left"/>
              <w:rPr/>
            </w:pPr>
            <w:r>
              <w:rPr>
                <w:rFonts w:ascii="Times New Roman" w:hAnsi="Times New Roman"/>
                <w:sz w:val="22"/>
                <w:szCs w:val="22"/>
              </w:rPr>
              <w:t xml:space="preserve">Talla_cm (estatura)</w:t>
            </w:r>
            <w:r/>
          </w:p>
        </w:tc>
        <w:tc>
          <w:tcPr>
            <w:tcBorders/>
            <w:tcW w:w="3033" w:type="dxa"/>
          </w:tcPr>
          <w:p>
            <w:pPr>
              <w:pBdr/>
              <w:spacing w:after="60" w:before="60" w:line="276" w:lineRule="auto"/>
              <w:ind w:firstLine="0"/>
              <w:jc w:val="left"/>
              <w:rPr/>
            </w:pPr>
            <w:r>
              <w:rPr>
                <w:rFonts w:ascii="Times New Roman" w:hAnsi="Times New Roman"/>
                <w:sz w:val="22"/>
                <w:szCs w:val="22"/>
              </w:rPr>
              <w:t xml:space="preserve">1.64%</w:t>
            </w:r>
            <w:r/>
          </w:p>
        </w:tc>
        <w:tc>
          <w:tcPr>
            <w:tcBorders/>
            <w:tcW w:w="3033" w:type="dxa"/>
          </w:tcPr>
          <w:p>
            <w:pPr>
              <w:pBdr/>
              <w:spacing w:after="60" w:before="60" w:line="276" w:lineRule="auto"/>
              <w:ind w:firstLine="0"/>
              <w:jc w:val="left"/>
              <w:rPr/>
            </w:pPr>
            <w:r>
              <w:rPr>
                <w:rFonts w:ascii="Times New Roman" w:hAnsi="Times New Roman"/>
                <w:sz w:val="22"/>
                <w:szCs w:val="22"/>
              </w:rPr>
              <w:t xml:space="preserve">Indicador de desnutrición crónica y desarrollo físico</w:t>
            </w:r>
            <w:r/>
          </w:p>
        </w:tc>
      </w:tr>
      <w:tr>
        <w:trPr/>
        <w:tc>
          <w:tcPr>
            <w:tcBorders/>
            <w:tcW w:w="3033" w:type="dxa"/>
          </w:tcPr>
          <w:p>
            <w:pPr>
              <w:pBdr/>
              <w:spacing w:after="60" w:before="60" w:line="276" w:lineRule="auto"/>
              <w:ind w:firstLine="0"/>
              <w:jc w:val="left"/>
              <w:rPr/>
            </w:pPr>
            <w:r>
              <w:rPr>
                <w:rFonts w:ascii="Times New Roman" w:hAnsi="Times New Roman"/>
                <w:sz w:val="22"/>
                <w:szCs w:val="22"/>
              </w:rPr>
              <w:t xml:space="preserve">Edad_meses (6 a 35 meses)</w:t>
            </w:r>
            <w:r/>
          </w:p>
        </w:tc>
        <w:tc>
          <w:tcPr>
            <w:tcBorders/>
            <w:tcW w:w="3033" w:type="dxa"/>
          </w:tcPr>
          <w:p>
            <w:pPr>
              <w:pBdr/>
              <w:spacing w:after="60" w:before="60" w:line="276" w:lineRule="auto"/>
              <w:ind w:firstLine="0"/>
              <w:jc w:val="left"/>
              <w:rPr/>
            </w:pPr>
            <w:r>
              <w:rPr>
                <w:rFonts w:ascii="Times New Roman" w:hAnsi="Times New Roman"/>
                <w:sz w:val="22"/>
                <w:szCs w:val="22"/>
              </w:rPr>
              <w:t xml:space="preserve">1.36%</w:t>
            </w:r>
            <w:r/>
          </w:p>
        </w:tc>
        <w:tc>
          <w:tcPr>
            <w:tcBorders/>
            <w:tcW w:w="3033" w:type="dxa"/>
          </w:tcPr>
          <w:p>
            <w:pPr>
              <w:pBdr/>
              <w:spacing w:after="60" w:before="60" w:line="276" w:lineRule="auto"/>
              <w:ind w:firstLine="0"/>
              <w:jc w:val="left"/>
              <w:rPr/>
            </w:pPr>
            <w:r>
              <w:rPr>
                <w:rFonts w:ascii="Times New Roman" w:hAnsi="Times New Roman"/>
                <w:sz w:val="22"/>
                <w:szCs w:val="22"/>
              </w:rPr>
              <w:t xml:space="preserve">Mayor vulnerabilidad en los primeros mil días de vida</w:t>
            </w:r>
            <w:r/>
          </w:p>
        </w:tc>
      </w:tr>
      <w:tr>
        <w:trPr/>
        <w:tc>
          <w:tcPr>
            <w:tcBorders/>
            <w:tcW w:w="3033" w:type="dxa"/>
          </w:tcPr>
          <w:p>
            <w:pPr>
              <w:pBdr/>
              <w:spacing w:after="60" w:before="60" w:line="276" w:lineRule="auto"/>
              <w:ind w:firstLine="0"/>
              <w:jc w:val="left"/>
              <w:rPr/>
            </w:pPr>
            <w:r>
              <w:rPr>
                <w:rFonts w:ascii="Times New Roman" w:hAnsi="Times New Roman"/>
                <w:sz w:val="22"/>
                <w:szCs w:val="22"/>
              </w:rPr>
              <w:t xml:space="preserve">Peso_kg (masa corporal)</w:t>
            </w:r>
            <w:r/>
          </w:p>
        </w:tc>
        <w:tc>
          <w:tcPr>
            <w:tcBorders/>
            <w:tcW w:w="3033" w:type="dxa"/>
          </w:tcPr>
          <w:p>
            <w:pPr>
              <w:pBdr/>
              <w:spacing w:after="60" w:before="60" w:line="276" w:lineRule="auto"/>
              <w:ind w:firstLine="0"/>
              <w:jc w:val="left"/>
              <w:rPr/>
            </w:pPr>
            <w:r>
              <w:rPr>
                <w:rFonts w:ascii="Times New Roman" w:hAnsi="Times New Roman"/>
                <w:sz w:val="22"/>
                <w:szCs w:val="22"/>
              </w:rPr>
              <w:t xml:space="preserve">1.25%</w:t>
            </w:r>
            <w:r/>
          </w:p>
        </w:tc>
        <w:tc>
          <w:tcPr>
            <w:tcBorders/>
            <w:tcW w:w="3033" w:type="dxa"/>
          </w:tcPr>
          <w:p>
            <w:pPr>
              <w:pBdr/>
              <w:spacing w:after="60" w:before="60" w:line="276" w:lineRule="auto"/>
              <w:ind w:firstLine="0"/>
              <w:jc w:val="left"/>
              <w:rPr/>
            </w:pPr>
            <w:r>
              <w:rPr>
                <w:rFonts w:ascii="Times New Roman" w:hAnsi="Times New Roman"/>
                <w:sz w:val="22"/>
                <w:szCs w:val="22"/>
              </w:rPr>
              <w:t xml:space="preserve">Estado nutricional global del infante</w:t>
            </w:r>
            <w:r/>
          </w:p>
        </w:tc>
      </w:tr>
      <w:tr>
        <w:trPr/>
        <w:tc>
          <w:tcPr>
            <w:tcBorders/>
            <w:tcW w:w="3033" w:type="dxa"/>
          </w:tcPr>
          <w:p>
            <w:pPr>
              <w:pBdr/>
              <w:spacing w:after="60" w:before="60" w:line="276" w:lineRule="auto"/>
              <w:ind w:firstLine="0"/>
              <w:jc w:val="left"/>
              <w:rPr/>
            </w:pPr>
            <w:r>
              <w:rPr>
                <w:rFonts w:ascii="Times New Roman" w:hAnsi="Times New Roman"/>
                <w:sz w:val="22"/>
                <w:szCs w:val="22"/>
              </w:rPr>
              <w:t xml:space="preserve">Sexo_Femenino</w:t>
            </w:r>
            <w:r/>
          </w:p>
        </w:tc>
        <w:tc>
          <w:tcPr>
            <w:tcBorders/>
            <w:tcW w:w="3033" w:type="dxa"/>
          </w:tcPr>
          <w:p>
            <w:pPr>
              <w:pBdr/>
              <w:spacing w:after="60" w:before="60" w:line="276" w:lineRule="auto"/>
              <w:ind w:firstLine="0"/>
              <w:jc w:val="left"/>
              <w:rPr/>
            </w:pPr>
            <w:r>
              <w:rPr>
                <w:rFonts w:ascii="Times New Roman" w:hAnsi="Times New Roman"/>
                <w:sz w:val="22"/>
                <w:szCs w:val="22"/>
              </w:rPr>
              <w:t xml:space="preserve">0.54%</w:t>
            </w:r>
            <w:r/>
          </w:p>
        </w:tc>
        <w:tc>
          <w:tcPr>
            <w:tcBorders/>
            <w:tcW w:w="3033" w:type="dxa"/>
          </w:tcPr>
          <w:p>
            <w:pPr>
              <w:pBdr/>
              <w:spacing w:after="60" w:before="60" w:line="276" w:lineRule="auto"/>
              <w:ind w:firstLine="0"/>
              <w:jc w:val="left"/>
              <w:rPr/>
            </w:pPr>
            <w:r>
              <w:rPr>
                <w:rFonts w:ascii="Times New Roman" w:hAnsi="Times New Roman"/>
                <w:sz w:val="22"/>
                <w:szCs w:val="22"/>
              </w:rPr>
              <w:t xml:space="preserve">Diferenciación fisiológica por sexo</w:t>
            </w:r>
            <w:r/>
          </w:p>
        </w:tc>
      </w:tr>
      <w:tr>
        <w:trPr/>
        <w:tc>
          <w:tcPr>
            <w:tcBorders/>
            <w:tcW w:w="3033" w:type="dxa"/>
          </w:tcPr>
          <w:p>
            <w:pPr>
              <w:pBdr/>
              <w:spacing w:after="60" w:before="60" w:line="276" w:lineRule="auto"/>
              <w:ind w:firstLine="0"/>
              <w:jc w:val="left"/>
              <w:rPr/>
            </w:pPr>
            <w:r>
              <w:rPr>
                <w:rFonts w:ascii="Times New Roman" w:hAnsi="Times New Roman"/>
                <w:sz w:val="22"/>
                <w:szCs w:val="22"/>
              </w:rPr>
              <w:t xml:space="preserve">Fiebre_Reciente</w:t>
            </w:r>
            <w:r/>
          </w:p>
        </w:tc>
        <w:tc>
          <w:tcPr>
            <w:tcBorders/>
            <w:tcW w:w="3033" w:type="dxa"/>
          </w:tcPr>
          <w:p>
            <w:pPr>
              <w:pBdr/>
              <w:spacing w:after="60" w:before="60" w:line="276" w:lineRule="auto"/>
              <w:ind w:firstLine="0"/>
              <w:jc w:val="left"/>
              <w:rPr/>
            </w:pPr>
            <w:r>
              <w:rPr>
                <w:rFonts w:ascii="Times New Roman" w:hAnsi="Times New Roman"/>
                <w:sz w:val="22"/>
                <w:szCs w:val="22"/>
              </w:rPr>
              <w:t xml:space="preserve">0.35%</w:t>
            </w:r>
            <w:r/>
          </w:p>
        </w:tc>
        <w:tc>
          <w:tcPr>
            <w:tcBorders/>
            <w:tcW w:w="3033" w:type="dxa"/>
          </w:tcPr>
          <w:p>
            <w:pPr>
              <w:pBdr/>
              <w:spacing w:after="60" w:before="60" w:line="276" w:lineRule="auto"/>
              <w:ind w:firstLine="0"/>
              <w:jc w:val="left"/>
              <w:rPr/>
            </w:pPr>
            <w:r>
              <w:rPr>
                <w:rFonts w:ascii="Times New Roman" w:hAnsi="Times New Roman"/>
                <w:sz w:val="22"/>
                <w:szCs w:val="22"/>
              </w:rPr>
              <w:t xml:space="preserve">Descarte de inflamación aguda transitoria</w:t>
            </w:r>
            <w:r/>
          </w:p>
        </w:tc>
      </w:tr>
    </w:tbl>
    <w:p>
      <w:pPr>
        <w:pStyle w:val="871"/>
        <w:pBdr/>
        <w:spacing w:line="480" w:lineRule="auto"/>
        <w:ind w:firstLine="720"/>
        <w:rPr/>
      </w:pPr>
      <w:r/>
      <w:r/>
    </w:p>
    <w:p>
      <w:pPr>
        <w:pStyle w:val="871"/>
        <w:pBdr/>
        <w:spacing w:after="40" w:before="120" w:line="240" w:lineRule="auto"/>
        <w:ind w:firstLine="0"/>
        <w:jc w:val="center"/>
        <w:rPr/>
      </w:pPr>
      <w:r>
        <mc:AlternateContent>
          <mc:Choice Requires="wpg">
            <w:drawing>
              <wp:inline xmlns:wp="http://schemas.openxmlformats.org/drawingml/2006/wordprocessingDrawing" distT="0" distB="0" distL="0" distR="0">
                <wp:extent cx="457200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a:picLocks noChangeAspect="1"/>
                        </pic:cNvPicPr>
                        <pic:nvPr/>
                      </pic:nvPicPr>
                      <pic:blipFill rotWithShape="1">
                        <a:blip r:embed="rId15"/>
                        <a:stretch/>
                      </pic:blipFill>
                      <pic:spPr bwMode="auto">
                        <a:xfrm>
                          <a:off x="0" y="0"/>
                          <a:ext cx="4572000" cy="2571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60.00pt;height:202.50pt;mso-wrap-distance-left:0.00pt;mso-wrap-distance-top:0.00pt;mso-wrap-distance-right:0.00pt;mso-wrap-distance-bottom:0.00pt;z-index:1;" stroked="false">
                <v:imagedata r:id="rId15" o:title=""/>
                <o:lock v:ext="edit" rotation="t"/>
              </v:shape>
            </w:pict>
          </mc:Fallback>
        </mc:AlternateContent>
      </w:r>
      <w:r/>
    </w:p>
    <w:p>
      <w:pPr>
        <w:pStyle w:val="871"/>
        <w:pBdr/>
        <w:spacing w:after="160" w:line="240" w:lineRule="auto"/>
        <w:ind w:firstLine="0"/>
        <w:jc w:val="center"/>
        <w:rPr/>
      </w:pPr>
      <w:r>
        <w:rPr>
          <w:rFonts w:ascii="Times New Roman" w:hAnsi="Times New Roman"/>
          <w:i/>
          <w:iCs/>
          <w:sz w:val="20"/>
          <w:szCs w:val="20"/>
        </w:rPr>
        <w:t xml:space="preserve">Figura 4. Importancia de características mediante impureza de Gini en Random Forest, destacando la altitud geográfica.</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22. Discusión</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1. En Random Forest y KNN:</w:t>
      </w:r>
      <w:r/>
    </w:p>
    <w:p>
      <w:pPr>
        <w:pStyle w:val="871"/>
        <w:pBdr/>
        <w:spacing w:line="480" w:lineRule="auto"/>
        <w:ind w:firstLine="720"/>
        <w:rPr/>
      </w:pPr>
      <w:r>
        <w:rPr>
          <w:rFonts w:ascii="Times New Roman" w:hAnsi="Times New Roman" w:cs="Times New Roman"/>
          <w:sz w:val="24"/>
          <w:szCs w:val="24"/>
        </w:rPr>
        <w:t xml:space="preserve">Las detecciones de la anemia fueron muy altas con </w:t>
      </w:r>
      <w:r>
        <w:rPr>
          <w:rFonts w:ascii="Times New Roman" w:hAnsi="Times New Roman" w:cs="Times New Roman"/>
          <w:sz w:val="24"/>
          <w:szCs w:val="24"/>
        </w:rPr>
        <w:t xml:space="preserve">ambos modelos, pero con el algoritmo Random Forest hay una notable diferencia en el recall llegando a 99.67% frente al 89.90% de KNN. Para el apartado de Random Forest es muy seguro para este tipo de datos clínicos ya que con sus 100 árboles de decisión pr</w:t>
      </w:r>
      <w:r>
        <w:rPr>
          <w:rFonts w:ascii="Times New Roman" w:hAnsi="Times New Roman" w:cs="Times New Roman"/>
          <w:sz w:val="24"/>
          <w:szCs w:val="24"/>
        </w:rPr>
        <w:t xml:space="preserve">omedia los resultados y evita equivocarse con casos aislados o atípicos. Por otra parte, KNN depende de medir distancias euclidianas entre puntos, y al tener siete variables numéricas la frontera de decisión se vuelve menos precisa en las zonas limítrofes.</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2. La interpretación de los resultados en relación a las variables:</w:t>
      </w:r>
      <w:r/>
    </w:p>
    <w:p>
      <w:pPr>
        <w:pStyle w:val="871"/>
        <w:pBdr/>
        <w:spacing w:line="480" w:lineRule="auto"/>
        <w:ind w:firstLine="720"/>
        <w:rPr/>
      </w:pPr>
      <w:r>
        <w:rPr>
          <w:rFonts w:ascii="Times New Roman" w:hAnsi="Times New Roman" w:cs="Times New Roman"/>
          <w:sz w:val="24"/>
          <w:szCs w:val="24"/>
        </w:rPr>
        <w:t xml:space="preserve">Para la interpretación de las variables, el peso que tuvieron en el modelo demuestra cómo se relacionan con el problema:</w:t>
      </w:r>
      <w:r/>
    </w:p>
    <w:p>
      <w:pPr>
        <w:pStyle w:val="871"/>
        <w:pBdr/>
        <w:spacing w:line="480" w:lineRule="auto"/>
        <w:ind w:firstLine="720"/>
        <w:rPr/>
      </w:pPr>
      <w:r>
        <w:rPr>
          <w:rFonts w:ascii="Times New Roman" w:hAnsi="Times New Roman" w:cs="Times New Roman"/>
          <w:sz w:val="24"/>
          <w:szCs w:val="24"/>
        </w:rPr>
        <w:t xml:space="preserve">- Intervención realizada: El entrenamiento de Random Forest y KNN junto con el escalado StandardScaler aislado sin fuga de datos y el prototipo en Google Colab.</w:t>
      </w:r>
      <w:r/>
    </w:p>
    <w:p>
      <w:pPr>
        <w:pStyle w:val="871"/>
        <w:pBdr/>
        <w:spacing w:line="480" w:lineRule="auto"/>
        <w:ind w:firstLine="720"/>
        <w:rPr/>
      </w:pPr>
      <w:r>
        <w:rPr>
          <w:rFonts w:ascii="Times New Roman" w:hAnsi="Times New Roman" w:cs="Times New Roman"/>
          <w:sz w:val="24"/>
          <w:szCs w:val="24"/>
        </w:rPr>
        <w:t xml:space="preserve">- Problema resuelto: La lentitud para dar el diagnóstico de anemia y las equivocaciones que cometen los médicos al calcular la altitud a mano en postas de salud.</w:t>
      </w:r>
      <w:r/>
    </w:p>
    <w:p>
      <w:pPr>
        <w:pStyle w:val="871"/>
        <w:pBdr/>
        <w:spacing w:line="480" w:lineRule="auto"/>
        <w:ind w:firstLine="720"/>
        <w:rPr/>
      </w:pPr>
      <w:r>
        <w:rPr>
          <w:rFonts w:ascii="Times New Roman" w:hAnsi="Times New Roman" w:cs="Times New Roman"/>
          <w:sz w:val="24"/>
          <w:szCs w:val="24"/>
        </w:rPr>
        <w:t xml:space="preserve">Al revisar la importancia de características con el índice de Gini,</w:t>
      </w:r>
      <w:r>
        <w:rPr>
          <w:rFonts w:ascii="Times New Roman" w:hAnsi="Times New Roman" w:cs="Times New Roman"/>
          <w:sz w:val="24"/>
          <w:szCs w:val="24"/>
        </w:rPr>
        <w:t xml:space="preserve"> la hemoglobina observada fue la más determinante con 87.74%, mientras que la altitud del pueblo tuvo un 7.12% del peso total. Este resultado es muy importante porque demuestra que el modelo aprendió solo cómo funciona la falta de oxígeno en las alturas de</w:t>
      </w:r>
      <w:r>
        <w:rPr>
          <w:rFonts w:ascii="Times New Roman" w:hAnsi="Times New Roman" w:cs="Times New Roman"/>
          <w:sz w:val="24"/>
          <w:szCs w:val="24"/>
        </w:rPr>
        <w:t xml:space="preserve">l Perú. El algoritmo entendió que un niño que vive en Puno o Huancavelica a más de 3,800 metros necesita tener más hemoglobina en la sangre que un niño de la costa para no estar anémico, coincidiendo exactamente con lo que exige la norma técnica del MINSA.</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3. La contextualización de los resultados:</w:t>
      </w:r>
      <w:r/>
    </w:p>
    <w:p>
      <w:pPr>
        <w:pStyle w:val="871"/>
        <w:pBdr/>
        <w:spacing w:line="480" w:lineRule="auto"/>
        <w:ind w:firstLine="720"/>
        <w:rPr/>
      </w:pPr>
      <w:r>
        <w:rPr>
          <w:rFonts w:ascii="Times New Roman" w:hAnsi="Times New Roman" w:cs="Times New Roman"/>
          <w:sz w:val="24"/>
          <w:szCs w:val="24"/>
        </w:rPr>
        <w:t xml:space="preserve">En el Perú, el ajuste por altitud es obligatorio según la norma técnica del MINSA [5]. En investigac</w:t>
      </w:r>
      <w:r>
        <w:rPr>
          <w:rFonts w:ascii="Times New Roman" w:hAnsi="Times New Roman" w:cs="Times New Roman"/>
          <w:sz w:val="24"/>
          <w:szCs w:val="24"/>
        </w:rPr>
        <w:t xml:space="preserve">iones de otros países no toman en cuenta este factor porque sus poblaciones habitan a nivel del mar [2]. Al comparar con otros estudios internacionales, nuestro modelo tiene la gran ventaja de estar calibrado con la geografía andina de nuestro propio país.</w:t>
      </w:r>
      <w:r/>
    </w:p>
    <w:p>
      <w:pPr>
        <w:pStyle w:val="871"/>
        <w:pBdr/>
        <w:spacing w:line="480" w:lineRule="auto"/>
        <w:ind w:firstLine="720"/>
        <w:rPr/>
      </w:pPr>
      <w:r>
        <w:rPr>
          <w:rFonts w:ascii="Times New Roman" w:hAnsi="Times New Roman" w:cs="Times New Roman"/>
          <w:sz w:val="24"/>
          <w:szCs w:val="24"/>
        </w:rPr>
        <w:t xml:space="preserve">Limitaciones encontradas: El modelo Random Forest falló en únicamente 2 cas</w:t>
      </w:r>
      <w:r>
        <w:rPr>
          <w:rFonts w:ascii="Times New Roman" w:hAnsi="Times New Roman" w:cs="Times New Roman"/>
          <w:sz w:val="24"/>
          <w:szCs w:val="24"/>
        </w:rPr>
        <w:t xml:space="preserve">os de 614 niños anémicos. Al revisar detalladamente esos dos registros, se vio que su hemoglobina ajustada estaba en 10.96 g/dL, casi rozando el umbral de 11.0 g/dL, lo que representa una zona gris clínica donde incluso los médicos dudan en el diagnóstico.</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4. Contribuciones:</w:t>
      </w:r>
      <w:r/>
    </w:p>
    <w:p>
      <w:pPr>
        <w:pStyle w:val="871"/>
        <w:pBdr/>
        <w:spacing w:line="480" w:lineRule="auto"/>
        <w:ind w:firstLine="720"/>
        <w:rPr/>
      </w:pPr>
      <w:r>
        <w:rPr>
          <w:rFonts w:ascii="Times New Roman" w:hAnsi="Times New Roman" w:cs="Times New Roman"/>
          <w:sz w:val="24"/>
          <w:szCs w:val="24"/>
        </w:rPr>
        <w:t xml:space="preserve">- Random Forest ofrece una gran eficiencia con 99.67% de recall, fallando solamente en 2 de 614 niños enfermos.</w:t>
      </w:r>
      <w:r/>
    </w:p>
    <w:p>
      <w:pPr>
        <w:pStyle w:val="871"/>
        <w:pBdr/>
        <w:spacing w:line="480" w:lineRule="auto"/>
        <w:ind w:firstLine="720"/>
        <w:rPr/>
      </w:pPr>
      <w:r>
        <w:rPr>
          <w:rFonts w:ascii="Times New Roman" w:hAnsi="Times New Roman" w:cs="Times New Roman"/>
          <w:sz w:val="24"/>
          <w:szCs w:val="24"/>
        </w:rPr>
        <w:t xml:space="preserve">- Se comprueba que aislar el escalador StandardScaler previene tener métricas engañosas o infladas.</w:t>
      </w:r>
      <w:r/>
    </w:p>
    <w:p>
      <w:pPr>
        <w:pStyle w:val="871"/>
        <w:pBdr/>
        <w:spacing w:line="480" w:lineRule="auto"/>
        <w:ind w:firstLine="720"/>
        <w:rPr/>
      </w:pPr>
      <w:r>
        <w:rPr>
          <w:rFonts w:ascii="Times New Roman" w:hAnsi="Times New Roman" w:cs="Times New Roman"/>
          <w:sz w:val="24"/>
          <w:szCs w:val="24"/>
        </w:rPr>
        <w:t xml:space="preserve">- Simplifica y agiliza el tamizaje médico en las postas de salud primaria I-1 a I-3, dando el resultado en menos de un segundo.</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5. Implicaciones que hay en la investigación:</w:t>
      </w:r>
      <w:r/>
    </w:p>
    <w:p>
      <w:pPr>
        <w:pStyle w:val="871"/>
        <w:pBdr/>
        <w:spacing w:line="480" w:lineRule="auto"/>
        <w:ind w:firstLine="720"/>
        <w:rPr/>
      </w:pPr>
      <w:r>
        <w:rPr>
          <w:rFonts w:ascii="Times New Roman" w:hAnsi="Times New Roman" w:cs="Times New Roman"/>
          <w:sz w:val="24"/>
          <w:szCs w:val="24"/>
        </w:rPr>
        <w:t xml:space="preserve">- Permite que los médicos del SERUMS atiendan con mayor seguridad y rapidez a los niños en comunidades alejadas.</w:t>
      </w:r>
      <w:r/>
    </w:p>
    <w:p>
      <w:pPr>
        <w:pStyle w:val="871"/>
        <w:pBdr/>
        <w:spacing w:line="480" w:lineRule="auto"/>
        <w:ind w:firstLine="720"/>
        <w:rPr/>
      </w:pPr>
      <w:r>
        <w:rPr>
          <w:rFonts w:ascii="Times New Roman" w:hAnsi="Times New Roman" w:cs="Times New Roman"/>
          <w:sz w:val="24"/>
          <w:szCs w:val="24"/>
        </w:rPr>
        <w:t xml:space="preserve">- Facilita entregar el tratamiento de sulfato ferroso en la primera visita sin tener que esperar días a los laboratorios provinciales.</w:t>
      </w:r>
      <w:r/>
    </w:p>
    <w:p>
      <w:pPr>
        <w:pStyle w:val="871"/>
        <w:pBdr/>
        <w:spacing w:line="480" w:lineRule="auto"/>
        <w:ind w:firstLine="720"/>
        <w:rPr/>
      </w:pPr>
      <w:r>
        <w:rPr>
          <w:rFonts w:ascii="Times New Roman" w:hAnsi="Times New Roman" w:cs="Times New Roman"/>
          <w:sz w:val="24"/>
          <w:szCs w:val="24"/>
        </w:rPr>
        <w:t xml:space="preserve">- Futuro: Desarrollar una aplicación móvil para celular que funcione completamente sin internet.</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6. Limitaciones y futuro:</w:t>
      </w:r>
      <w:r/>
    </w:p>
    <w:p>
      <w:pPr>
        <w:pStyle w:val="871"/>
        <w:pBdr/>
        <w:spacing w:line="480" w:lineRule="auto"/>
        <w:ind w:firstLine="720"/>
        <w:rPr/>
      </w:pPr>
      <w:r>
        <w:rPr>
          <w:rFonts w:ascii="Times New Roman" w:hAnsi="Times New Roman" w:cs="Times New Roman"/>
          <w:sz w:val="24"/>
          <w:szCs w:val="24"/>
        </w:rPr>
        <w:t xml:space="preserve">Algunas de las limitaciones con las que se cuentan actualmente son:</w:t>
      </w:r>
      <w:r/>
    </w:p>
    <w:p>
      <w:pPr>
        <w:pStyle w:val="871"/>
        <w:pBdr/>
        <w:spacing w:line="480" w:lineRule="auto"/>
        <w:ind w:firstLine="720"/>
        <w:rPr/>
      </w:pPr>
      <w:r>
        <w:rPr>
          <w:rFonts w:ascii="Times New Roman" w:hAnsi="Times New Roman" w:cs="Times New Roman"/>
          <w:sz w:val="24"/>
          <w:szCs w:val="24"/>
        </w:rPr>
        <w:t xml:space="preserve">- En las postas de salud más alejadas a veces no se cuenta con computadoras modernas o hay problemas con el fluido eléctrico.</w:t>
      </w:r>
      <w:r/>
    </w:p>
    <w:p>
      <w:pPr>
        <w:pStyle w:val="871"/>
        <w:pBdr/>
        <w:spacing w:line="480" w:lineRule="auto"/>
        <w:ind w:firstLine="720"/>
        <w:rPr/>
      </w:pPr>
      <w:r>
        <w:rPr>
          <w:rFonts w:ascii="Times New Roman" w:hAnsi="Times New Roman" w:cs="Times New Roman"/>
          <w:sz w:val="24"/>
          <w:szCs w:val="24"/>
        </w:rPr>
        <w:t xml:space="preserve">- La base de datos de la ENDES es una muestra anual y no contiene el registro diario de alimentación del niño.</w:t>
      </w:r>
      <w:r/>
    </w:p>
    <w:p>
      <w:pPr>
        <w:pStyle w:val="871"/>
        <w:pBdr/>
        <w:spacing w:line="480" w:lineRule="auto"/>
        <w:ind w:firstLine="720"/>
        <w:rPr/>
      </w:pPr>
      <w:r>
        <w:rPr>
          <w:rFonts w:ascii="Times New Roman" w:hAnsi="Times New Roman" w:cs="Times New Roman"/>
          <w:sz w:val="24"/>
          <w:szCs w:val="24"/>
        </w:rPr>
        <w:t xml:space="preserve">En un futuro ya deberíamos estar contando con:</w:t>
      </w:r>
      <w:r/>
    </w:p>
    <w:p>
      <w:pPr>
        <w:pStyle w:val="871"/>
        <w:pBdr/>
        <w:spacing w:line="480" w:lineRule="auto"/>
        <w:ind w:firstLine="720"/>
        <w:rPr/>
      </w:pPr>
      <w:r>
        <w:rPr>
          <w:rFonts w:ascii="Times New Roman" w:hAnsi="Times New Roman" w:cs="Times New Roman"/>
          <w:sz w:val="24"/>
          <w:szCs w:val="24"/>
        </w:rPr>
        <w:t xml:space="preserve">- Una aplicación móvil para Android que funcione de manera offline sin necesidad de datos móviles.</w:t>
      </w:r>
      <w:r/>
    </w:p>
    <w:p>
      <w:pPr>
        <w:pStyle w:val="871"/>
        <w:pBdr/>
        <w:spacing w:line="480" w:lineRule="auto"/>
        <w:ind w:firstLine="720"/>
        <w:rPr/>
      </w:pPr>
      <w:r>
        <w:rPr>
          <w:rFonts w:ascii="Times New Roman" w:hAnsi="Times New Roman" w:cs="Times New Roman"/>
          <w:sz w:val="24"/>
          <w:szCs w:val="24"/>
        </w:rPr>
        <w:t xml:space="preserve">- Conexión directa con el sistema del MINSA para que el resultado se guarde automáticamente en la historia clínica electrónica del infante.</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23. Amenazas a la Validez y Limitaciones</w:t>
      </w:r>
      <w:r/>
    </w:p>
    <w:p>
      <w:pPr>
        <w:pStyle w:val="871"/>
        <w:pBdr/>
        <w:spacing w:line="480" w:lineRule="auto"/>
        <w:ind w:firstLine="720"/>
        <w:rPr/>
      </w:pPr>
      <w:r>
        <w:rPr>
          <w:rFonts w:ascii="Times New Roman" w:hAnsi="Times New Roman" w:cs="Times New Roman"/>
          <w:sz w:val="24"/>
          <w:szCs w:val="24"/>
        </w:rPr>
        <w:t xml:space="preserve">Para asegurar la validez de los resultados se tomaron en cuenta varios aspectos metodológicos:</w:t>
      </w:r>
      <w:r/>
    </w:p>
    <w:p>
      <w:pPr>
        <w:pStyle w:val="871"/>
        <w:pBdr/>
        <w:spacing w:line="480" w:lineRule="auto"/>
        <w:ind w:firstLine="720"/>
        <w:rPr/>
      </w:pPr>
      <w:r>
        <w:rPr>
          <w:rFonts w:ascii="Times New Roman" w:hAnsi="Times New Roman" w:cs="Times New Roman"/>
          <w:sz w:val="24"/>
          <w:szCs w:val="24"/>
        </w:rPr>
        <w:t xml:space="preserve">En cuanto a la validez interna, se garantizó fijando la semilla aleatoria en 42 y congelando el escalador StandardScaler solo con los datos de entrenamiento, evitando tener datos inflados.</w:t>
      </w:r>
      <w:r/>
    </w:p>
    <w:p>
      <w:pPr>
        <w:pStyle w:val="871"/>
        <w:pBdr/>
        <w:spacing w:line="480" w:lineRule="auto"/>
        <w:ind w:firstLine="720"/>
        <w:rPr/>
      </w:pPr>
      <w:r>
        <w:rPr>
          <w:rFonts w:ascii="Times New Roman" w:hAnsi="Times New Roman" w:cs="Times New Roman"/>
          <w:sz w:val="24"/>
          <w:szCs w:val="24"/>
        </w:rPr>
        <w:t xml:space="preserve">Para la validez externa, el modelo se entrenó con 10,340 niños representativos de los 25 departamentos del Perú. No obstante, para aplicarlo en otros países se tendría que ajustar con sus propias alturas y realidades demográficas.</w:t>
      </w:r>
      <w:r/>
    </w:p>
    <w:p>
      <w:pPr>
        <w:pStyle w:val="871"/>
        <w:pBdr/>
        <w:spacing w:line="480" w:lineRule="auto"/>
        <w:ind w:firstLine="720"/>
        <w:rPr/>
      </w:pPr>
      <w:r>
        <w:rPr>
          <w:rFonts w:ascii="Times New Roman" w:hAnsi="Times New Roman" w:cs="Times New Roman"/>
          <w:sz w:val="24"/>
          <w:szCs w:val="24"/>
        </w:rPr>
        <w:t xml:space="preserve">En la validez de los instrumentos, las variables analizadas como la hemoglobina y la altitud siguen los estándares que dictan el MINSA y la Organización Mundial de la Salud.</w:t>
      </w:r>
      <w:r/>
    </w:p>
    <w:p>
      <w:pPr>
        <w:pStyle w:val="871"/>
        <w:pBdr/>
        <w:spacing w:line="480" w:lineRule="auto"/>
        <w:ind w:firstLine="720"/>
        <w:rPr/>
      </w:pPr>
      <w:r>
        <w:rPr>
          <w:rFonts w:ascii="Times New Roman" w:hAnsi="Times New Roman" w:cs="Times New Roman"/>
          <w:sz w:val="24"/>
          <w:szCs w:val="24"/>
        </w:rPr>
        <w:t xml:space="preserve">Con la validación cruzada estratificada de 5 pliegues se obtuvo una variación mínima (± 0.08% en F1-Score), confirmando que el rendimiento obtenido no fue por casualidad.</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24. Consideraciones Éticas y Uso Responsable</w:t>
      </w:r>
      <w:r/>
    </w:p>
    <w:p>
      <w:pPr>
        <w:pStyle w:val="871"/>
        <w:pBdr/>
        <w:spacing w:line="480" w:lineRule="auto"/>
        <w:ind w:firstLine="720"/>
        <w:rPr/>
      </w:pPr>
      <w:r>
        <w:rPr>
          <w:rFonts w:ascii="Times New Roman" w:hAnsi="Times New Roman" w:cs="Times New Roman"/>
          <w:sz w:val="24"/>
          <w:szCs w:val="24"/>
        </w:rPr>
        <w:t xml:space="preserve">En el punto de vista ético del proyecto consideramos criterios de confidencialidad y un compromiso con la salud pública:</w:t>
      </w:r>
      <w:r/>
    </w:p>
    <w:p>
      <w:pPr>
        <w:pStyle w:val="871"/>
        <w:pBdr/>
        <w:spacing w:line="480" w:lineRule="auto"/>
        <w:ind w:firstLine="720"/>
        <w:rPr/>
      </w:pPr>
      <w:r>
        <w:rPr>
          <w:rFonts w:ascii="Times New Roman" w:hAnsi="Times New Roman" w:cs="Times New Roman"/>
          <w:sz w:val="24"/>
          <w:szCs w:val="24"/>
        </w:rPr>
        <w:t xml:space="preserve">- La base de la ENDES es de libre acceso y viene anonimizada por el INEI; no se procesaron nombres, documentos de identidad ni domicilios, resguardando la privacidad de los menores.</w:t>
      </w:r>
      <w:r/>
    </w:p>
    <w:p>
      <w:pPr>
        <w:pStyle w:val="871"/>
        <w:pBdr/>
        <w:spacing w:line="480" w:lineRule="auto"/>
        <w:ind w:firstLine="720"/>
        <w:rPr/>
      </w:pPr>
      <w:r>
        <w:rPr>
          <w:rFonts w:ascii="Times New Roman" w:hAnsi="Times New Roman" w:cs="Times New Roman"/>
          <w:sz w:val="24"/>
          <w:szCs w:val="24"/>
        </w:rPr>
        <w:t xml:space="preserve">- El software funciona como soporte complementario para acelerar el triaje, sin reemplazar el juicio del médico o enfermero quien mantiene la decisión final para el tratamiento del menor.</w:t>
      </w:r>
      <w:r/>
    </w:p>
    <w:p>
      <w:pPr>
        <w:pStyle w:val="871"/>
        <w:pBdr/>
        <w:spacing w:line="480" w:lineRule="auto"/>
        <w:ind w:firstLine="720"/>
        <w:rPr/>
      </w:pPr>
      <w:r>
        <w:rPr>
          <w:rFonts w:ascii="Times New Roman" w:hAnsi="Times New Roman" w:cs="Times New Roman"/>
          <w:sz w:val="24"/>
          <w:szCs w:val="24"/>
        </w:rPr>
        <w:t xml:space="preserve">- Equidad geográfica: Al alcanzar una sensibilidad mayor al 99% integrando la corrección por altitud, nuestro modelo evita que los infantes de las zonas  altas y vulnerables se queden sin atención asegurando un tamizaje justo para todos.</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25. Reproducibilidad</w:t>
      </w:r>
      <w:r/>
    </w:p>
    <w:p>
      <w:pPr>
        <w:pStyle w:val="871"/>
        <w:pBdr/>
        <w:spacing w:line="480" w:lineRule="auto"/>
        <w:ind w:firstLine="720"/>
        <w:rPr/>
      </w:pPr>
      <w:r>
        <w:rPr>
          <w:rFonts w:ascii="Times New Roman" w:hAnsi="Times New Roman" w:cs="Times New Roman"/>
          <w:sz w:val="24"/>
          <w:szCs w:val="24"/>
        </w:rPr>
        <w:t xml:space="preserve">Para que cualquier estudiante o docente de la FIEI UNFV pueda replicar el proyecto se dejaron todas las facilidades necesarias:</w:t>
      </w:r>
      <w:r/>
    </w:p>
    <w:p>
      <w:pPr>
        <w:pStyle w:val="871"/>
        <w:pBdr/>
        <w:spacing w:line="480" w:lineRule="auto"/>
        <w:ind w:firstLine="720"/>
        <w:rPr/>
      </w:pPr>
      <w:r>
        <w:rPr>
          <w:rFonts w:ascii="Times New Roman" w:hAnsi="Times New Roman" w:cs="Times New Roman"/>
          <w:sz w:val="24"/>
          <w:szCs w:val="24"/>
        </w:rPr>
        <w:t xml:space="preserve">- Todo el código fuente está ordenado y disponible en el repositorio de GitHub.</w:t>
      </w:r>
      <w:r/>
    </w:p>
    <w:p>
      <w:pPr>
        <w:pStyle w:val="871"/>
        <w:pBdr/>
        <w:spacing w:line="480" w:lineRule="auto"/>
        <w:ind w:firstLine="720"/>
        <w:rPr/>
      </w:pPr>
      <w:r>
        <w:rPr>
          <w:rFonts w:ascii="Times New Roman" w:hAnsi="Times New Roman" w:cs="Times New Roman"/>
          <w:sz w:val="24"/>
          <w:szCs w:val="24"/>
        </w:rPr>
        <w:t xml:space="preserve">- Se preparó un cuaderno interactivo en Google Colab con el conjunto de datos limpio para ejecutar con un solo clic.</w:t>
      </w:r>
      <w:r/>
    </w:p>
    <w:p>
      <w:pPr>
        <w:pStyle w:val="871"/>
        <w:pBdr/>
        <w:spacing w:line="480" w:lineRule="auto"/>
        <w:ind w:firstLine="720"/>
        <w:rPr/>
      </w:pPr>
      <w:r>
        <w:rPr>
          <w:rFonts w:ascii="Times New Roman" w:hAnsi="Times New Roman" w:cs="Times New Roman"/>
          <w:sz w:val="24"/>
          <w:szCs w:val="24"/>
        </w:rPr>
        <w:t xml:space="preserve">- Se fijaron las semillas aleatorias en 42 para asegurar que los resultados sean exactamente los mismos en cualquier computadora.</w:t>
      </w:r>
      <w:r/>
    </w:p>
    <w:p>
      <w:pPr>
        <w:pStyle w:val="871"/>
        <w:pBdr/>
        <w:spacing w:line="480" w:lineRule="auto"/>
        <w:ind w:firstLine="720"/>
        <w:rPr/>
      </w:pPr>
      <w:r>
        <w:rPr>
          <w:rFonts w:ascii="Times New Roman" w:hAnsi="Times New Roman" w:cs="Times New Roman"/>
          <w:sz w:val="24"/>
          <w:szCs w:val="24"/>
        </w:rPr>
        <w:t xml:space="preserve">- Los modelos y el escalador quedaron guardados en archivos .joblib que pesan menos de dos megabytes para su fácil descarga y uso.</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26. Conclusiones</w:t>
      </w:r>
      <w:r/>
    </w:p>
    <w:p>
      <w:pPr>
        <w:pStyle w:val="871"/>
        <w:pBdr/>
        <w:spacing w:line="480" w:lineRule="auto"/>
        <w:ind w:firstLine="720"/>
        <w:rPr/>
      </w:pPr>
      <w:r>
        <w:rPr>
          <w:rFonts w:ascii="Times New Roman" w:hAnsi="Times New Roman" w:cs="Times New Roman"/>
          <w:sz w:val="24"/>
          <w:szCs w:val="24"/>
        </w:rPr>
        <w:t xml:space="preserve">Con el trabajo se ha visto que el apartado del diagnóstico de anemia infantil en el Perú puede ser mucho mejor con la implementación de modelos de aprendizaje automático como Random Forest.</w:t>
      </w:r>
      <w:r/>
    </w:p>
    <w:p>
      <w:pPr>
        <w:pStyle w:val="871"/>
        <w:pBdr/>
        <w:spacing w:line="480" w:lineRule="auto"/>
        <w:ind w:firstLine="720"/>
        <w:rPr/>
      </w:pPr>
      <w:r>
        <w:rPr>
          <w:rFonts w:ascii="Times New Roman" w:hAnsi="Times New Roman" w:cs="Times New Roman"/>
          <w:sz w:val="24"/>
          <w:szCs w:val="24"/>
        </w:rPr>
        <w:t xml:space="preserve">Respecto al OE1, el análisis exploratorio sobre 10,340 registros de la ENDES 2023 demo</w:t>
      </w:r>
      <w:r>
        <w:rPr>
          <w:rFonts w:ascii="Times New Roman" w:hAnsi="Times New Roman" w:cs="Times New Roman"/>
          <w:sz w:val="24"/>
          <w:szCs w:val="24"/>
        </w:rPr>
        <w:t xml:space="preserve">stró que la anemia afecta al 29.69% en la muestra depurada, con una fuerte correlación entre la altitud geográfica y la hemoglobina observada, evidenciando que en zonas como Puno o Huancavelica la tasa de anemia supera el 70% debido a la hipoxia ambiental.</w:t>
      </w:r>
      <w:r/>
    </w:p>
    <w:p>
      <w:pPr>
        <w:pStyle w:val="871"/>
        <w:pBdr/>
        <w:spacing w:line="480" w:lineRule="auto"/>
        <w:ind w:firstLine="720"/>
        <w:rPr/>
      </w:pPr>
      <w:r>
        <w:rPr>
          <w:rFonts w:ascii="Times New Roman" w:hAnsi="Times New Roman" w:cs="Times New Roman"/>
          <w:sz w:val="24"/>
          <w:szCs w:val="24"/>
        </w:rPr>
        <w:t xml:space="preserve">Respecto al OE2, el diseño del fl</w:t>
      </w:r>
      <w:r>
        <w:rPr>
          <w:rFonts w:ascii="Times New Roman" w:hAnsi="Times New Roman" w:cs="Times New Roman"/>
          <w:sz w:val="24"/>
          <w:szCs w:val="24"/>
        </w:rPr>
        <w:t xml:space="preserve">ujo anti-leakage garantizó que el escalador StandardScaler aprendiera únicamente de los 8,272 registros de entrenamiento, aislando completamente a los 2,068 casos de prueba y evitando la inflación engañosa de métricas observada comúnmente en la literatura.</w:t>
      </w:r>
      <w:r/>
    </w:p>
    <w:p>
      <w:pPr>
        <w:pStyle w:val="871"/>
        <w:pBdr/>
        <w:spacing w:line="480" w:lineRule="auto"/>
        <w:ind w:firstLine="720"/>
        <w:rPr/>
      </w:pPr>
      <w:r>
        <w:rPr>
          <w:rFonts w:ascii="Times New Roman" w:hAnsi="Times New Roman" w:cs="Times New Roman"/>
          <w:sz w:val="24"/>
          <w:szCs w:val="24"/>
        </w:rPr>
        <w:t xml:space="preserve">Respecto al OE3, se optimizaron exitosamente los modelos Random Forest (100 árboles con criterio de Gini) y KNN (k=17), demostrando que Random Forest es el clasificador más robusto y resistente al ruido para datos clínicos tabulares.</w:t>
      </w:r>
      <w:r/>
    </w:p>
    <w:p>
      <w:pPr>
        <w:pStyle w:val="871"/>
        <w:pBdr/>
        <w:spacing w:line="480" w:lineRule="auto"/>
        <w:ind w:firstLine="720"/>
        <w:rPr/>
      </w:pPr>
      <w:r>
        <w:rPr>
          <w:rFonts w:ascii="Times New Roman" w:hAnsi="Times New Roman" w:cs="Times New Roman"/>
          <w:sz w:val="24"/>
          <w:szCs w:val="24"/>
        </w:rPr>
        <w:t xml:space="preserve">Respecto al OE4, en la evaluación sobre el conjunto ciego independiente, Random Forest alcanzó 99.90% de exactitud y 99.67% de recall, cometiendo únicamente 2 falsos negativos frente a los 62 de KNN y superando de manera contundente al baseline trivial.</w:t>
      </w:r>
      <w:r/>
    </w:p>
    <w:p>
      <w:pPr>
        <w:pStyle w:val="871"/>
        <w:pBdr/>
        <w:spacing w:line="480" w:lineRule="auto"/>
        <w:ind w:firstLine="720"/>
        <w:rPr/>
      </w:pPr>
      <w:r>
        <w:rPr>
          <w:rFonts w:ascii="Times New Roman" w:hAnsi="Times New Roman" w:cs="Times New Roman"/>
          <w:sz w:val="24"/>
          <w:szCs w:val="24"/>
        </w:rPr>
        <w:t xml:space="preserve">Respecto al OE5, el análisis de importancia de característi</w:t>
      </w:r>
      <w:r>
        <w:rPr>
          <w:rFonts w:ascii="Times New Roman" w:hAnsi="Times New Roman" w:cs="Times New Roman"/>
          <w:sz w:val="24"/>
          <w:szCs w:val="24"/>
        </w:rPr>
        <w:t xml:space="preserve">cas con el índice de Gini confirmó que la altitud aporta un 7.12% fundamental de decisión, demostrando que el modelo aprendió la regla de compensación por altitud de la norma MINSA, quedando serializado en un archivo liviano menor a 2 MB para Google Colab.</w:t>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27. Recomendaciones y Trabajo Futuro</w:t>
      </w:r>
      <w:r/>
    </w:p>
    <w:p>
      <w:pPr>
        <w:pStyle w:val="871"/>
        <w:pBdr/>
        <w:spacing w:line="480" w:lineRule="auto"/>
        <w:ind w:firstLine="720"/>
        <w:rPr/>
      </w:pPr>
      <w:r>
        <w:rPr>
          <w:rFonts w:ascii="Times New Roman" w:hAnsi="Times New Roman" w:cs="Times New Roman"/>
          <w:sz w:val="24"/>
          <w:szCs w:val="24"/>
        </w:rPr>
        <w:t xml:space="preserve">Como recomendaciones accionables del estudio se propone:</w:t>
      </w:r>
      <w:r/>
    </w:p>
    <w:p>
      <w:pPr>
        <w:pStyle w:val="871"/>
        <w:pBdr/>
        <w:spacing w:line="480" w:lineRule="auto"/>
        <w:ind w:firstLine="720"/>
        <w:rPr/>
      </w:pPr>
      <w:r>
        <w:rPr>
          <w:rFonts w:ascii="Times New Roman" w:hAnsi="Times New Roman" w:cs="Times New Roman"/>
          <w:sz w:val="24"/>
          <w:szCs w:val="24"/>
        </w:rPr>
        <w:t xml:space="preserve">- Implementar este software ligero en las computadoras de triaje de las postas de salud de categoría I-1 a I-3 del MINSA para facilitar el cálculo de hemoglobina y altitud.</w:t>
      </w:r>
      <w:r/>
    </w:p>
    <w:p>
      <w:pPr>
        <w:pStyle w:val="871"/>
        <w:pBdr/>
        <w:spacing w:line="480" w:lineRule="auto"/>
        <w:ind w:firstLine="720"/>
        <w:rPr/>
      </w:pPr>
      <w:r>
        <w:rPr>
          <w:rFonts w:ascii="Times New Roman" w:hAnsi="Times New Roman" w:cs="Times New Roman"/>
          <w:sz w:val="24"/>
          <w:szCs w:val="24"/>
        </w:rPr>
        <w:t xml:space="preserve">- Capacitar brevemente al personal del SERUMS al iniciar su periodo asistencial para que conozcan cómo usar esta herramienta en sus consultas diarias.</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27.1. Trabajo Futuro</w:t>
      </w:r>
      <w:r/>
    </w:p>
    <w:p>
      <w:pPr>
        <w:pStyle w:val="871"/>
        <w:pBdr/>
        <w:spacing w:line="480" w:lineRule="auto"/>
        <w:ind w:firstLine="720"/>
        <w:rPr/>
      </w:pPr>
      <w:r>
        <w:rPr>
          <w:rFonts w:ascii="Times New Roman" w:hAnsi="Times New Roman" w:cs="Times New Roman"/>
          <w:sz w:val="24"/>
          <w:szCs w:val="24"/>
        </w:rPr>
        <w:t xml:space="preserve">Para el trabajo futuro se plantea:</w:t>
      </w:r>
      <w:r/>
    </w:p>
    <w:p>
      <w:pPr>
        <w:pStyle w:val="871"/>
        <w:pBdr/>
        <w:spacing w:line="480" w:lineRule="auto"/>
        <w:ind w:firstLine="720"/>
        <w:rPr/>
      </w:pPr>
      <w:r>
        <w:rPr>
          <w:rFonts w:ascii="Times New Roman" w:hAnsi="Times New Roman" w:cs="Times New Roman"/>
          <w:sz w:val="24"/>
          <w:szCs w:val="24"/>
        </w:rPr>
        <w:t xml:space="preserve">- Desarrollar una aplicación móvil para celular Android que funcione completamente offline sin necesidad de internet, para que los médicos la lleven a visitas domiciliarias en el campo.</w:t>
      </w:r>
      <w:r/>
    </w:p>
    <w:p>
      <w:pPr>
        <w:pStyle w:val="871"/>
        <w:pBdr/>
        <w:spacing w:line="480" w:lineRule="auto"/>
        <w:ind w:firstLine="720"/>
        <w:rPr/>
      </w:pPr>
      <w:r>
        <w:rPr>
          <w:rFonts w:ascii="Times New Roman" w:hAnsi="Times New Roman" w:cs="Times New Roman"/>
          <w:sz w:val="24"/>
          <w:szCs w:val="24"/>
        </w:rPr>
        <w:t xml:space="preserve">- Integrar más variables en el análisis como si el niño recibió suplementos de hierro o lactancia materna exclusiva para hacer predicciones preventivas tempranas.</w:t>
      </w:r>
      <w:r/>
    </w:p>
    <w:p>
      <w:pPr>
        <w:pBdr/>
        <w:spacing/>
        <w:ind/>
        <w:rPr/>
      </w:pPr>
      <w:r>
        <w:br w:type="page" w:clear="all"/>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28. Referencias Bibliográficas</w:t>
      </w:r>
      <w:r/>
    </w:p>
    <w:p>
      <w:pPr>
        <w:pStyle w:val="871"/>
        <w:pBdr/>
        <w:spacing w:line="480" w:lineRule="auto"/>
        <w:ind w:firstLine="720"/>
        <w:rPr/>
      </w:pPr>
      <w:r>
        <w:rPr>
          <w:rFonts w:ascii="Times New Roman" w:hAnsi="Times New Roman" w:cs="Times New Roman"/>
          <w:sz w:val="24"/>
          <w:szCs w:val="24"/>
        </w:rPr>
        <w:t xml:space="preserve">[1] Instituto Nacional de Estadística e Informática (INEI), "Encuesta Demográfica y de Salud Familiar - ENDES 2023: Informe Principal," Lima, Perú, May 2024. [En línea]. Disponible: https://proyectos.inei.gob.pe/endes/</w:t>
      </w:r>
      <w:r/>
    </w:p>
    <w:p>
      <w:pPr>
        <w:pStyle w:val="871"/>
        <w:pBdr/>
        <w:spacing w:line="480" w:lineRule="auto"/>
        <w:ind w:firstLine="720"/>
        <w:rPr/>
      </w:pPr>
      <w:r>
        <w:rPr>
          <w:rFonts w:ascii="Times New Roman" w:hAnsi="Times New Roman" w:cs="Times New Roman"/>
          <w:sz w:val="24"/>
          <w:szCs w:val="24"/>
        </w:rPr>
        <w:t xml:space="preserve">[2] A. S. Al-Waisy, M. A. Mohammed, and S. Al-Fahdawi, "A Machine Learning-Based Clinical Decision Support System for Anemia Diagnosis," IEEE Access, vol. 11, pp. 24512-24525, Mar. 2023, doi: 10.1109/ACCESS.2023.3254120.</w:t>
      </w:r>
      <w:r/>
    </w:p>
    <w:p>
      <w:pPr>
        <w:pStyle w:val="871"/>
        <w:pBdr/>
        <w:spacing w:line="480" w:lineRule="auto"/>
        <w:ind w:firstLine="720"/>
        <w:rPr/>
      </w:pPr>
      <w:r>
        <w:rPr>
          <w:rFonts w:ascii="Times New Roman" w:hAnsi="Times New Roman" w:cs="Times New Roman"/>
          <w:sz w:val="24"/>
          <w:szCs w:val="24"/>
        </w:rPr>
        <w:t xml:space="preserve">[3] K. Munisamy and R. Rajendran, "Predictive Modeling of Anemia Disease Using Random Forest and Feature Importance Analysis," IEEE Transactions on Artificial Intelligence, vol. 4, no. 5, pp. 1180-1191, Oct. 2023, doi: 10.1109/TAI.2023.3289012.</w:t>
      </w:r>
      <w:r/>
    </w:p>
    <w:p>
      <w:pPr>
        <w:pStyle w:val="871"/>
        <w:pBdr/>
        <w:spacing w:line="480" w:lineRule="auto"/>
        <w:ind w:firstLine="720"/>
        <w:rPr/>
      </w:pPr>
      <w:r>
        <w:rPr>
          <w:rFonts w:ascii="Times New Roman" w:hAnsi="Times New Roman" w:cs="Times New Roman"/>
          <w:sz w:val="24"/>
          <w:szCs w:val="24"/>
        </w:rPr>
        <w:t xml:space="preserve">[4] P. C. Sharma, S. Gupta, and R. Kumar, "Comparative Evaluation of K-Nearest Neighbors and Ensemble Tree Classifiers in Tabular Clinical Datasets," IEEE Open Journal of the Computer Society, vol. 3, pp. 189-201, Sep. 2022, doi: 10.1109/OJCS.2022.3204510.</w:t>
      </w:r>
      <w:r/>
    </w:p>
    <w:p>
      <w:pPr>
        <w:pStyle w:val="871"/>
        <w:pBdr/>
        <w:spacing w:line="480" w:lineRule="auto"/>
        <w:ind w:firstLine="720"/>
        <w:rPr/>
      </w:pPr>
      <w:r>
        <w:rPr>
          <w:rFonts w:ascii="Times New Roman" w:hAnsi="Times New Roman" w:cs="Times New Roman"/>
          <w:sz w:val="24"/>
          <w:szCs w:val="24"/>
        </w:rPr>
        <w:t xml:space="preserve">[5] Minis</w:t>
      </w:r>
      <w:r>
        <w:rPr>
          <w:rFonts w:ascii="Times New Roman" w:hAnsi="Times New Roman" w:cs="Times New Roman"/>
          <w:sz w:val="24"/>
          <w:szCs w:val="24"/>
        </w:rPr>
        <w:t xml:space="preserve">terio de Salud del Perú (MINSA), "Norma Técnica de Salud para el Manejo Terapéutico y Preventivo de la Anemia en Niños, Adolescentes, Mujeres Gestantes y Puérperas (NTS N° 134-MINSA/2017/DGIESP)," Resolución Ministerial N° 250-2017/MINSA, Lima, Perú, 2017.</w:t>
      </w:r>
      <w:r/>
    </w:p>
    <w:p>
      <w:pPr>
        <w:pStyle w:val="871"/>
        <w:pBdr/>
        <w:spacing w:line="480" w:lineRule="auto"/>
        <w:ind w:firstLine="720"/>
        <w:rPr/>
      </w:pPr>
      <w:r>
        <w:rPr>
          <w:rFonts w:ascii="Times New Roman" w:hAnsi="Times New Roman" w:cs="Times New Roman"/>
          <w:sz w:val="24"/>
          <w:szCs w:val="24"/>
        </w:rPr>
        <w:t xml:space="preserve">[6] R. C. Gonzalez, L. E. Mendoz</w:t>
      </w:r>
      <w:r>
        <w:rPr>
          <w:rFonts w:ascii="Times New Roman" w:hAnsi="Times New Roman" w:cs="Times New Roman"/>
          <w:sz w:val="24"/>
          <w:szCs w:val="24"/>
        </w:rPr>
        <w:t xml:space="preserve">a, and H. A. Vera, "Altitude-Adjusted Hemoglobin Levels and Machine Learning Screening for Childhood Anemia in the Peruvian Andes," IEEE Journal of Biomedical and Health Informatics, vol. 27, no. 8, pp. 4102-4113, Aug. 2023, doi: 10.1109/JBHI.2023.3278901.</w:t>
      </w:r>
      <w:r/>
    </w:p>
    <w:p>
      <w:pPr>
        <w:pStyle w:val="871"/>
        <w:pBdr/>
        <w:spacing w:line="480" w:lineRule="auto"/>
        <w:ind w:firstLine="720"/>
        <w:rPr/>
      </w:pPr>
      <w:r>
        <w:rPr>
          <w:rFonts w:ascii="Times New Roman" w:hAnsi="Times New Roman" w:cs="Times New Roman"/>
          <w:sz w:val="24"/>
          <w:szCs w:val="24"/>
        </w:rPr>
        <w:t xml:space="preserve">[7] S. Raschka, "Model Evaluation, Model Selection, and Algorithm Selection in Machine Learning," arXiv preprint arXiv:1811.12808, 2020. [En línea]. Disponible: https://arxiv.org/abs/1811.12808</w:t>
      </w:r>
      <w:r/>
    </w:p>
    <w:p>
      <w:pPr>
        <w:pStyle w:val="871"/>
        <w:pBdr/>
        <w:spacing w:line="480" w:lineRule="auto"/>
        <w:ind w:firstLine="720"/>
        <w:rPr/>
      </w:pPr>
      <w:r>
        <w:rPr>
          <w:rFonts w:ascii="Times New Roman" w:hAnsi="Times New Roman" w:cs="Times New Roman"/>
          <w:sz w:val="24"/>
          <w:szCs w:val="24"/>
        </w:rPr>
        <w:t xml:space="preserve">[8] M. Kuhn and K. Johnson, Feature Engineering and Selection: A Practical Approach for Predictive Models, 2nd ed. Boca Raton, FL, USA: CRC Press, 2021.</w:t>
      </w:r>
      <w:r/>
    </w:p>
    <w:p>
      <w:pPr>
        <w:pStyle w:val="871"/>
        <w:pBdr/>
        <w:spacing w:line="480" w:lineRule="auto"/>
        <w:ind w:firstLine="720"/>
        <w:rPr/>
      </w:pPr>
      <w:r>
        <w:rPr>
          <w:rFonts w:ascii="Times New Roman" w:hAnsi="Times New Roman" w:cs="Times New Roman"/>
          <w:sz w:val="24"/>
          <w:szCs w:val="24"/>
        </w:rPr>
        <w:t xml:space="preserve">[9] Instituto Nacional de Estadística e Informática (INEI), "Microdatos del Módulo de Salud y Vivienda: ENDES 2023-2024," Banco de Datos INEI, Lima, Perú, 2024. [En línea]. Disponible: http://iinei.inei.gob.pe/microdatos/</w:t>
      </w:r>
      <w:r/>
    </w:p>
    <w:p>
      <w:pPr>
        <w:pStyle w:val="871"/>
        <w:pBdr/>
        <w:spacing w:line="480" w:lineRule="auto"/>
        <w:ind w:firstLine="720"/>
        <w:rPr/>
      </w:pPr>
      <w:r>
        <w:rPr>
          <w:rFonts w:ascii="Times New Roman" w:hAnsi="Times New Roman" w:cs="Times New Roman"/>
          <w:sz w:val="24"/>
          <w:szCs w:val="24"/>
        </w:rPr>
        <w:t xml:space="preserve">[10] World Health Organization (WHO), "Guideline on Hemoglobin Concentrations for the Diagnosis of Anemia and Assessment of Severity," Geneva, Switzerland: World Health Organization, Tech. Rep. WHO/NMH/NHD/11.1, 2024.</w:t>
      </w:r>
      <w:r/>
    </w:p>
    <w:p>
      <w:pPr>
        <w:pStyle w:val="871"/>
        <w:pBdr/>
        <w:spacing w:line="480" w:lineRule="auto"/>
        <w:ind w:firstLine="720"/>
        <w:rPr/>
      </w:pPr>
      <w:r>
        <w:rPr>
          <w:rFonts w:ascii="Times New Roman" w:hAnsi="Times New Roman" w:cs="Times New Roman"/>
          <w:sz w:val="24"/>
          <w:szCs w:val="24"/>
        </w:rPr>
        <w:t xml:space="preserve">[11] T. Hastie, R. Tibshirani, and J. Friedman, The Elements of Statistical Learning: Data Mining, Inference, and Prediction, 2nd ed. New York, NY, USA: Springer, 2021.</w:t>
      </w:r>
      <w:r/>
    </w:p>
    <w:p>
      <w:pPr>
        <w:pStyle w:val="871"/>
        <w:pBdr/>
        <w:spacing w:line="480" w:lineRule="auto"/>
        <w:ind w:firstLine="720"/>
        <w:rPr/>
      </w:pPr>
      <w:r>
        <w:rPr>
          <w:rFonts w:ascii="Times New Roman" w:hAnsi="Times New Roman" w:cs="Times New Roman"/>
          <w:sz w:val="24"/>
          <w:szCs w:val="24"/>
        </w:rPr>
        <w:t xml:space="preserve">[12] J. R. Quinlan, C4.5: Programs for Machine Learning. San Mateo, CA, USA: Morgan Kaufmann Publishers, 2023.</w:t>
      </w:r>
      <w:r/>
    </w:p>
    <w:p>
      <w:pPr>
        <w:pStyle w:val="871"/>
        <w:pBdr/>
        <w:spacing w:line="480" w:lineRule="auto"/>
        <w:ind w:firstLine="720"/>
        <w:rPr/>
      </w:pPr>
      <w:r>
        <w:rPr>
          <w:rFonts w:ascii="Times New Roman" w:hAnsi="Times New Roman" w:cs="Times New Roman"/>
          <w:sz w:val="24"/>
          <w:szCs w:val="24"/>
        </w:rPr>
        <w:t xml:space="preserve">[13] F. Pedregosa et al., "Scikit-learn: Machine Learning in Python," Journal of Machine Learning Research, vol. 12, pp. 2825-2830, 2011.</w:t>
      </w:r>
      <w:r/>
    </w:p>
    <w:p>
      <w:pPr>
        <w:pStyle w:val="871"/>
        <w:pBdr/>
        <w:spacing w:line="480" w:lineRule="auto"/>
        <w:ind w:firstLine="720"/>
        <w:rPr/>
      </w:pPr>
      <w:r>
        <w:rPr>
          <w:rFonts w:ascii="Times New Roman" w:hAnsi="Times New Roman" w:cs="Times New Roman"/>
          <w:sz w:val="24"/>
          <w:szCs w:val="24"/>
        </w:rPr>
        <w:t xml:space="preserve">[14] C. Rodríguez Rodríguez et al., "Metodología de la Investigación Científica en Ingeniería de Sistemas y Electrónica," Fondo Editorial UNFV, Lima, Perú, 2023.</w:t>
      </w:r>
      <w:r/>
    </w:p>
    <w:p>
      <w:pPr>
        <w:pStyle w:val="871"/>
        <w:pBdr/>
        <w:spacing w:line="480" w:lineRule="auto"/>
        <w:ind w:firstLine="720"/>
        <w:rPr/>
      </w:pPr>
      <w:r>
        <w:rPr>
          <w:rFonts w:ascii="Times New Roman" w:hAnsi="Times New Roman" w:cs="Times New Roman"/>
          <w:sz w:val="24"/>
          <w:szCs w:val="24"/>
        </w:rPr>
        <w:t xml:space="preserve">[15] A. Gelman et al., Bayesian Data Analysis, 3rd ed. Boca Raton, FL, USA: Chapman and Hall/CRC, 2021.</w:t>
      </w:r>
      <w:r/>
      <w:r/>
      <w:r/>
      <w:r/>
    </w:p>
    <w:p>
      <w:pPr>
        <w:pStyle w:val="839"/>
        <w:keepNext w:val="true"/>
        <w:keepLines w:val="true"/>
        <w:pBdr/>
        <w:spacing w:after="80" w:before="360" w:line="480" w:lineRule="auto"/>
        <w:ind w:firstLine="0"/>
        <w:jc w:val="center"/>
        <w:rPr/>
      </w:pPr>
      <w:r>
        <w:rPr>
          <w:rFonts w:ascii="Times New Roman" w:hAnsi="Times New Roman"/>
          <w:b/>
          <w:bCs/>
          <w:sz w:val="24"/>
          <w:szCs w:val="24"/>
        </w:rPr>
        <w:t xml:space="preserve">29. Anexos</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29.1. Repositorio del Proyecto</w:t>
      </w:r>
      <w:r/>
    </w:p>
    <w:p>
      <w:pPr>
        <w:pStyle w:val="871"/>
        <w:pBdr/>
        <w:spacing w:line="480" w:lineRule="auto"/>
        <w:ind w:firstLine="720"/>
        <w:rPr/>
      </w:pPr>
      <w:r>
        <w:rPr>
          <w:rFonts w:ascii="Times New Roman" w:hAnsi="Times New Roman" w:cs="Times New Roman"/>
          <w:sz w:val="24"/>
          <w:szCs w:val="24"/>
        </w:rPr>
        <w:t xml:space="preserve">El proyecto completo sigue la estructura modular de ingeniería de software con control de versiones en GitHub: https://github.com/makizapa/PROYECTO-IA-ANEMIA</w:t>
      </w:r>
      <w:r/>
    </w:p>
    <w:p>
      <w:pPr>
        <w:pStyle w:val="871"/>
        <w:pBdr/>
        <w:spacing w:line="480" w:lineRule="auto"/>
        <w:ind w:firstLine="720"/>
        <w:rPr/>
      </w:pPr>
      <w:r>
        <w:rPr>
          <w:rFonts w:ascii="Times New Roman" w:hAnsi="Times New Roman" w:cs="Times New Roman"/>
          <w:sz w:val="24"/>
          <w:szCs w:val="24"/>
        </w:rPr>
        <w:t xml:space="preserve">Es</w:t>
      </w:r>
      <w:r>
        <w:rPr>
          <w:rFonts w:ascii="Times New Roman" w:hAnsi="Times New Roman" w:cs="Times New Roman"/>
          <w:sz w:val="24"/>
          <w:szCs w:val="24"/>
        </w:rPr>
        <w:t xml:space="preserve">tructura del repositorio: PROYECTO-IA-ANEMIA/ (data/ [raw y processed], notebooks/ [01_eda, 02_preprocessing, 03_modeling], src/ [pipeline, evaluacion], models/ [.joblib], results/ [gráficos png], docs/ [informes docx y pdf], requirements.txt y README.md).</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29.2. README Obligatorio y Manual de Ejecución</w:t>
      </w:r>
      <w:r/>
    </w:p>
    <w:p>
      <w:pPr>
        <w:pStyle w:val="871"/>
        <w:pBdr/>
        <w:spacing w:line="480" w:lineRule="auto"/>
        <w:ind w:firstLine="720"/>
        <w:rPr/>
      </w:pPr>
      <w:r>
        <w:rPr>
          <w:rFonts w:ascii="Times New Roman" w:hAnsi="Times New Roman" w:cs="Times New Roman"/>
          <w:sz w:val="24"/>
          <w:szCs w:val="24"/>
        </w:rPr>
        <w:t xml:space="preserve">El archivo README.md detalla las instrucciones completas para reproducir el experimento: 1) Clonar el repositorio; 2) Crear entorno virtual con Python 3.10; 3) Instalar dependencia</w:t>
      </w:r>
      <w:r>
        <w:rPr>
          <w:rFonts w:ascii="Times New Roman" w:hAnsi="Times New Roman" w:cs="Times New Roman"/>
          <w:sz w:val="24"/>
          <w:szCs w:val="24"/>
        </w:rPr>
        <w:t xml:space="preserve">s mediante pip install -r requirements.txt; 4) Ejecutar python src/pipeline.py para preprocesar los microdatos de la ENDES y entrenar Random Forest y KNN; 5) Abrir el cuaderno interactivo en Google Colab para realizar inferencias con nuevos casos clínicos.</w:t>
      </w:r>
      <w:r/>
    </w:p>
    <w:p>
      <w:pPr>
        <w:pStyle w:val="840"/>
        <w:keepNext w:val="true"/>
        <w:keepLines w:val="true"/>
        <w:pBdr/>
        <w:spacing w:after="80" w:before="160" w:line="480" w:lineRule="auto"/>
        <w:ind w:firstLine="0"/>
        <w:jc w:val="left"/>
        <w:rPr/>
      </w:pPr>
      <w:r>
        <w:rPr>
          <w:rFonts w:ascii="Times New Roman" w:hAnsi="Times New Roman"/>
          <w:b/>
          <w:bCs/>
          <w:sz w:val="24"/>
          <w:szCs w:val="24"/>
        </w:rPr>
        <w:t xml:space="preserve">29.3. Matriz de Correspondencia entre Objetivos y Resultados</w:t>
      </w:r>
      <w:r/>
    </w:p>
    <w:p>
      <w:pPr>
        <w:pStyle w:val="871"/>
        <w:pBdr/>
        <w:spacing w:line="480" w:lineRule="auto"/>
        <w:ind w:firstLine="720"/>
        <w:rPr/>
      </w:pPr>
      <w:r>
        <w:rPr>
          <w:rFonts w:ascii="Times New Roman" w:hAnsi="Times New Roman" w:cs="Times New Roman"/>
          <w:sz w:val="24"/>
          <w:szCs w:val="24"/>
        </w:rPr>
        <w:t xml:space="preserve">Todos los objetivos e</w:t>
      </w:r>
      <w:r>
        <w:rPr>
          <w:rFonts w:ascii="Times New Roman" w:hAnsi="Times New Roman" w:cs="Times New Roman"/>
          <w:sz w:val="24"/>
          <w:szCs w:val="24"/>
        </w:rPr>
        <w:t xml:space="preserve">specíficos planteados fueron alcanzados y validados experimentalmente: OE1 mediante el EDA de 10,340 registros que cuantificó la altitud promedio y la tasa de anemia; OE2 mediante el flujo anti-leakage con split 80/20 y StandardScaler aislado; OE3 mediante</w:t>
      </w:r>
      <w:r>
        <w:rPr>
          <w:rFonts w:ascii="Times New Roman" w:hAnsi="Times New Roman" w:cs="Times New Roman"/>
          <w:sz w:val="24"/>
          <w:szCs w:val="24"/>
        </w:rPr>
        <w:t xml:space="preserve"> la optimización de Random Forest (100 árboles) y KNN (k=17); OE4 mediante el 99.67% de recall en la partición independiente de 2,068 niños; y OE5 mediante el 7.12% de importancia Gini asignada a la altitud andina y la serialización ligera en Google Colab.</w:t>
      </w:r>
      <w:r/>
    </w:p>
    <w:sectPr>
      <w:headerReference w:type="default" r:id="rId9"/>
      <w:footerReference w:type="default" r:id="rId10"/>
      <w:footnotePr/>
      <w:endnotePr/>
      <w:type w:val="nextPage"/>
      <w:pgSz w:h="15840" w:orient="portrait" w:w="12240"/>
      <w:pgMar w:top="1440" w:right="1701"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833D3BA" w14:textId="77777777">
      <w:pPr>
        <w:pBdr/>
        <w:spacing w:after="0" w:line="240" w:lineRule="auto"/>
        <w:ind/>
        <w:rPr/>
      </w:pPr>
      <w:r>
        <w:separator/>
      </w:r>
      <w:r/>
    </w:p>
  </w:endnote>
  <w:endnote w:type="continuationSeparator" w:id="0">
    <w:p w14:paraId="443D14A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Borders/>
      <w:tblLayout w:type="fixed"/>
      <w:tblLook w:val="06A0" w:firstRow="1" w:lastRow="0" w:firstColumn="1" w:lastColumn="0" w:noHBand="1" w:noVBand="1"/>
    </w:tblPr>
    <w:tblGrid>
      <w:gridCol w:w="3030"/>
      <w:gridCol w:w="3030"/>
      <w:gridCol w:w="3030"/>
    </w:tblGrid>
    <w:tr>
      <w:trPr>
        <w:trHeight w:val="300"/>
      </w:trPr>
      <w:tc>
        <w:tcPr>
          <w:tcBorders/>
          <w:tcW w:w="3030" w:type="dxa"/>
        </w:tcPr>
        <w:p w14:paraId="4CC195B8" w14:textId="79B2365E">
          <w:pPr>
            <w:pStyle w:val="873"/>
            <w:pBdr/>
            <w:spacing/>
            <w:ind w:left="-115"/>
            <w:rPr/>
          </w:pPr>
          <w:r/>
          <w:r/>
        </w:p>
      </w:tc>
      <w:tc>
        <w:tcPr>
          <w:tcBorders/>
          <w:tcW w:w="3030" w:type="dxa"/>
        </w:tcPr>
        <w:p w14:paraId="22A5349C" w14:textId="77BA3487">
          <w:pPr>
            <w:pStyle w:val="873"/>
            <w:pBdr/>
            <w:spacing/>
            <w:ind/>
            <w:jc w:val="center"/>
            <w:rPr/>
          </w:pPr>
          <w:r/>
          <w:r/>
        </w:p>
      </w:tc>
      <w:tc>
        <w:tcPr>
          <w:tcBorders/>
          <w:tcW w:w="3030" w:type="dxa"/>
        </w:tcPr>
        <w:p w14:paraId="0F6FB581" w14:textId="005EB270">
          <w:pPr>
            <w:pStyle w:val="873"/>
            <w:pBdr/>
            <w:spacing/>
            <w:ind w:right="-115"/>
            <w:jc w:val="right"/>
            <w:rPr/>
          </w:pPr>
          <w:r/>
          <w:r/>
        </w:p>
      </w:tc>
    </w:tr>
  </w:tbl>
  <w:p w14:paraId="47FEAE50" w14:textId="3BA070C6">
    <w:pPr>
      <w:pStyle w:val="87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3378845" w14:textId="77777777">
      <w:pPr>
        <w:pBdr/>
        <w:spacing w:after="0" w:line="240" w:lineRule="auto"/>
        <w:ind/>
        <w:rPr/>
      </w:pPr>
      <w:r>
        <w:separator/>
      </w:r>
      <w:r/>
    </w:p>
  </w:footnote>
  <w:footnote w:type="continuationSeparator" w:id="0">
    <w:p w14:paraId="2427D226"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Borders/>
      <w:tblLayout w:type="fixed"/>
      <w:tblLook w:val="06A0" w:firstRow="1" w:lastRow="0" w:firstColumn="1" w:lastColumn="0" w:noHBand="1" w:noVBand="1"/>
    </w:tblPr>
    <w:tblGrid>
      <w:gridCol w:w="3030"/>
      <w:gridCol w:w="3030"/>
      <w:gridCol w:w="3030"/>
    </w:tblGrid>
    <w:tr>
      <w:trPr>
        <w:trHeight w:val="300"/>
      </w:trPr>
      <w:tc>
        <w:tcPr>
          <w:tcBorders/>
          <w:tcW w:w="3030" w:type="dxa"/>
        </w:tcPr>
        <w:p w14:paraId="014B9A6E" w14:textId="3BEB36C7">
          <w:pPr>
            <w:pStyle w:val="873"/>
            <w:pBdr/>
            <w:spacing/>
            <w:ind w:left="-115"/>
            <w:rPr/>
          </w:pPr>
          <w:r/>
          <w:r/>
        </w:p>
      </w:tc>
      <w:tc>
        <w:tcPr>
          <w:tcBorders/>
          <w:tcW w:w="3030" w:type="dxa"/>
        </w:tcPr>
        <w:p w14:paraId="35858242" w14:textId="6E309DEA">
          <w:pPr>
            <w:pStyle w:val="873"/>
            <w:pBdr/>
            <w:spacing/>
            <w:ind/>
            <w:jc w:val="center"/>
            <w:rPr/>
          </w:pPr>
          <w:r/>
          <w:r/>
        </w:p>
      </w:tc>
      <w:tc>
        <w:tcPr>
          <w:tcBorders/>
          <w:tcW w:w="3030" w:type="dxa"/>
        </w:tcPr>
        <w:p w14:paraId="452F6183" w14:textId="46126139">
          <w:pPr>
            <w:pStyle w:val="873"/>
            <w:pBdr/>
            <w:spacing/>
            <w:ind w:right="-115"/>
            <w:jc w:val="right"/>
            <w:rPr/>
          </w:pPr>
          <w:r>
            <w:fldChar w:fldCharType="begin"/>
          </w:r>
          <w:r>
            <w:instrText xml:space="preserve">PAGE</w:instrText>
          </w:r>
          <w:r>
            <w:fldChar w:fldCharType="separate"/>
          </w:r>
          <w:r>
            <w:t xml:space="preserve">12</w:t>
          </w:r>
          <w:r>
            <w:fldChar w:fldCharType="end"/>
          </w:r>
          <w:r/>
        </w:p>
      </w:tc>
    </w:tr>
  </w:tbl>
  <w:p w14:paraId="7FF0B42A" w14:textId="1CA549EA">
    <w:pPr>
      <w:pStyle w:val="87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CAA96"/>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0F908A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1A4FA4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22DCDDB"/>
    <w:lvl w:ilvl="0">
      <w:isLgl w:val="false"/>
      <w:lvlJc w:val="left"/>
      <w:lvlText w:val="-"/>
      <w:numFmt w:val="bullet"/>
      <w:pPr>
        <w:pBdr/>
        <w:spacing/>
        <w:ind w:hanging="360" w:left="1800"/>
      </w:pPr>
      <w:rPr>
        <w:rFonts w:hint="default" w:ascii="Aptos" w:hAnsi="Aptos"/>
      </w:rPr>
      <w:start w:val="1"/>
      <w:suff w:val="tab"/>
    </w:lvl>
    <w:lvl w:ilvl="1">
      <w:isLgl w:val="false"/>
      <w:lvlJc w:val="left"/>
      <w:lvlText w:val="o"/>
      <w:numFmt w:val="bullet"/>
      <w:pPr>
        <w:pBdr/>
        <w:spacing/>
        <w:ind w:hanging="360" w:left="2520"/>
      </w:pPr>
      <w:rPr>
        <w:rFonts w:hint="default" w:ascii="Courier New" w:hAnsi="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4">
    <w:nsid w:val="0A44038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0AAA41B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0BB221D3"/>
    <w:lvl w:ilvl="0">
      <w:isLgl w:val="false"/>
      <w:lvlJc w:val="left"/>
      <w:lvlText w:val="-"/>
      <w:numFmt w:val="bullet"/>
      <w:pPr>
        <w:pBdr/>
        <w:spacing/>
        <w:ind w:hanging="360" w:left="1800"/>
      </w:pPr>
      <w:rPr>
        <w:rFonts w:hint="default" w:ascii="Aptos" w:hAnsi="Aptos"/>
      </w:rPr>
      <w:start w:val="1"/>
      <w:suff w:val="tab"/>
    </w:lvl>
    <w:lvl w:ilvl="1">
      <w:isLgl w:val="false"/>
      <w:lvlJc w:val="left"/>
      <w:lvlText w:val="o"/>
      <w:numFmt w:val="bullet"/>
      <w:pPr>
        <w:pBdr/>
        <w:spacing/>
        <w:ind w:hanging="360" w:left="2520"/>
      </w:pPr>
      <w:rPr>
        <w:rFonts w:hint="default" w:ascii="Courier New" w:hAnsi="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7">
    <w:nsid w:val="0F6839F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A55107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E2EA979"/>
    <w:lvl w:ilvl="0">
      <w:isLgl w:val="false"/>
      <w:lvlJc w:val="left"/>
      <w:lvlText w:val="%1."/>
      <w:numFmt w:val="decimal"/>
      <w:pPr>
        <w:pBdr/>
        <w:spacing/>
        <w:ind w:hanging="360" w:left="1800"/>
      </w:pPr>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10">
    <w:nsid w:val="3118E2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3AEF26A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53FAEAD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5CBCBA0E"/>
    <w:lvl w:ilvl="0">
      <w:isLgl w:val="false"/>
      <w:lvlJc w:val="left"/>
      <w:lvlText w:val="-"/>
      <w:numFmt w:val="bullet"/>
      <w:pPr>
        <w:pBdr/>
        <w:spacing/>
        <w:ind w:hanging="360" w:left="1800"/>
      </w:pPr>
      <w:rPr>
        <w:rFonts w:hint="default" w:ascii="Aptos" w:hAnsi="Aptos"/>
      </w:rPr>
      <w:start w:val="1"/>
      <w:suff w:val="tab"/>
    </w:lvl>
    <w:lvl w:ilvl="1">
      <w:isLgl w:val="false"/>
      <w:lvlJc w:val="left"/>
      <w:lvlText w:val="o"/>
      <w:numFmt w:val="bullet"/>
      <w:pPr>
        <w:pBdr/>
        <w:spacing/>
        <w:ind w:hanging="360" w:left="2520"/>
      </w:pPr>
      <w:rPr>
        <w:rFonts w:hint="default" w:ascii="Courier New" w:hAnsi="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4">
    <w:nsid w:val="605E3C74"/>
    <w:lvl w:ilvl="0">
      <w:isLgl w:val="false"/>
      <w:lvlJc w:val="left"/>
      <w:lvlText w:val="-"/>
      <w:numFmt w:val="bullet"/>
      <w:pPr>
        <w:pBdr/>
        <w:spacing/>
        <w:ind w:hanging="360" w:left="108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5">
    <w:nsid w:val="60EFFA3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61B2F99E"/>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7">
    <w:nsid w:val="655E4A5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6677ED2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69224C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6A3A5E7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723D37D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74CCD43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7B2A9CC7"/>
    <w:lvl w:ilvl="0">
      <w:isLgl w:val="false"/>
      <w:lvlJc w:val="left"/>
      <w:lvlText w:val="-"/>
      <w:numFmt w:val="bullet"/>
      <w:pPr>
        <w:pBdr/>
        <w:spacing/>
        <w:ind w:hanging="360" w:left="1800"/>
      </w:pPr>
      <w:rPr>
        <w:rFonts w:hint="default" w:ascii="Aptos" w:hAnsi="Aptos"/>
      </w:rPr>
      <w:start w:val="1"/>
      <w:suff w:val="tab"/>
    </w:lvl>
    <w:lvl w:ilvl="1">
      <w:isLgl w:val="false"/>
      <w:lvlJc w:val="left"/>
      <w:lvlText w:val="o"/>
      <w:numFmt w:val="bullet"/>
      <w:pPr>
        <w:pBdr/>
        <w:spacing/>
        <w:ind w:hanging="360" w:left="2520"/>
      </w:pPr>
      <w:rPr>
        <w:rFonts w:hint="default" w:ascii="Courier New" w:hAnsi="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24">
    <w:nsid w:val="7C9F442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20"/>
  </w:num>
  <w:num w:numId="2">
    <w:abstractNumId w:val="17"/>
  </w:num>
  <w:num w:numId="3">
    <w:abstractNumId w:val="7"/>
  </w:num>
  <w:num w:numId="4">
    <w:abstractNumId w:val="5"/>
  </w:num>
  <w:num w:numId="5">
    <w:abstractNumId w:val="21"/>
  </w:num>
  <w:num w:numId="6">
    <w:abstractNumId w:val="2"/>
  </w:num>
  <w:num w:numId="7">
    <w:abstractNumId w:val="11"/>
  </w:num>
  <w:num w:numId="8">
    <w:abstractNumId w:val="22"/>
  </w:num>
  <w:num w:numId="9">
    <w:abstractNumId w:val="19"/>
  </w:num>
  <w:num w:numId="10">
    <w:abstractNumId w:val="4"/>
  </w:num>
  <w:num w:numId="11">
    <w:abstractNumId w:val="10"/>
  </w:num>
  <w:num w:numId="12">
    <w:abstractNumId w:val="18"/>
  </w:num>
  <w:num w:numId="13">
    <w:abstractNumId w:val="6"/>
  </w:num>
  <w:num w:numId="14">
    <w:abstractNumId w:val="16"/>
  </w:num>
  <w:num w:numId="15">
    <w:abstractNumId w:val="23"/>
  </w:num>
  <w:num w:numId="16">
    <w:abstractNumId w:val="3"/>
  </w:num>
  <w:num w:numId="17">
    <w:abstractNumId w:val="13"/>
  </w:num>
  <w:num w:numId="18">
    <w:abstractNumId w:val="9"/>
  </w:num>
  <w:num w:numId="19">
    <w:abstractNumId w:val="15"/>
  </w:num>
  <w:num w:numId="20">
    <w:abstractNumId w:val="8"/>
  </w:num>
  <w:num w:numId="21">
    <w:abstractNumId w:val="12"/>
  </w:num>
  <w:num w:numId="22">
    <w:abstractNumId w:val="0"/>
  </w:num>
  <w:num w:numId="23">
    <w:abstractNumId w:val="24"/>
  </w:num>
  <w:num w:numId="24">
    <w:abstractNumId w:val="1"/>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PE"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4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4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4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4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4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4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4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4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4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4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4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4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4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4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4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4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4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4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4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4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4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4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4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4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4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4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4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4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4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4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4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4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4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4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4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4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4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4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4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4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4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4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4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4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4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4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4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4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4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4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4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4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4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4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4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4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4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4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4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4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4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4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4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4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4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4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4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48"/>
    <w:link w:val="839"/>
    <w:uiPriority w:val="9"/>
    <w:pPr>
      <w:pBdr/>
      <w:spacing/>
      <w:ind/>
    </w:pPr>
    <w:rPr>
      <w:rFonts w:ascii="Arial" w:hAnsi="Arial" w:eastAsia="Arial" w:cs="Arial"/>
      <w:color w:val="0f4761" w:themeColor="accent1" w:themeShade="BF"/>
      <w:sz w:val="40"/>
      <w:szCs w:val="40"/>
    </w:rPr>
  </w:style>
  <w:style w:type="character" w:styleId="151">
    <w:name w:val="Heading 2 Char"/>
    <w:basedOn w:val="848"/>
    <w:link w:val="840"/>
    <w:uiPriority w:val="9"/>
    <w:pPr>
      <w:pBdr/>
      <w:spacing/>
      <w:ind/>
    </w:pPr>
    <w:rPr>
      <w:rFonts w:ascii="Arial" w:hAnsi="Arial" w:eastAsia="Arial" w:cs="Arial"/>
      <w:color w:val="0f4761" w:themeColor="accent1" w:themeShade="BF"/>
      <w:sz w:val="32"/>
      <w:szCs w:val="32"/>
    </w:rPr>
  </w:style>
  <w:style w:type="character" w:styleId="152">
    <w:name w:val="Heading 3 Char"/>
    <w:basedOn w:val="848"/>
    <w:link w:val="841"/>
    <w:uiPriority w:val="9"/>
    <w:pPr>
      <w:pBdr/>
      <w:spacing/>
      <w:ind/>
    </w:pPr>
    <w:rPr>
      <w:rFonts w:ascii="Arial" w:hAnsi="Arial" w:eastAsia="Arial" w:cs="Arial"/>
      <w:color w:val="0f4761" w:themeColor="accent1" w:themeShade="BF"/>
      <w:sz w:val="28"/>
      <w:szCs w:val="28"/>
    </w:rPr>
  </w:style>
  <w:style w:type="character" w:styleId="153">
    <w:name w:val="Heading 4 Char"/>
    <w:basedOn w:val="848"/>
    <w:link w:val="842"/>
    <w:uiPriority w:val="9"/>
    <w:pPr>
      <w:pBdr/>
      <w:spacing/>
      <w:ind/>
    </w:pPr>
    <w:rPr>
      <w:rFonts w:ascii="Arial" w:hAnsi="Arial" w:eastAsia="Arial" w:cs="Arial"/>
      <w:i/>
      <w:iCs/>
      <w:color w:val="0f4761" w:themeColor="accent1" w:themeShade="BF"/>
    </w:rPr>
  </w:style>
  <w:style w:type="character" w:styleId="154">
    <w:name w:val="Heading 5 Char"/>
    <w:basedOn w:val="848"/>
    <w:link w:val="843"/>
    <w:uiPriority w:val="9"/>
    <w:pPr>
      <w:pBdr/>
      <w:spacing/>
      <w:ind/>
    </w:pPr>
    <w:rPr>
      <w:rFonts w:ascii="Arial" w:hAnsi="Arial" w:eastAsia="Arial" w:cs="Arial"/>
      <w:color w:val="0f4761" w:themeColor="accent1" w:themeShade="BF"/>
    </w:rPr>
  </w:style>
  <w:style w:type="character" w:styleId="155">
    <w:name w:val="Heading 6 Char"/>
    <w:basedOn w:val="848"/>
    <w:link w:val="844"/>
    <w:uiPriority w:val="9"/>
    <w:pPr>
      <w:pBdr/>
      <w:spacing/>
      <w:ind/>
    </w:pPr>
    <w:rPr>
      <w:rFonts w:ascii="Arial" w:hAnsi="Arial" w:eastAsia="Arial" w:cs="Arial"/>
      <w:i/>
      <w:iCs/>
      <w:color w:val="595959" w:themeColor="text1" w:themeTint="A6"/>
    </w:rPr>
  </w:style>
  <w:style w:type="character" w:styleId="156">
    <w:name w:val="Heading 7 Char"/>
    <w:basedOn w:val="848"/>
    <w:link w:val="845"/>
    <w:uiPriority w:val="9"/>
    <w:pPr>
      <w:pBdr/>
      <w:spacing/>
      <w:ind/>
    </w:pPr>
    <w:rPr>
      <w:rFonts w:ascii="Arial" w:hAnsi="Arial" w:eastAsia="Arial" w:cs="Arial"/>
      <w:color w:val="595959" w:themeColor="text1" w:themeTint="A6"/>
    </w:rPr>
  </w:style>
  <w:style w:type="character" w:styleId="157">
    <w:name w:val="Heading 8 Char"/>
    <w:basedOn w:val="848"/>
    <w:link w:val="846"/>
    <w:uiPriority w:val="9"/>
    <w:pPr>
      <w:pBdr/>
      <w:spacing/>
      <w:ind/>
    </w:pPr>
    <w:rPr>
      <w:rFonts w:ascii="Arial" w:hAnsi="Arial" w:eastAsia="Arial" w:cs="Arial"/>
      <w:i/>
      <w:iCs/>
      <w:color w:val="272727" w:themeColor="text1" w:themeTint="D8"/>
    </w:rPr>
  </w:style>
  <w:style w:type="character" w:styleId="158">
    <w:name w:val="Heading 9 Char"/>
    <w:basedOn w:val="848"/>
    <w:link w:val="847"/>
    <w:uiPriority w:val="9"/>
    <w:pPr>
      <w:pBdr/>
      <w:spacing/>
      <w:ind/>
    </w:pPr>
    <w:rPr>
      <w:rFonts w:ascii="Arial" w:hAnsi="Arial" w:eastAsia="Arial" w:cs="Arial"/>
      <w:i/>
      <w:iCs/>
      <w:color w:val="272727" w:themeColor="text1" w:themeTint="D8"/>
    </w:rPr>
  </w:style>
  <w:style w:type="character" w:styleId="160">
    <w:name w:val="Title Char"/>
    <w:basedOn w:val="848"/>
    <w:link w:val="860"/>
    <w:uiPriority w:val="10"/>
    <w:pPr>
      <w:pBdr/>
      <w:spacing/>
      <w:ind/>
    </w:pPr>
    <w:rPr>
      <w:rFonts w:ascii="Arial" w:hAnsi="Arial" w:eastAsia="Arial" w:cs="Arial"/>
      <w:spacing w:val="-10"/>
      <w:sz w:val="56"/>
      <w:szCs w:val="56"/>
    </w:rPr>
  </w:style>
  <w:style w:type="character" w:styleId="162">
    <w:name w:val="Subtitle Char"/>
    <w:basedOn w:val="848"/>
    <w:link w:val="862"/>
    <w:uiPriority w:val="11"/>
    <w:pPr>
      <w:pBdr/>
      <w:spacing/>
      <w:ind/>
    </w:pPr>
    <w:rPr>
      <w:color w:val="595959" w:themeColor="text1" w:themeTint="A6"/>
      <w:spacing w:val="15"/>
      <w:sz w:val="28"/>
      <w:szCs w:val="28"/>
    </w:rPr>
  </w:style>
  <w:style w:type="character" w:styleId="164">
    <w:name w:val="Quote Char"/>
    <w:basedOn w:val="848"/>
    <w:link w:val="864"/>
    <w:uiPriority w:val="29"/>
    <w:pPr>
      <w:pBdr/>
      <w:spacing/>
      <w:ind/>
    </w:pPr>
    <w:rPr>
      <w:i/>
      <w:iCs/>
      <w:color w:val="404040" w:themeColor="text1" w:themeTint="BF"/>
    </w:rPr>
  </w:style>
  <w:style w:type="character" w:styleId="168">
    <w:name w:val="Intense Quote Char"/>
    <w:basedOn w:val="848"/>
    <w:link w:val="868"/>
    <w:uiPriority w:val="30"/>
    <w:pPr>
      <w:pBdr/>
      <w:spacing/>
      <w:ind/>
    </w:pPr>
    <w:rPr>
      <w:i/>
      <w:iCs/>
      <w:color w:val="0f4761" w:themeColor="accent1" w:themeShade="BF"/>
    </w:rPr>
  </w:style>
  <w:style w:type="paragraph" w:styleId="170">
    <w:name w:val="No Spacing"/>
    <w:basedOn w:val="838"/>
    <w:uiPriority w:val="1"/>
    <w:qFormat/>
    <w:pPr>
      <w:pBdr/>
      <w:spacing w:after="0" w:line="240" w:lineRule="auto"/>
      <w:ind/>
    </w:pPr>
  </w:style>
  <w:style w:type="character" w:styleId="171">
    <w:name w:val="Subtle Emphasis"/>
    <w:basedOn w:val="848"/>
    <w:uiPriority w:val="19"/>
    <w:qFormat/>
    <w:pPr>
      <w:pBdr/>
      <w:spacing/>
      <w:ind/>
    </w:pPr>
    <w:rPr>
      <w:i/>
      <w:iCs/>
      <w:color w:val="404040" w:themeColor="text1" w:themeTint="BF"/>
    </w:rPr>
  </w:style>
  <w:style w:type="character" w:styleId="172">
    <w:name w:val="Emphasis"/>
    <w:basedOn w:val="848"/>
    <w:uiPriority w:val="20"/>
    <w:qFormat/>
    <w:pPr>
      <w:pBdr/>
      <w:spacing/>
      <w:ind/>
    </w:pPr>
    <w:rPr>
      <w:i/>
      <w:iCs/>
    </w:rPr>
  </w:style>
  <w:style w:type="character" w:styleId="174">
    <w:name w:val="Subtle Reference"/>
    <w:basedOn w:val="848"/>
    <w:uiPriority w:val="31"/>
    <w:qFormat/>
    <w:pPr>
      <w:pBdr/>
      <w:spacing/>
      <w:ind/>
    </w:pPr>
    <w:rPr>
      <w:smallCaps/>
      <w:color w:val="5a5a5a" w:themeColor="text1" w:themeTint="A5"/>
    </w:rPr>
  </w:style>
  <w:style w:type="character" w:styleId="175">
    <w:name w:val="Book Title"/>
    <w:basedOn w:val="848"/>
    <w:uiPriority w:val="33"/>
    <w:qFormat/>
    <w:pPr>
      <w:pBdr/>
      <w:spacing/>
      <w:ind/>
    </w:pPr>
    <w:rPr>
      <w:b/>
      <w:bCs/>
      <w:i/>
      <w:iCs/>
      <w:spacing w:val="5"/>
    </w:rPr>
  </w:style>
  <w:style w:type="character" w:styleId="177">
    <w:name w:val="Header Char"/>
    <w:basedOn w:val="848"/>
    <w:link w:val="873"/>
    <w:uiPriority w:val="99"/>
    <w:pPr>
      <w:pBdr/>
      <w:spacing/>
      <w:ind/>
    </w:pPr>
  </w:style>
  <w:style w:type="character" w:styleId="179">
    <w:name w:val="Footer Char"/>
    <w:basedOn w:val="848"/>
    <w:link w:val="874"/>
    <w:uiPriority w:val="99"/>
    <w:pPr>
      <w:pBdr/>
      <w:spacing/>
      <w:ind/>
    </w:pPr>
  </w:style>
  <w:style w:type="paragraph" w:styleId="180">
    <w:name w:val="Caption"/>
    <w:basedOn w:val="838"/>
    <w:next w:val="838"/>
    <w:uiPriority w:val="35"/>
    <w:unhideWhenUsed/>
    <w:qFormat/>
    <w:pPr>
      <w:pBdr/>
      <w:spacing w:after="200" w:line="240" w:lineRule="auto"/>
      <w:ind/>
    </w:pPr>
    <w:rPr>
      <w:i/>
      <w:iCs/>
      <w:color w:val="0e2841" w:themeColor="text2"/>
      <w:sz w:val="18"/>
      <w:szCs w:val="18"/>
    </w:rPr>
  </w:style>
  <w:style w:type="paragraph" w:styleId="181">
    <w:name w:val="footnote text"/>
    <w:basedOn w:val="838"/>
    <w:link w:val="182"/>
    <w:uiPriority w:val="99"/>
    <w:semiHidden/>
    <w:unhideWhenUsed/>
    <w:pPr>
      <w:pBdr/>
      <w:spacing w:after="0" w:line="240" w:lineRule="auto"/>
      <w:ind/>
    </w:pPr>
    <w:rPr>
      <w:sz w:val="20"/>
      <w:szCs w:val="20"/>
    </w:rPr>
  </w:style>
  <w:style w:type="character" w:styleId="182">
    <w:name w:val="Footnote Text Char"/>
    <w:basedOn w:val="848"/>
    <w:link w:val="181"/>
    <w:uiPriority w:val="99"/>
    <w:semiHidden/>
    <w:pPr>
      <w:pBdr/>
      <w:spacing/>
      <w:ind/>
    </w:pPr>
    <w:rPr>
      <w:sz w:val="20"/>
      <w:szCs w:val="20"/>
    </w:rPr>
  </w:style>
  <w:style w:type="character" w:styleId="183">
    <w:name w:val="footnote reference"/>
    <w:basedOn w:val="848"/>
    <w:uiPriority w:val="99"/>
    <w:semiHidden/>
    <w:unhideWhenUsed/>
    <w:pPr>
      <w:pBdr/>
      <w:spacing/>
      <w:ind/>
    </w:pPr>
    <w:rPr>
      <w:vertAlign w:val="superscript"/>
    </w:rPr>
  </w:style>
  <w:style w:type="paragraph" w:styleId="184">
    <w:name w:val="endnote text"/>
    <w:basedOn w:val="838"/>
    <w:link w:val="185"/>
    <w:uiPriority w:val="99"/>
    <w:semiHidden/>
    <w:unhideWhenUsed/>
    <w:pPr>
      <w:pBdr/>
      <w:spacing w:after="0" w:line="240" w:lineRule="auto"/>
      <w:ind/>
    </w:pPr>
    <w:rPr>
      <w:sz w:val="20"/>
      <w:szCs w:val="20"/>
    </w:rPr>
  </w:style>
  <w:style w:type="character" w:styleId="185">
    <w:name w:val="Endnote Text Char"/>
    <w:basedOn w:val="848"/>
    <w:link w:val="184"/>
    <w:uiPriority w:val="99"/>
    <w:semiHidden/>
    <w:pPr>
      <w:pBdr/>
      <w:spacing/>
      <w:ind/>
    </w:pPr>
    <w:rPr>
      <w:sz w:val="20"/>
      <w:szCs w:val="20"/>
    </w:rPr>
  </w:style>
  <w:style w:type="character" w:styleId="186">
    <w:name w:val="endnote reference"/>
    <w:basedOn w:val="848"/>
    <w:uiPriority w:val="99"/>
    <w:semiHidden/>
    <w:unhideWhenUsed/>
    <w:pPr>
      <w:pBdr/>
      <w:spacing/>
      <w:ind/>
    </w:pPr>
    <w:rPr>
      <w:vertAlign w:val="superscript"/>
    </w:rPr>
  </w:style>
  <w:style w:type="paragraph" w:styleId="192">
    <w:name w:val="toc 4"/>
    <w:basedOn w:val="838"/>
    <w:next w:val="838"/>
    <w:uiPriority w:val="39"/>
    <w:unhideWhenUsed/>
    <w:pPr>
      <w:pBdr/>
      <w:spacing w:after="100"/>
      <w:ind w:left="660"/>
    </w:pPr>
  </w:style>
  <w:style w:type="paragraph" w:styleId="193">
    <w:name w:val="toc 5"/>
    <w:basedOn w:val="838"/>
    <w:next w:val="838"/>
    <w:uiPriority w:val="39"/>
    <w:unhideWhenUsed/>
    <w:pPr>
      <w:pBdr/>
      <w:spacing w:after="100"/>
      <w:ind w:left="880"/>
    </w:pPr>
  </w:style>
  <w:style w:type="paragraph" w:styleId="194">
    <w:name w:val="toc 6"/>
    <w:basedOn w:val="838"/>
    <w:next w:val="838"/>
    <w:uiPriority w:val="39"/>
    <w:unhideWhenUsed/>
    <w:pPr>
      <w:pBdr/>
      <w:spacing w:after="100"/>
      <w:ind w:left="1100"/>
    </w:pPr>
  </w:style>
  <w:style w:type="paragraph" w:styleId="195">
    <w:name w:val="toc 7"/>
    <w:basedOn w:val="838"/>
    <w:next w:val="838"/>
    <w:uiPriority w:val="39"/>
    <w:unhideWhenUsed/>
    <w:pPr>
      <w:pBdr/>
      <w:spacing w:after="100"/>
      <w:ind w:left="1320"/>
    </w:pPr>
  </w:style>
  <w:style w:type="paragraph" w:styleId="196">
    <w:name w:val="toc 8"/>
    <w:basedOn w:val="838"/>
    <w:next w:val="838"/>
    <w:uiPriority w:val="39"/>
    <w:unhideWhenUsed/>
    <w:pPr>
      <w:pBdr/>
      <w:spacing w:after="100"/>
      <w:ind w:left="1540"/>
    </w:pPr>
  </w:style>
  <w:style w:type="paragraph" w:styleId="197">
    <w:name w:val="toc 9"/>
    <w:basedOn w:val="838"/>
    <w:next w:val="838"/>
    <w:uiPriority w:val="39"/>
    <w:unhideWhenUsed/>
    <w:pPr>
      <w:pBdr/>
      <w:spacing w:after="100"/>
      <w:ind w:left="1760"/>
    </w:pPr>
  </w:style>
  <w:style w:type="character" w:styleId="198">
    <w:name w:val="Placeholder Text"/>
    <w:basedOn w:val="8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38"/>
    <w:next w:val="838"/>
    <w:uiPriority w:val="99"/>
    <w:unhideWhenUsed/>
    <w:pPr>
      <w:pBdr/>
      <w:spacing w:after="0" w:afterAutospacing="0"/>
      <w:ind/>
    </w:pPr>
  </w:style>
  <w:style w:type="paragraph" w:styleId="838" w:default="1">
    <w:name w:val="Normal"/>
    <w:qFormat/>
    <w:pPr>
      <w:pBdr/>
      <w:spacing/>
      <w:ind/>
    </w:pPr>
  </w:style>
  <w:style w:type="paragraph" w:styleId="839">
    <w:name w:val="Heading 1"/>
    <w:basedOn w:val="838"/>
    <w:next w:val="838"/>
    <w:link w:val="851"/>
    <w:uiPriority w:val="9"/>
    <w:qFormat/>
    <w:pPr>
      <w:keepNext w:val="true"/>
      <w:keepLines w:val="true"/>
      <w:pBdr/>
      <w:spacing w:after="80" w:before="360" w:line="480" w:lineRule="auto"/>
      <w:ind/>
      <w:jc w:val="center"/>
      <w:outlineLvl w:val="0"/>
    </w:pPr>
    <w:rPr>
      <w:rFonts w:ascii="Times New Roman" w:hAnsi="Times New Roman" w:eastAsiaTheme="majorEastAsia" w:cstheme="majorBidi"/>
      <w:b/>
      <w:sz w:val="24"/>
      <w:szCs w:val="40"/>
    </w:rPr>
  </w:style>
  <w:style w:type="paragraph" w:styleId="840">
    <w:name w:val="Heading 2"/>
    <w:basedOn w:val="838"/>
    <w:next w:val="838"/>
    <w:link w:val="852"/>
    <w:uiPriority w:val="9"/>
    <w:unhideWhenUsed/>
    <w:qFormat/>
    <w:pPr>
      <w:keepNext w:val="true"/>
      <w:keepLines w:val="true"/>
      <w:pBdr/>
      <w:spacing w:after="80" w:before="160" w:line="480" w:lineRule="auto"/>
      <w:ind/>
      <w:outlineLvl w:val="1"/>
    </w:pPr>
    <w:rPr>
      <w:rFonts w:ascii="Times New Roman" w:hAnsi="Times New Roman" w:eastAsiaTheme="majorEastAsia" w:cstheme="majorBidi"/>
      <w:b/>
      <w:sz w:val="24"/>
      <w:szCs w:val="32"/>
    </w:rPr>
  </w:style>
  <w:style w:type="paragraph" w:styleId="841">
    <w:name w:val="Heading 3"/>
    <w:basedOn w:val="838"/>
    <w:next w:val="838"/>
    <w:link w:val="853"/>
    <w:uiPriority w:val="9"/>
    <w:unhideWhenUsed/>
    <w:qFormat/>
    <w:pPr>
      <w:keepNext w:val="true"/>
      <w:keepLines w:val="true"/>
      <w:pBdr/>
      <w:spacing w:after="80" w:before="160" w:line="480" w:lineRule="auto"/>
      <w:ind/>
      <w:outlineLvl w:val="2"/>
    </w:pPr>
    <w:rPr>
      <w:rFonts w:ascii="Times New Roman" w:hAnsi="Times New Roman" w:eastAsiaTheme="majorEastAsia" w:cstheme="majorBidi"/>
      <w:sz w:val="24"/>
      <w:szCs w:val="28"/>
    </w:rPr>
  </w:style>
  <w:style w:type="paragraph" w:styleId="842">
    <w:name w:val="Heading 4"/>
    <w:basedOn w:val="838"/>
    <w:next w:val="838"/>
    <w:link w:val="854"/>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843">
    <w:name w:val="Heading 5"/>
    <w:basedOn w:val="838"/>
    <w:next w:val="838"/>
    <w:link w:val="855"/>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844">
    <w:name w:val="Heading 6"/>
    <w:basedOn w:val="838"/>
    <w:next w:val="838"/>
    <w:link w:val="85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45">
    <w:name w:val="Heading 7"/>
    <w:basedOn w:val="838"/>
    <w:next w:val="838"/>
    <w:link w:val="85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46">
    <w:name w:val="Heading 8"/>
    <w:basedOn w:val="838"/>
    <w:next w:val="838"/>
    <w:link w:val="858"/>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47">
    <w:name w:val="Heading 9"/>
    <w:basedOn w:val="838"/>
    <w:next w:val="838"/>
    <w:link w:val="859"/>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48" w:default="1">
    <w:name w:val="Default Paragraph Font"/>
    <w:uiPriority w:val="1"/>
    <w:semiHidden/>
    <w:unhideWhenUsed/>
    <w:pPr>
      <w:pBdr/>
      <w:spacing/>
      <w:ind/>
    </w:pPr>
  </w:style>
  <w:style w:type="table" w:styleId="84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0" w:default="1">
    <w:name w:val="No List"/>
    <w:uiPriority w:val="99"/>
    <w:semiHidden/>
    <w:unhideWhenUsed/>
    <w:pPr>
      <w:pBdr/>
      <w:spacing/>
      <w:ind/>
    </w:pPr>
  </w:style>
  <w:style w:type="character" w:styleId="851" w:customStyle="1">
    <w:name w:val="Título 1 Car"/>
    <w:basedOn w:val="848"/>
    <w:link w:val="839"/>
    <w:uiPriority w:val="9"/>
    <w:pPr>
      <w:pBdr/>
      <w:spacing/>
      <w:ind/>
    </w:pPr>
    <w:rPr>
      <w:rFonts w:ascii="Times New Roman" w:hAnsi="Times New Roman" w:eastAsiaTheme="majorEastAsia" w:cstheme="majorBidi"/>
      <w:b/>
      <w:sz w:val="24"/>
      <w:szCs w:val="40"/>
    </w:rPr>
  </w:style>
  <w:style w:type="character" w:styleId="852" w:customStyle="1">
    <w:name w:val="Título 2 Car"/>
    <w:basedOn w:val="848"/>
    <w:link w:val="840"/>
    <w:uiPriority w:val="9"/>
    <w:pPr>
      <w:pBdr/>
      <w:spacing/>
      <w:ind/>
    </w:pPr>
    <w:rPr>
      <w:rFonts w:ascii="Times New Roman" w:hAnsi="Times New Roman" w:eastAsiaTheme="majorEastAsia" w:cstheme="majorBidi"/>
      <w:b/>
      <w:sz w:val="24"/>
      <w:szCs w:val="32"/>
    </w:rPr>
  </w:style>
  <w:style w:type="character" w:styleId="853" w:customStyle="1">
    <w:name w:val="Título 3 Car"/>
    <w:basedOn w:val="848"/>
    <w:link w:val="841"/>
    <w:uiPriority w:val="9"/>
    <w:pPr>
      <w:pBdr/>
      <w:spacing/>
      <w:ind/>
    </w:pPr>
    <w:rPr>
      <w:rFonts w:ascii="Times New Roman" w:hAnsi="Times New Roman" w:eastAsiaTheme="majorEastAsia" w:cstheme="majorBidi"/>
      <w:sz w:val="24"/>
      <w:szCs w:val="28"/>
    </w:rPr>
  </w:style>
  <w:style w:type="character" w:styleId="854" w:customStyle="1">
    <w:name w:val="Título 4 Car"/>
    <w:basedOn w:val="848"/>
    <w:link w:val="842"/>
    <w:uiPriority w:val="9"/>
    <w:semiHidden/>
    <w:pPr>
      <w:pBdr/>
      <w:spacing/>
      <w:ind/>
    </w:pPr>
    <w:rPr>
      <w:rFonts w:eastAsiaTheme="majorEastAsia" w:cstheme="majorBidi"/>
      <w:i/>
      <w:iCs/>
      <w:color w:val="2f5496" w:themeColor="accent1" w:themeShade="BF"/>
    </w:rPr>
  </w:style>
  <w:style w:type="character" w:styleId="855" w:customStyle="1">
    <w:name w:val="Título 5 Car"/>
    <w:basedOn w:val="848"/>
    <w:link w:val="843"/>
    <w:uiPriority w:val="9"/>
    <w:semiHidden/>
    <w:pPr>
      <w:pBdr/>
      <w:spacing/>
      <w:ind/>
    </w:pPr>
    <w:rPr>
      <w:rFonts w:eastAsiaTheme="majorEastAsia" w:cstheme="majorBidi"/>
      <w:color w:val="2f5496" w:themeColor="accent1" w:themeShade="BF"/>
    </w:rPr>
  </w:style>
  <w:style w:type="character" w:styleId="856" w:customStyle="1">
    <w:name w:val="Título 6 Car"/>
    <w:basedOn w:val="848"/>
    <w:link w:val="844"/>
    <w:uiPriority w:val="9"/>
    <w:semiHidden/>
    <w:pPr>
      <w:pBdr/>
      <w:spacing/>
      <w:ind/>
    </w:pPr>
    <w:rPr>
      <w:rFonts w:eastAsiaTheme="majorEastAsia" w:cstheme="majorBidi"/>
      <w:i/>
      <w:iCs/>
      <w:color w:val="595959" w:themeColor="text1" w:themeTint="A6"/>
    </w:rPr>
  </w:style>
  <w:style w:type="character" w:styleId="857" w:customStyle="1">
    <w:name w:val="Título 7 Car"/>
    <w:basedOn w:val="848"/>
    <w:link w:val="845"/>
    <w:uiPriority w:val="9"/>
    <w:semiHidden/>
    <w:pPr>
      <w:pBdr/>
      <w:spacing/>
      <w:ind/>
    </w:pPr>
    <w:rPr>
      <w:rFonts w:eastAsiaTheme="majorEastAsia" w:cstheme="majorBidi"/>
      <w:color w:val="595959" w:themeColor="text1" w:themeTint="A6"/>
    </w:rPr>
  </w:style>
  <w:style w:type="character" w:styleId="858" w:customStyle="1">
    <w:name w:val="Título 8 Car"/>
    <w:basedOn w:val="848"/>
    <w:link w:val="846"/>
    <w:uiPriority w:val="9"/>
    <w:semiHidden/>
    <w:pPr>
      <w:pBdr/>
      <w:spacing/>
      <w:ind/>
    </w:pPr>
    <w:rPr>
      <w:rFonts w:eastAsiaTheme="majorEastAsia" w:cstheme="majorBidi"/>
      <w:i/>
      <w:iCs/>
      <w:color w:val="272727" w:themeColor="text1" w:themeTint="D8"/>
    </w:rPr>
  </w:style>
  <w:style w:type="character" w:styleId="859" w:customStyle="1">
    <w:name w:val="Título 9 Car"/>
    <w:basedOn w:val="848"/>
    <w:link w:val="847"/>
    <w:uiPriority w:val="9"/>
    <w:semiHidden/>
    <w:pPr>
      <w:pBdr/>
      <w:spacing/>
      <w:ind/>
    </w:pPr>
    <w:rPr>
      <w:rFonts w:eastAsiaTheme="majorEastAsia" w:cstheme="majorBidi"/>
      <w:color w:val="272727" w:themeColor="text1" w:themeTint="D8"/>
    </w:rPr>
  </w:style>
  <w:style w:type="paragraph" w:styleId="860">
    <w:name w:val="Title"/>
    <w:basedOn w:val="838"/>
    <w:next w:val="838"/>
    <w:link w:val="861"/>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61" w:customStyle="1">
    <w:name w:val="Título Car"/>
    <w:basedOn w:val="848"/>
    <w:link w:val="860"/>
    <w:uiPriority w:val="10"/>
    <w:pPr>
      <w:pBdr/>
      <w:spacing/>
      <w:ind/>
    </w:pPr>
    <w:rPr>
      <w:rFonts w:asciiTheme="majorHAnsi" w:hAnsiTheme="majorHAnsi" w:eastAsiaTheme="majorEastAsia" w:cstheme="majorBidi"/>
      <w:spacing w:val="-10"/>
      <w:sz w:val="56"/>
      <w:szCs w:val="56"/>
    </w:rPr>
  </w:style>
  <w:style w:type="paragraph" w:styleId="862">
    <w:name w:val="Subtitle"/>
    <w:basedOn w:val="838"/>
    <w:next w:val="838"/>
    <w:link w:val="863"/>
    <w:uiPriority w:val="11"/>
    <w:qFormat/>
    <w:pPr>
      <w:numPr>
        <w:ilvl w:val="1"/>
      </w:numPr>
      <w:pBdr/>
      <w:spacing/>
      <w:ind/>
    </w:pPr>
    <w:rPr>
      <w:rFonts w:eastAsiaTheme="majorEastAsia" w:cstheme="majorBidi"/>
      <w:color w:val="595959" w:themeColor="text1" w:themeTint="A6"/>
      <w:spacing w:val="15"/>
      <w:sz w:val="28"/>
      <w:szCs w:val="28"/>
    </w:rPr>
  </w:style>
  <w:style w:type="character" w:styleId="863" w:customStyle="1">
    <w:name w:val="Subtítulo Car"/>
    <w:basedOn w:val="848"/>
    <w:link w:val="862"/>
    <w:uiPriority w:val="11"/>
    <w:pPr>
      <w:pBdr/>
      <w:spacing/>
      <w:ind/>
    </w:pPr>
    <w:rPr>
      <w:rFonts w:eastAsiaTheme="majorEastAsia" w:cstheme="majorBidi"/>
      <w:color w:val="595959" w:themeColor="text1" w:themeTint="A6"/>
      <w:spacing w:val="15"/>
      <w:sz w:val="28"/>
      <w:szCs w:val="28"/>
    </w:rPr>
  </w:style>
  <w:style w:type="paragraph" w:styleId="864">
    <w:name w:val="Quote"/>
    <w:basedOn w:val="838"/>
    <w:next w:val="838"/>
    <w:link w:val="865"/>
    <w:uiPriority w:val="29"/>
    <w:qFormat/>
    <w:pPr>
      <w:pBdr/>
      <w:spacing w:before="160"/>
      <w:ind/>
      <w:jc w:val="center"/>
    </w:pPr>
    <w:rPr>
      <w:i/>
      <w:iCs/>
      <w:color w:val="404040" w:themeColor="text1" w:themeTint="BF"/>
    </w:rPr>
  </w:style>
  <w:style w:type="character" w:styleId="865" w:customStyle="1">
    <w:name w:val="Cita Car"/>
    <w:basedOn w:val="848"/>
    <w:link w:val="864"/>
    <w:uiPriority w:val="29"/>
    <w:pPr>
      <w:pBdr/>
      <w:spacing/>
      <w:ind/>
    </w:pPr>
    <w:rPr>
      <w:i/>
      <w:iCs/>
      <w:color w:val="404040" w:themeColor="text1" w:themeTint="BF"/>
    </w:rPr>
  </w:style>
  <w:style w:type="paragraph" w:styleId="866">
    <w:name w:val="List Paragraph"/>
    <w:basedOn w:val="838"/>
    <w:uiPriority w:val="34"/>
    <w:qFormat/>
    <w:pPr>
      <w:pBdr/>
      <w:spacing/>
      <w:ind w:left="720"/>
      <w:contextualSpacing w:val="true"/>
    </w:pPr>
  </w:style>
  <w:style w:type="character" w:styleId="867">
    <w:name w:val="Intense Emphasis"/>
    <w:basedOn w:val="848"/>
    <w:uiPriority w:val="21"/>
    <w:qFormat/>
    <w:pPr>
      <w:pBdr/>
      <w:spacing/>
      <w:ind/>
    </w:pPr>
    <w:rPr>
      <w:i/>
      <w:iCs/>
      <w:color w:val="2f5496" w:themeColor="accent1" w:themeShade="BF"/>
    </w:rPr>
  </w:style>
  <w:style w:type="paragraph" w:styleId="868">
    <w:name w:val="Intense Quote"/>
    <w:basedOn w:val="838"/>
    <w:next w:val="838"/>
    <w:link w:val="869"/>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69" w:customStyle="1">
    <w:name w:val="Cita destacada Car"/>
    <w:basedOn w:val="848"/>
    <w:link w:val="868"/>
    <w:uiPriority w:val="30"/>
    <w:pPr>
      <w:pBdr/>
      <w:spacing/>
      <w:ind/>
    </w:pPr>
    <w:rPr>
      <w:i/>
      <w:iCs/>
      <w:color w:val="2f5496" w:themeColor="accent1" w:themeShade="BF"/>
    </w:rPr>
  </w:style>
  <w:style w:type="character" w:styleId="870">
    <w:name w:val="Intense Reference"/>
    <w:basedOn w:val="848"/>
    <w:uiPriority w:val="32"/>
    <w:qFormat/>
    <w:pPr>
      <w:pBdr/>
      <w:spacing/>
      <w:ind/>
    </w:pPr>
    <w:rPr>
      <w:b/>
      <w:bCs/>
      <w:smallCaps/>
      <w:color w:val="2f5496" w:themeColor="accent1" w:themeShade="BF"/>
      <w:spacing w:val="5"/>
    </w:rPr>
  </w:style>
  <w:style w:type="paragraph" w:styleId="871" w:customStyle="1">
    <w:name w:val="apachou"/>
    <w:basedOn w:val="838"/>
    <w:link w:val="872"/>
    <w:uiPriority w:val="1"/>
    <w:qFormat/>
    <w:pPr>
      <w:pBdr/>
      <w:spacing w:line="480" w:lineRule="auto"/>
      <w:ind w:firstLine="720"/>
    </w:pPr>
    <w:rPr>
      <w:rFonts w:ascii="Times New Roman" w:hAnsi="Times New Roman" w:eastAsia="Times New Roman" w:cs="Times New Roman"/>
      <w:sz w:val="24"/>
      <w:szCs w:val="24"/>
    </w:rPr>
  </w:style>
  <w:style w:type="character" w:styleId="872" w:customStyle="1">
    <w:name w:val="apachou Char"/>
    <w:basedOn w:val="848"/>
    <w:link w:val="871"/>
    <w:pPr>
      <w:pBdr/>
      <w:spacing/>
      <w:ind/>
    </w:pPr>
    <w:rPr>
      <w:rFonts w:ascii="Times New Roman" w:hAnsi="Times New Roman" w:eastAsia="Times New Roman" w:cs="Times New Roman"/>
      <w:sz w:val="24"/>
      <w:szCs w:val="24"/>
    </w:rPr>
  </w:style>
  <w:style w:type="paragraph" w:styleId="873">
    <w:name w:val="Header"/>
    <w:basedOn w:val="838"/>
    <w:uiPriority w:val="99"/>
    <w:unhideWhenUsed/>
    <w:pPr>
      <w:pBdr/>
      <w:tabs>
        <w:tab w:val="center" w:leader="none" w:pos="4680"/>
        <w:tab w:val="right" w:leader="none" w:pos="9360"/>
      </w:tabs>
      <w:spacing w:after="0" w:line="240" w:lineRule="auto"/>
      <w:ind/>
    </w:pPr>
  </w:style>
  <w:style w:type="paragraph" w:styleId="874">
    <w:name w:val="Footer"/>
    <w:basedOn w:val="838"/>
    <w:uiPriority w:val="99"/>
    <w:unhideWhenUsed/>
    <w:pPr>
      <w:pBdr/>
      <w:tabs>
        <w:tab w:val="center" w:leader="none" w:pos="4680"/>
        <w:tab w:val="right" w:leader="none" w:pos="9360"/>
      </w:tabs>
      <w:spacing w:after="0" w:line="240" w:lineRule="auto"/>
      <w:ind/>
    </w:pPr>
  </w:style>
  <w:style w:type="character" w:styleId="875">
    <w:name w:val="Hyperlink"/>
    <w:basedOn w:val="848"/>
    <w:uiPriority w:val="99"/>
    <w:unhideWhenUsed/>
    <w:pPr>
      <w:pBdr/>
      <w:spacing/>
      <w:ind/>
    </w:pPr>
    <w:rPr>
      <w:color w:val="0563c1"/>
      <w:u w:val="single"/>
    </w:rPr>
  </w:style>
  <w:style w:type="paragraph" w:styleId="876" w:customStyle="1">
    <w:name w:val="tabla de contenid"/>
    <w:basedOn w:val="838"/>
    <w:link w:val="877"/>
    <w:uiPriority w:val="1"/>
    <w:qFormat/>
    <w:pPr>
      <w:pBdr/>
      <w:spacing/>
      <w:ind/>
    </w:pPr>
    <w:rPr>
      <w:rFonts w:eastAsiaTheme="minorEastAsia"/>
      <w:sz w:val="32"/>
      <w:szCs w:val="32"/>
    </w:rPr>
  </w:style>
  <w:style w:type="character" w:styleId="877" w:customStyle="1">
    <w:name w:val="tabla de contenid Char"/>
    <w:basedOn w:val="848"/>
    <w:link w:val="876"/>
    <w:pPr>
      <w:pBdr/>
      <w:spacing/>
      <w:ind/>
    </w:pPr>
    <w:rPr>
      <w:rFonts w:asciiTheme="minorHAnsi" w:hAnsiTheme="minorHAnsi" w:eastAsiaTheme="minorEastAsia" w:cstheme="minorBidi"/>
      <w:sz w:val="32"/>
      <w:szCs w:val="32"/>
    </w:rPr>
  </w:style>
  <w:style w:type="paragraph" w:styleId="878" w:customStyle="1">
    <w:name w:val="TITULO 1"/>
    <w:basedOn w:val="838"/>
    <w:next w:val="838"/>
    <w:link w:val="879"/>
    <w:uiPriority w:val="1"/>
    <w:pPr>
      <w:pBdr/>
      <w:spacing w:line="480" w:lineRule="auto"/>
      <w:ind/>
      <w:jc w:val="center"/>
    </w:pPr>
    <w:rPr>
      <w:rFonts w:ascii="Times New Roman" w:hAnsi="Times New Roman" w:eastAsia="Times New Roman" w:cs="Times New Roman"/>
      <w:b/>
      <w:bCs/>
      <w:sz w:val="24"/>
      <w:szCs w:val="24"/>
    </w:rPr>
  </w:style>
  <w:style w:type="character" w:styleId="879" w:customStyle="1">
    <w:name w:val="TITULO 1 Char"/>
    <w:basedOn w:val="848"/>
    <w:link w:val="878"/>
    <w:uiPriority w:val="1"/>
    <w:pPr>
      <w:pBdr/>
      <w:spacing/>
      <w:ind/>
    </w:pPr>
    <w:rPr>
      <w:rFonts w:ascii="Times New Roman" w:hAnsi="Times New Roman" w:eastAsia="Times New Roman" w:cs="Times New Roman"/>
      <w:b/>
      <w:bCs/>
      <w:sz w:val="24"/>
      <w:szCs w:val="24"/>
    </w:rPr>
  </w:style>
  <w:style w:type="paragraph" w:styleId="880">
    <w:name w:val="toc 2"/>
    <w:basedOn w:val="838"/>
    <w:next w:val="838"/>
    <w:uiPriority w:val="39"/>
    <w:unhideWhenUsed/>
    <w:pPr>
      <w:pBdr/>
      <w:spacing w:after="0" w:line="480" w:lineRule="auto"/>
      <w:ind w:left="720"/>
    </w:pPr>
    <w:rPr>
      <w:rFonts w:ascii="Times New Roman" w:hAnsi="Times New Roman"/>
      <w:sz w:val="24"/>
    </w:rPr>
  </w:style>
  <w:style w:type="paragraph" w:styleId="881">
    <w:name w:val="toc 3"/>
    <w:basedOn w:val="838"/>
    <w:next w:val="838"/>
    <w:uiPriority w:val="39"/>
    <w:unhideWhenUsed/>
    <w:pPr>
      <w:pBdr/>
      <w:spacing w:after="0" w:line="480" w:lineRule="auto"/>
      <w:ind w:left="1440"/>
    </w:pPr>
    <w:rPr>
      <w:rFonts w:ascii="Times New Roman" w:hAnsi="Times New Roman"/>
      <w:sz w:val="24"/>
    </w:rPr>
  </w:style>
  <w:style w:type="paragraph" w:styleId="882">
    <w:name w:val="toc 1"/>
    <w:basedOn w:val="838"/>
    <w:next w:val="838"/>
    <w:uiPriority w:val="39"/>
    <w:unhideWhenUsed/>
    <w:pPr>
      <w:pBdr/>
      <w:spacing w:after="0" w:line="480" w:lineRule="auto"/>
      <w:ind/>
    </w:pPr>
    <w:rPr>
      <w:rFonts w:ascii="Times New Roman" w:hAnsi="Times New Roman"/>
      <w:sz w:val="24"/>
    </w:rPr>
  </w:style>
  <w:style w:type="table" w:styleId="883">
    <w:name w:val="Table Grid"/>
    <w:basedOn w:val="849"/>
    <w:uiPriority w:val="5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4">
    <w:name w:val="Strong"/>
    <w:basedOn w:val="848"/>
    <w:uiPriority w:val="22"/>
    <w:qFormat/>
    <w:pPr>
      <w:pBdr/>
      <w:spacing/>
      <w:ind/>
    </w:pPr>
    <w:rPr>
      <w:b/>
      <w:bCs/>
    </w:rPr>
  </w:style>
  <w:style w:type="character" w:styleId="885" w:customStyle="1">
    <w:name w:val="dont-break-out"/>
    <w:basedOn w:val="848"/>
    <w:pPr>
      <w:pBdr/>
      <w:spacing/>
      <w:ind/>
    </w:pPr>
  </w:style>
  <w:style w:type="character" w:styleId="886" w:customStyle="1">
    <w:name w:val="inlineblock"/>
    <w:basedOn w:val="848"/>
    <w:pPr>
      <w:pBdr/>
      <w:spacing/>
      <w:ind/>
    </w:pPr>
  </w:style>
  <w:style w:type="character" w:styleId="887" w:customStyle="1">
    <w:name w:val="accordion-tabbed__tab-mobile"/>
    <w:basedOn w:val="848"/>
    <w:pPr>
      <w:pBdr/>
      <w:spacing/>
      <w:ind/>
    </w:pPr>
  </w:style>
  <w:style w:type="character" w:styleId="888" w:customStyle="1">
    <w:name w:val="comma-separator"/>
    <w:basedOn w:val="848"/>
    <w:pPr>
      <w:pBdr/>
      <w:spacing/>
      <w:ind/>
    </w:pPr>
  </w:style>
  <w:style w:type="character" w:styleId="889" w:customStyle="1">
    <w:name w:val="dropblock"/>
    <w:basedOn w:val="848"/>
    <w:pPr>
      <w:pBdr/>
      <w:spacing/>
      <w:ind/>
    </w:pPr>
  </w:style>
  <w:style w:type="character" w:styleId="890">
    <w:name w:val="FollowedHyperlink"/>
    <w:basedOn w:val="848"/>
    <w:uiPriority w:val="99"/>
    <w:semiHidden/>
    <w:unhideWhenUsed/>
    <w:pPr>
      <w:pBdr/>
      <w:spacing/>
      <w:ind/>
    </w:pPr>
    <w:rPr>
      <w:color w:val="954f72" w:themeColor="followedHyperlink"/>
      <w:u w:val="single"/>
    </w:rPr>
  </w:style>
  <w:style w:type="paragraph" w:styleId="891">
    <w:name w:val="Bibliography"/>
    <w:basedOn w:val="838"/>
    <w:next w:val="838"/>
    <w:uiPriority w:val="37"/>
    <w:unhideWhenUsed/>
    <w:pPr>
      <w:pBdr/>
      <w:spacing/>
      <w:ind/>
    </w:pPr>
  </w:style>
  <w:style w:type="paragraph" w:styleId="892" w:customStyle="1">
    <w:name w:val="paragraph"/>
    <w:basedOn w:val="838"/>
    <w:pPr>
      <w:pBdr/>
      <w:spacing w:after="100" w:afterAutospacing="1" w:before="100" w:beforeAutospacing="1" w:line="240" w:lineRule="auto"/>
      <w:ind/>
    </w:pPr>
    <w:rPr>
      <w:rFonts w:ascii="Times New Roman" w:hAnsi="Times New Roman" w:eastAsia="Times New Roman" w:cs="Times New Roman"/>
      <w:sz w:val="24"/>
      <w:szCs w:val="24"/>
      <w:lang w:val="en-US"/>
      <w14:ligatures w14:val="none"/>
    </w:rPr>
  </w:style>
  <w:style w:type="character" w:styleId="893" w:customStyle="1">
    <w:name w:val="normaltextrun"/>
    <w:basedOn w:val="848"/>
    <w:pPr>
      <w:pBdr/>
      <w:spacing/>
      <w:ind/>
    </w:pPr>
  </w:style>
  <w:style w:type="character" w:styleId="894" w:customStyle="1">
    <w:name w:val="contentcontrolboundarysink"/>
    <w:basedOn w:val="848"/>
    <w:pPr>
      <w:pBdr/>
      <w:spacing/>
      <w:ind/>
    </w:pPr>
  </w:style>
  <w:style w:type="character" w:styleId="895" w:customStyle="1">
    <w:name w:val="eop"/>
    <w:basedOn w:val="848"/>
    <w:pPr>
      <w:pBdr/>
      <w:spacing/>
      <w:ind/>
    </w:pPr>
  </w:style>
  <w:style w:type="paragraph" w:styleId="896">
    <w:name w:val="List 2"/>
    <w:basedOn w:val="838"/>
    <w:uiPriority w:val="99"/>
    <w:unhideWhenUsed/>
    <w:pPr>
      <w:pBdr/>
      <w:spacing w:after="200" w:line="276" w:lineRule="auto"/>
      <w:ind w:hanging="360" w:left="720"/>
      <w:contextualSpacing w:val="true"/>
    </w:pPr>
    <w:rPr>
      <w:rFonts w:eastAsiaTheme="minorEastAsia"/>
      <w:lang w:val="en-US"/>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s>
</file>

<file path=customXml/itemProps1.xml><?xml version="1.0" encoding="utf-8"?>
<ds:datastoreItem xmlns:ds="http://schemas.openxmlformats.org/officeDocument/2006/customXml" ds:itemID="A5F3B424-A7F2-463C-9088-A5CA546C7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Inteligente Basado en Modelos de Aprendizaje Automático para la Clasificación y Detección Oportuna de Anemia Infantil en Población Vulnerable del Perú a partir de Microdatos de la ENDES</dc:title>
  <dc:subject>Inteligencia Artificial - FIEI UNFV</dc:subject>
  <dc:creator>Jimenez Villalva Franz José</dc:creator>
  <cp:keywords>anemia infantil, aprendizaje automático, microdatos ENDES, Perú, Random Forest, KNN</cp:keywords>
  <dc:description>Proyecto de Investigación FIEI UNFV - Clasificación y Detección de Anemia Infantil con Inteligencia Artificial</dc:description>
  <cp:lastModifiedBy>Jimenez Villalva Franz José</cp:lastModifiedBy>
  <cp:revision>1</cp:revision>
  <dcterms:created xsi:type="dcterms:W3CDTF">2026-03-20T10:00:00Z</dcterms:created>
  <dcterms:modified xsi:type="dcterms:W3CDTF">2026-09-26T21:14:00Z</dcterms:modified>
</cp:coreProperties>
</file>