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4) Comment obtenir et installer la SDL 2 sur un EDI ? Donnez les étapes de la configuration d’un projet SDL2 avec CodeBlocks (gcc).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>Pour CodeBlocks, il faut aller dans "Project" =&gt; "Build options" =&gt; "Debug" =&gt; "Linker settings", cliquer sur "Add"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Other linker options ».</w:t>
      </w:r>
      <w:r w:rsidR="00480C7D">
        <w:br/>
        <w:t>Enfin, il faut également aller dans « Search directories », et dans « Compiler » inclure le dossier i686-w64-mingw23/include, et dans l’onglet « Linker » il faut inclure le dossier i686-w64-mingw23/lib.</w:t>
      </w:r>
      <w:r w:rsidR="00480C7D">
        <w:br/>
        <w:t>Pour finir, il faut mettre le fichier SDL2.dll à la racine du dossier où est contenu le main.c</w:t>
      </w:r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>, elle est plus performante que la SDL 1, la licence de distribution est zlib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>Pour initialiser la SDL 2, il faut utiliser la fonction SDL_Init()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 subsystem</w:t>
            </w:r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 subsystem</w:t>
            </w:r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 subsystem; automatically initializes the events subsystem</w:t>
            </w:r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 subsystem; automatically initializes the events subsystem</w:t>
            </w:r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 (force feedback) subsystem</w:t>
            </w:r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 subsystem; automatically initializes the joystick subsystem</w:t>
            </w:r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 subsystem</w:t>
            </w:r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 of the above subsystems</w:t>
            </w:r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 this flag is ignored</w:t>
            </w:r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>7)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SDL_Window possédant la référence d’une window(Win32)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>Ensuite, il faut utiliser la fonction SDL_CreateWindow()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r>
        <w:t>Title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 window</w:t>
            </w:r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 window at the current desktop resolution</w:t>
            </w:r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usable with OpenGL context</w:t>
            </w:r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usable with a Vulkan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 window decoration</w:t>
            </w:r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can be resized</w:t>
            </w:r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minimized</w:t>
            </w:r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is maximized</w:t>
            </w:r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has grabbed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 should be created in high-DPI mode if supported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f"/>
          <w:color w:val="0000FF"/>
          <w:sz w:val="21"/>
          <w:szCs w:val="21"/>
        </w:rPr>
        <w:t>SDL_CreateWindow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title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SDL_DestroyWindow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SDL_SetWindowTitle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title</w:t>
      </w:r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const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SDL_GetWindowTitle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SDL_SetWindowPosition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SDL_Window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window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(SDL_Window</w:t>
            </w:r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window , </w:t>
            </w: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>Il existe pour ces deux fonctions l’équivalent en Get, on peut également agrandir, réduire, restaurer, passer en mode plein écran ou en mode normal, définir la luminosité de la fenêtre ( ou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>9) Gérer un rendu : qu’est-ce qu’un renderer,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>Un renderer est un contexte d’affichage : c’est ce qui permet de générer l’image dans la fenêtre SDL2. Sans renderer, rien ne peut être affiché. A une fenêtre est associé un contexte d’affichage, il ne peut exister deux renderers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renderer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r w:rsidRPr="009A6B1C">
        <w:rPr>
          <w:rFonts w:ascii="Courier" w:hAnsi="Courier"/>
          <w:color w:val="000000"/>
          <w:sz w:val="24"/>
          <w:szCs w:val="24"/>
          <w:lang w:val="en"/>
        </w:rPr>
        <w:t>SDL_Renderer* SDL_CreateRenderer(SDL_Window*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>Cette fonction prend en paramètre le fenêtre à laquelle on va associer le renderer,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 renderer is a software fallback</w:t>
            </w:r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 renderer uses hardware acceleration</w:t>
            </w:r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 is synchronized with the refresh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 renderer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(pRenderer) qui est un pointeur de type SDL_Renderer</w:t>
      </w:r>
    </w:p>
    <w:p w14:paraId="15DF6ADF" w14:textId="6083FFCF" w:rsidR="009A6B1C" w:rsidRDefault="009A6B1C" w:rsidP="007359C6">
      <w:r w:rsidRPr="009A6B1C"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>On associe ensuite ce Renderer à la fenêtre précédemment crée, grâce à la fonction ci-dessus</w:t>
      </w:r>
      <w:r w:rsidR="00650510">
        <w:br/>
      </w:r>
      <w:r w:rsidR="00650510" w:rsidRPr="00650510"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SDL_SetRenderDrawColor(SDL_Renderer*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>La fonction suivante permet de définir la couleur d’affichage du renderer, ce qui est utilisé par la fonction SDL_RenderClear ) (qui efface le contenu du renderer en utilisant la couleur d’affichage), elle prend en paramètre les valeurs r,g,b (0 à 255) et a pour l’opacité (0 à 255).</w:t>
      </w:r>
    </w:p>
    <w:p w14:paraId="1CFA46F4" w14:textId="77777777" w:rsidR="00A11AE2" w:rsidRDefault="00A11AE2" w:rsidP="007359C6">
      <w:r w:rsidRPr="00A11AE2"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renderer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SDL_RenderPresent(SDL_Renderer* renderer)</w:t>
      </w:r>
    </w:p>
    <w:p w14:paraId="5ACB0E18" w14:textId="687A5EFA" w:rsidR="00650510" w:rsidRDefault="00650510" w:rsidP="007359C6">
      <w:r>
        <w:t>Cette fonction ne prend en paramètre que le renderer dans lequel elle doit actualiser le rendu.</w:t>
      </w:r>
    </w:p>
    <w:p w14:paraId="2A56D707" w14:textId="32D209EC" w:rsidR="00650510" w:rsidRDefault="00650510" w:rsidP="007359C6">
      <w:r w:rsidRPr="00650510"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renderer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SDL_RenderClear(SDL_Renderer*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renderer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SDL_DestroyRenderer(SDL_Renderer* renderer)</w:t>
      </w:r>
    </w:p>
    <w:p w14:paraId="703654C8" w14:textId="76B7AAB3" w:rsidR="0010570F" w:rsidRPr="00A11AE2" w:rsidRDefault="0010570F" w:rsidP="007359C6">
      <w:pPr>
        <w:rPr>
          <w:b/>
          <w:bCs/>
        </w:rPr>
      </w:pPr>
      <w:r w:rsidRPr="0010570F">
        <w:rPr>
          <w:b/>
          <w:bCs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70F" w:rsidRPr="00A1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05055"/>
    <w:rsid w:val="0010570F"/>
    <w:rsid w:val="001B34ED"/>
    <w:rsid w:val="001E4030"/>
    <w:rsid w:val="002174C2"/>
    <w:rsid w:val="00480C7D"/>
    <w:rsid w:val="00650510"/>
    <w:rsid w:val="00674C29"/>
    <w:rsid w:val="007359C6"/>
    <w:rsid w:val="0074640C"/>
    <w:rsid w:val="00774E8B"/>
    <w:rsid w:val="007D7147"/>
    <w:rsid w:val="008155A8"/>
    <w:rsid w:val="008A1C1F"/>
    <w:rsid w:val="009A6B1C"/>
    <w:rsid w:val="00A11AE2"/>
    <w:rsid w:val="00B12882"/>
    <w:rsid w:val="00D74431"/>
    <w:rsid w:val="00E62C1D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11</cp:revision>
  <dcterms:created xsi:type="dcterms:W3CDTF">2020-02-10T13:55:00Z</dcterms:created>
  <dcterms:modified xsi:type="dcterms:W3CDTF">2020-02-28T07:02:00Z</dcterms:modified>
</cp:coreProperties>
</file>