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3"/>
              <w:left w:val="single" w:color="1D9E75" w:sz="24"/>
              <w:bottom w:val="single" w:color="1D9E75" w:sz="3"/>
              <w:right w:val="single" w:color="1D9E75" w:sz="3"/>
            </w:tcBorders>
            <w:shd w:fill="E1F5EE" w:val="clear"/>
            <w:tcMar>
              <w:top w:type="dxa" w:w="400"/>
              <w:left w:type="dxa" w:w="400"/>
              <w:bottom w:type="dxa" w:w="400"/>
              <w:right w:type="dxa" w:w="400"/>
            </w:tcMar>
          </w:tcPr>
          <w:p>
            <w:pPr>
              <w:spacing w:after="120" w:before="0"/>
              <w:jc w:val="center"/>
            </w:pPr>
            <w:r>
              <w:rPr>
                <w:rFonts w:ascii="Arial" w:cs="Arial" w:eastAsia="Arial" w:hAnsi="Arial"/>
                <w:b/>
                <w:bCs/>
                <w:i w:val="false"/>
                <w:iCs w:val="false"/>
                <w:color w:val="0F6E56"/>
                <w:sz w:val="44"/>
                <w:szCs w:val="44"/>
              </w:rPr>
              <w:t xml:space="preserve">JOURNAL DE BORD</w:t>
            </w:r>
          </w:p>
          <w:p>
            <w:pPr>
              <w:spacing w:after="60" w:before="0"/>
              <w:jc w:val="center"/>
            </w:pPr>
            <w:r>
              <w:rPr>
                <w:rFonts w:ascii="Arial" w:cs="Arial" w:eastAsia="Arial" w:hAnsi="Arial"/>
                <w:b w:val="false"/>
                <w:bCs w:val="false"/>
                <w:i/>
                <w:iCs/>
                <w:color w:val="4A4A4A"/>
                <w:sz w:val="26"/>
                <w:szCs w:val="26"/>
              </w:rPr>
              <w:t xml:space="preserve">Projet de Fin d'Études — Stage d'Ingénieur BI</w:t>
            </w:r>
          </w:p>
          <w:p>
            <w:pPr>
              <w:spacing w:after="80" w:before="80"/>
              <w:jc w:val="center"/>
            </w:pPr>
            <w:r>
              <w:rPr>
                <w:rFonts w:ascii="Arial" w:cs="Arial" w:eastAsia="Arial" w:hAnsi="Arial"/>
                <w:b/>
                <w:bCs/>
                <w:i w:val="false"/>
                <w:iCs w:val="false"/>
                <w:color w:val="1D9E75"/>
                <w:sz w:val="32"/>
                <w:szCs w:val="32"/>
              </w:rPr>
              <w:t xml:space="preserve">LeadGen Francophone 360+</w:t>
            </w:r>
          </w:p>
          <w:p>
            <w:pPr>
              <w:spacing w:after="0" w:before="0"/>
              <w:jc w:val="center"/>
            </w:pPr>
            <w:r>
              <w:rPr>
                <w:rFonts w:ascii="Arial" w:cs="Arial" w:eastAsia="Arial" w:hAnsi="Arial"/>
                <w:b w:val="false"/>
                <w:bCs w:val="false"/>
                <w:i/>
                <w:iCs/>
                <w:color w:val="4A4A4A"/>
                <w:sz w:val="22"/>
                <w:szCs w:val="22"/>
              </w:rPr>
              <w:t xml:space="preserve">Plateforme Intelligente de Génération de Leads B2B IT</w:t>
            </w:r>
          </w:p>
        </w:tc>
      </w:tr>
    </w:tbl>
    <w:p>
      <w:pPr>
        <w:spacing w:before="3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2"/>
              <w:left w:val="single" w:color="CCCCCC" w:sz="2"/>
              <w:bottom w:val="single" w:color="CCCCCC" w:sz="2"/>
              <w:right w:val="single" w:color="CCCCCC" w:sz="2"/>
            </w:tcBorders>
            <w:shd w:fill="F4F6F6" w:val="clear"/>
            <w:tcMar>
              <w:top w:type="dxa" w:w="80"/>
              <w:left w:type="dxa" w:w="140"/>
              <w:bottom w:type="dxa" w:w="80"/>
              <w:right w:type="dxa" w:w="140"/>
            </w:tcMar>
          </w:tcPr>
          <w:p>
            <w:r>
              <w:rPr>
                <w:rFonts w:ascii="Arial" w:cs="Arial" w:eastAsia="Arial" w:hAnsi="Arial"/>
                <w:b/>
                <w:bCs/>
                <w:i w:val="false"/>
                <w:iCs w:val="false"/>
                <w:color w:val="4A4A4A"/>
                <w:sz w:val="22"/>
                <w:szCs w:val="22"/>
              </w:rPr>
              <w:t xml:space="preserve">Organisme d'accueil</w:t>
            </w:r>
          </w:p>
        </w:tc>
        <w:tc>
          <w:tcPr>
            <w:tcW w:type="dxa" w:w="5526"/>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b w:val="false"/>
                <w:bCs w:val="false"/>
                <w:i w:val="false"/>
                <w:iCs w:val="false"/>
                <w:color w:val="1C1C1C"/>
                <w:sz w:val="22"/>
                <w:szCs w:val="22"/>
              </w:rPr>
              <w:t xml:space="preserve">Solvinya Group</w:t>
            </w:r>
          </w:p>
        </w:tc>
      </w:tr>
      <w:tr>
        <w:tc>
          <w:tcPr>
            <w:tcW w:type="dxa" w:w="3500"/>
            <w:tcBorders>
              <w:top w:val="single" w:color="CCCCCC" w:sz="2"/>
              <w:left w:val="single" w:color="CCCCCC" w:sz="2"/>
              <w:bottom w:val="single" w:color="CCCCCC" w:sz="2"/>
              <w:right w:val="single" w:color="CCCCCC" w:sz="2"/>
            </w:tcBorders>
            <w:shd w:fill="F4F6F6" w:val="clear"/>
            <w:tcMar>
              <w:top w:type="dxa" w:w="80"/>
              <w:left w:type="dxa" w:w="140"/>
              <w:bottom w:type="dxa" w:w="80"/>
              <w:right w:type="dxa" w:w="140"/>
            </w:tcMar>
          </w:tcPr>
          <w:p>
            <w:r>
              <w:rPr>
                <w:rFonts w:ascii="Arial" w:cs="Arial" w:eastAsia="Arial" w:hAnsi="Arial"/>
                <w:b/>
                <w:bCs/>
                <w:i w:val="false"/>
                <w:iCs w:val="false"/>
                <w:color w:val="4A4A4A"/>
                <w:sz w:val="22"/>
                <w:szCs w:val="22"/>
              </w:rPr>
              <w:t xml:space="preserve">Diplôme préparé</w:t>
            </w:r>
          </w:p>
        </w:tc>
        <w:tc>
          <w:tcPr>
            <w:tcW w:type="dxa" w:w="5526"/>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b w:val="false"/>
                <w:bCs w:val="false"/>
                <w:i w:val="false"/>
                <w:iCs w:val="false"/>
                <w:color w:val="1C1C1C"/>
                <w:sz w:val="22"/>
                <w:szCs w:val="22"/>
              </w:rPr>
              <w:t xml:space="preserve">Ingénieur en Informatique — Spécialité BI &amp; IA</w:t>
            </w:r>
          </w:p>
        </w:tc>
      </w:tr>
      <w:tr>
        <w:tc>
          <w:tcPr>
            <w:tcW w:type="dxa" w:w="3500"/>
            <w:tcBorders>
              <w:top w:val="single" w:color="CCCCCC" w:sz="2"/>
              <w:left w:val="single" w:color="CCCCCC" w:sz="2"/>
              <w:bottom w:val="single" w:color="CCCCCC" w:sz="2"/>
              <w:right w:val="single" w:color="CCCCCC" w:sz="2"/>
            </w:tcBorders>
            <w:shd w:fill="F4F6F6" w:val="clear"/>
            <w:tcMar>
              <w:top w:type="dxa" w:w="80"/>
              <w:left w:type="dxa" w:w="140"/>
              <w:bottom w:type="dxa" w:w="80"/>
              <w:right w:type="dxa" w:w="140"/>
            </w:tcMar>
          </w:tcPr>
          <w:p>
            <w:r>
              <w:rPr>
                <w:rFonts w:ascii="Arial" w:cs="Arial" w:eastAsia="Arial" w:hAnsi="Arial"/>
                <w:b/>
                <w:bCs/>
                <w:i w:val="false"/>
                <w:iCs w:val="false"/>
                <w:color w:val="4A4A4A"/>
                <w:sz w:val="22"/>
                <w:szCs w:val="22"/>
              </w:rPr>
              <w:t xml:space="preserve">École</w:t>
            </w:r>
          </w:p>
        </w:tc>
        <w:tc>
          <w:tcPr>
            <w:tcW w:type="dxa" w:w="5526"/>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b w:val="false"/>
                <w:bCs w:val="false"/>
                <w:i w:val="false"/>
                <w:iCs w:val="false"/>
                <w:color w:val="1C1C1C"/>
                <w:sz w:val="22"/>
                <w:szCs w:val="22"/>
              </w:rPr>
              <w:t xml:space="preserve">ESPRIT — Se former autrement</w:t>
            </w:r>
          </w:p>
        </w:tc>
      </w:tr>
      <w:tr>
        <w:tc>
          <w:tcPr>
            <w:tcW w:type="dxa" w:w="3500"/>
            <w:tcBorders>
              <w:top w:val="single" w:color="CCCCCC" w:sz="2"/>
              <w:left w:val="single" w:color="CCCCCC" w:sz="2"/>
              <w:bottom w:val="single" w:color="CCCCCC" w:sz="2"/>
              <w:right w:val="single" w:color="CCCCCC" w:sz="2"/>
            </w:tcBorders>
            <w:shd w:fill="F4F6F6" w:val="clear"/>
            <w:tcMar>
              <w:top w:type="dxa" w:w="80"/>
              <w:left w:type="dxa" w:w="140"/>
              <w:bottom w:type="dxa" w:w="80"/>
              <w:right w:type="dxa" w:w="140"/>
            </w:tcMar>
          </w:tcPr>
          <w:p>
            <w:r>
              <w:rPr>
                <w:rFonts w:ascii="Arial" w:cs="Arial" w:eastAsia="Arial" w:hAnsi="Arial"/>
                <w:b/>
                <w:bCs/>
                <w:i w:val="false"/>
                <w:iCs w:val="false"/>
                <w:color w:val="4A4A4A"/>
                <w:sz w:val="22"/>
                <w:szCs w:val="22"/>
              </w:rPr>
              <w:t xml:space="preserve">Durée du stage</w:t>
            </w:r>
          </w:p>
        </w:tc>
        <w:tc>
          <w:tcPr>
            <w:tcW w:type="dxa" w:w="5526"/>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b w:val="false"/>
                <w:bCs w:val="false"/>
                <w:i w:val="false"/>
                <w:iCs w:val="false"/>
                <w:color w:val="1C1C1C"/>
                <w:sz w:val="22"/>
                <w:szCs w:val="22"/>
              </w:rPr>
              <w:t xml:space="preserve">6 mois (Mars 2026 – Août 2026)</w:t>
            </w:r>
          </w:p>
        </w:tc>
      </w:tr>
      <w:tr>
        <w:tc>
          <w:tcPr>
            <w:tcW w:type="dxa" w:w="3500"/>
            <w:tcBorders>
              <w:top w:val="single" w:color="CCCCCC" w:sz="2"/>
              <w:left w:val="single" w:color="CCCCCC" w:sz="2"/>
              <w:bottom w:val="single" w:color="CCCCCC" w:sz="2"/>
              <w:right w:val="single" w:color="CCCCCC" w:sz="2"/>
            </w:tcBorders>
            <w:shd w:fill="F4F6F6" w:val="clear"/>
            <w:tcMar>
              <w:top w:type="dxa" w:w="80"/>
              <w:left w:type="dxa" w:w="140"/>
              <w:bottom w:type="dxa" w:w="80"/>
              <w:right w:type="dxa" w:w="140"/>
            </w:tcMar>
          </w:tcPr>
          <w:p>
            <w:r>
              <w:rPr>
                <w:rFonts w:ascii="Arial" w:cs="Arial" w:eastAsia="Arial" w:hAnsi="Arial"/>
                <w:b/>
                <w:bCs/>
                <w:i w:val="false"/>
                <w:iCs w:val="false"/>
                <w:color w:val="4A4A4A"/>
                <w:sz w:val="22"/>
                <w:szCs w:val="22"/>
              </w:rPr>
              <w:t xml:space="preserve">Rythme de rédaction</w:t>
            </w:r>
          </w:p>
        </w:tc>
        <w:tc>
          <w:tcPr>
            <w:tcW w:type="dxa" w:w="5526"/>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b w:val="false"/>
                <w:bCs w:val="false"/>
                <w:i w:val="false"/>
                <w:iCs w:val="false"/>
                <w:color w:val="1C1C1C"/>
                <w:sz w:val="22"/>
                <w:szCs w:val="22"/>
              </w:rPr>
              <w:t xml:space="preserve">Bilan toutes les 2 semaines</w:t>
            </w:r>
          </w:p>
        </w:tc>
      </w:tr>
      <w:tr>
        <w:tc>
          <w:tcPr>
            <w:tcW w:type="dxa" w:w="3500"/>
            <w:tcBorders>
              <w:top w:val="single" w:color="CCCCCC" w:sz="2"/>
              <w:left w:val="single" w:color="CCCCCC" w:sz="2"/>
              <w:bottom w:val="single" w:color="CCCCCC" w:sz="2"/>
              <w:right w:val="single" w:color="CCCCCC" w:sz="2"/>
            </w:tcBorders>
            <w:shd w:fill="F4F6F6" w:val="clear"/>
            <w:tcMar>
              <w:top w:type="dxa" w:w="80"/>
              <w:left w:type="dxa" w:w="140"/>
              <w:bottom w:type="dxa" w:w="80"/>
              <w:right w:type="dxa" w:w="140"/>
            </w:tcMar>
          </w:tcPr>
          <w:p>
            <w:r>
              <w:rPr>
                <w:rFonts w:ascii="Arial" w:cs="Arial" w:eastAsia="Arial" w:hAnsi="Arial"/>
                <w:b/>
                <w:bCs/>
                <w:i w:val="false"/>
                <w:iCs w:val="false"/>
                <w:color w:val="4A4A4A"/>
                <w:sz w:val="22"/>
                <w:szCs w:val="22"/>
              </w:rPr>
              <w:t xml:space="preserve">Soutenance prévue</w:t>
            </w:r>
          </w:p>
        </w:tc>
        <w:tc>
          <w:tcPr>
            <w:tcW w:type="dxa" w:w="5526"/>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b w:val="false"/>
                <w:bCs w:val="false"/>
                <w:i w:val="false"/>
                <w:iCs w:val="false"/>
                <w:color w:val="1C1C1C"/>
                <w:sz w:val="22"/>
                <w:szCs w:val="22"/>
              </w:rPr>
              <w:t xml:space="preserve">Août 2026</w:t>
            </w:r>
          </w:p>
        </w:tc>
      </w:tr>
    </w:tbl>
    <w:p>
      <w:pPr>
        <w:spacing w:before="400"/>
      </w:pPr>
      <w:r>
        <w:t xml:space="preserve"/>
      </w:r>
    </w:p>
    <w:p>
      <w:pPr>
        <w:jc w:val="center"/>
      </w:pPr>
      <w:r>
        <w:rPr>
          <w:rFonts w:ascii="Arial" w:cs="Arial" w:eastAsia="Arial" w:hAnsi="Arial"/>
          <w:b w:val="false"/>
          <w:bCs w:val="false"/>
          <w:i/>
          <w:iCs/>
          <w:color w:val="4A4A4A"/>
          <w:sz w:val="22"/>
          <w:szCs w:val="22"/>
        </w:rPr>
        <w:t xml:space="preserve">« Ce journal est la mémoire vivante de mon apprentissage tout au long du stage. »</w:t>
      </w:r>
    </w:p>
    <w:p>
      <w:r>
        <w:br w:type="page"/>
      </w:r>
    </w:p>
    <w:p>
      <w:pPr>
        <w:pStyle w:val="Heading1"/>
        <w:pBdr>
          <w:bottom w:val="single" w:color="0F6E56" w:sz="6"/>
        </w:pBdr>
        <w:shd w:fill="1D9E75" w:val="clear"/>
        <w:spacing w:after="120" w:before="300"/>
        <w:ind w:left="200"/>
      </w:pPr>
      <w:r>
        <w:rPr>
          <w:rFonts w:ascii="Arial" w:cs="Arial" w:eastAsia="Arial" w:hAnsi="Arial"/>
          <w:b/>
          <w:bCs/>
          <w:i w:val="false"/>
          <w:iCs w:val="false"/>
          <w:color w:val="FFFFFF"/>
          <w:sz w:val="32"/>
          <w:szCs w:val="32"/>
        </w:rPr>
        <w:t xml:space="preserve">MOIS 1 — Mars 2026   |   Analyse &amp; Architecture</w:t>
      </w:r>
    </w:p>
    <w:p>
      <w:pPr>
        <w:spacing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D9E75" w:sz="3"/>
              <w:left w:val="single" w:color="1D9E75" w:sz="3"/>
              <w:bottom w:val="single" w:color="1D9E75" w:sz="3"/>
              <w:right w:val="single" w:color="1D9E75" w:sz="3"/>
            </w:tcBorders>
            <w:shd w:fill="1D9E75" w:val="clear"/>
            <w:tcMar>
              <w:top w:type="dxa" w:w="80"/>
              <w:left w:type="dxa" w:w="160"/>
              <w:bottom w:type="dxa" w:w="80"/>
              <w:right w:type="dxa" w:w="160"/>
            </w:tcMar>
          </w:tcPr>
          <w:p>
            <w:pPr>
              <w:jc w:val="left"/>
            </w:pPr>
            <w:r>
              <w:rPr>
                <w:rFonts w:ascii="Arial" w:cs="Arial" w:eastAsia="Arial" w:hAnsi="Arial"/>
                <w:b/>
                <w:bCs/>
                <w:i w:val="false"/>
                <w:iCs w:val="false"/>
                <w:color w:val="FFFFFF"/>
                <w:sz w:val="24"/>
                <w:szCs w:val="24"/>
              </w:rPr>
              <w:t xml:space="preserve">Semaines 1–2</w:t>
            </w:r>
          </w:p>
        </w:tc>
        <w:tc>
          <w:tcPr>
            <w:tcW w:type="dxa" w:w="4513"/>
            <w:tcBorders>
              <w:top w:val="single" w:color="1D9E75" w:sz="3"/>
              <w:left w:val="single" w:color="1D9E75" w:sz="3"/>
              <w:bottom w:val="single" w:color="1D9E75" w:sz="3"/>
              <w:right w:val="single" w:color="1D9E75" w:sz="3"/>
            </w:tcBorders>
            <w:shd w:fill="E1F5EE" w:val="clear"/>
            <w:tcMar>
              <w:top w:type="dxa" w:w="80"/>
              <w:left w:type="dxa" w:w="160"/>
              <w:bottom w:type="dxa" w:w="80"/>
              <w:right w:type="dxa" w:w="160"/>
            </w:tcMar>
          </w:tcPr>
          <w:p>
            <w:pPr>
              <w:jc w:val="right"/>
            </w:pPr>
            <w:r>
              <w:rPr>
                <w:rFonts w:ascii="Arial" w:cs="Arial" w:eastAsia="Arial" w:hAnsi="Arial"/>
                <w:b w:val="false"/>
                <w:bCs w:val="false"/>
                <w:i w:val="false"/>
                <w:iCs w:val="false"/>
                <w:color w:val="4A4A4A"/>
                <w:sz w:val="22"/>
                <w:szCs w:val="22"/>
              </w:rPr>
              <w:t xml:space="preserve">2 – 15 Mars 2026</w:t>
            </w:r>
          </w:p>
        </w:tc>
      </w:tr>
    </w:tbl>
    <w:p>
      <w:pPr>
        <w:spacing w:before="80"/>
      </w:pPr>
      <w:r>
        <w:t xml:space="preserve"/>
      </w:r>
    </w:p>
    <w:p>
      <w:pPr>
        <w:pBdr>
          <w:left w:val="single" w:color="1D9E75" w:sz="8"/>
        </w:pBdr>
        <w:spacing w:after="50" w:before="140"/>
        <w:ind w:left="300" w:hanging="140"/>
      </w:pPr>
      <w:r>
        <w:rPr>
          <w:rFonts w:ascii="Arial" w:cs="Arial" w:eastAsia="Arial" w:hAnsi="Arial"/>
          <w:b/>
          <w:bCs/>
          <w:i w:val="false"/>
          <w:iCs w:val="false"/>
          <w:color w:val="1D9E75"/>
          <w:sz w:val="22"/>
          <w:szCs w:val="22"/>
        </w:rPr>
        <w:t xml:space="preserve">📚  Ce que j'ai appris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Découverte du marché IT francophone : différences entre BOAMP (France), TED EU (BE/LU/CH) et les signaux LinkedIn. La notion de « hiring signal » m'était totalement inconnue — l'idée qu'une offre d'emploi publiée par une banque pour un dev COBOL soit en réalité un signal commercial B2B a changé ma façon de penser la prospection.</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Introduction à FastAPI et à la programmation asynchrone Python (asyncio, httpx) pour les appels HTTP non-bloquants.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Premiers contacts avec PostgreSQL et asyncpg pour les insertions asynchrones.</w:t>
      </w:r>
    </w:p>
    <w:p>
      <w:pPr>
        <w:pBdr>
          <w:left w:val="single" w:color="1A5276" w:sz="8"/>
        </w:pBdr>
        <w:spacing w:after="50" w:before="140"/>
        <w:ind w:left="300" w:hanging="140"/>
      </w:pPr>
      <w:r>
        <w:rPr>
          <w:rFonts w:ascii="Arial" w:cs="Arial" w:eastAsia="Arial" w:hAnsi="Arial"/>
          <w:b/>
          <w:bCs/>
          <w:i w:val="false"/>
          <w:iCs w:val="false"/>
          <w:color w:val="1A5276"/>
          <w:sz w:val="22"/>
          <w:szCs w:val="22"/>
        </w:rPr>
        <w:t xml:space="preserve">✅  Missions accomplies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Cartographie complète des 5 sources de données : LinkedIn Jobs, LinkedIn B2B Posts, BOAMP RSS, TED EU API, Malt.fr.</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Conception du schéma de la base de données (4 tables : companies, opportunities, contacts, leads) avec les index optimisés.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Initialisation du dépôt Git, du Makefile et de l'environnement Docker.</w:t>
      </w:r>
    </w:p>
    <w:p>
      <w:pPr>
        <w:pBdr>
          <w:left w:val="single" w:color="922B21" w:sz="8"/>
        </w:pBdr>
        <w:spacing w:after="50" w:before="140"/>
        <w:ind w:left="300" w:hanging="140"/>
      </w:pPr>
      <w:r>
        <w:rPr>
          <w:rFonts w:ascii="Arial" w:cs="Arial" w:eastAsia="Arial" w:hAnsi="Arial"/>
          <w:b/>
          <w:bCs/>
          <w:i w:val="false"/>
          <w:iCs w:val="false"/>
          <w:color w:val="922B21"/>
          <w:sz w:val="22"/>
          <w:szCs w:val="22"/>
        </w:rPr>
        <w:t xml:space="preserve">⚠️  Difficultés rencontrées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Compréhension de l'architecture asynchrone Python : au début, je mélangeais les appels synchrones et asynchrones dans les collecteurs. J'ai dû relire la documentation asyncio et tester avec des exemples simples avant de comprendre le modèle event loop.</w:t>
      </w:r>
    </w:p>
    <w:p>
      <w:pPr>
        <w:pBdr>
          <w:left w:val="single" w:color="B7770D" w:sz="8"/>
        </w:pBdr>
        <w:spacing w:after="50" w:before="140"/>
        <w:ind w:left="300" w:hanging="140"/>
      </w:pPr>
      <w:r>
        <w:rPr>
          <w:rFonts w:ascii="Arial" w:cs="Arial" w:eastAsia="Arial" w:hAnsi="Arial"/>
          <w:b/>
          <w:bCs/>
          <w:i w:val="false"/>
          <w:iCs w:val="false"/>
          <w:color w:val="B7770D"/>
          <w:sz w:val="22"/>
          <w:szCs w:val="22"/>
        </w:rPr>
        <w:t xml:space="preserve">🎯  Organisation</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Méthode adoptée : sprint hebdomadaire avec un point quotidien de 15 minutes avec l'encadrant pour valider les choix techniques.</w:t>
      </w:r>
    </w:p>
    <w:p>
      <w:pPr>
        <w:pBdr>
          <w:bottom w:val="single" w:color="E0E0E0" w:sz="2"/>
        </w:pBd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D9E75" w:sz="3"/>
              <w:left w:val="single" w:color="1D9E75" w:sz="3"/>
              <w:bottom w:val="single" w:color="1D9E75" w:sz="3"/>
              <w:right w:val="single" w:color="1D9E75" w:sz="3"/>
            </w:tcBorders>
            <w:shd w:fill="1D9E75" w:val="clear"/>
            <w:tcMar>
              <w:top w:type="dxa" w:w="80"/>
              <w:left w:type="dxa" w:w="160"/>
              <w:bottom w:type="dxa" w:w="80"/>
              <w:right w:type="dxa" w:w="160"/>
            </w:tcMar>
          </w:tcPr>
          <w:p>
            <w:pPr>
              <w:jc w:val="left"/>
            </w:pPr>
            <w:r>
              <w:rPr>
                <w:rFonts w:ascii="Arial" w:cs="Arial" w:eastAsia="Arial" w:hAnsi="Arial"/>
                <w:b/>
                <w:bCs/>
                <w:i w:val="false"/>
                <w:iCs w:val="false"/>
                <w:color w:val="FFFFFF"/>
                <w:sz w:val="24"/>
                <w:szCs w:val="24"/>
              </w:rPr>
              <w:t xml:space="preserve">Semaines 3–4</w:t>
            </w:r>
          </w:p>
        </w:tc>
        <w:tc>
          <w:tcPr>
            <w:tcW w:type="dxa" w:w="4513"/>
            <w:tcBorders>
              <w:top w:val="single" w:color="1D9E75" w:sz="3"/>
              <w:left w:val="single" w:color="1D9E75" w:sz="3"/>
              <w:bottom w:val="single" w:color="1D9E75" w:sz="3"/>
              <w:right w:val="single" w:color="1D9E75" w:sz="3"/>
            </w:tcBorders>
            <w:shd w:fill="E1F5EE" w:val="clear"/>
            <w:tcMar>
              <w:top w:type="dxa" w:w="80"/>
              <w:left w:type="dxa" w:w="160"/>
              <w:bottom w:type="dxa" w:w="80"/>
              <w:right w:type="dxa" w:w="160"/>
            </w:tcMar>
          </w:tcPr>
          <w:p>
            <w:pPr>
              <w:jc w:val="right"/>
            </w:pPr>
            <w:r>
              <w:rPr>
                <w:rFonts w:ascii="Arial" w:cs="Arial" w:eastAsia="Arial" w:hAnsi="Arial"/>
                <w:b w:val="false"/>
                <w:bCs w:val="false"/>
                <w:i w:val="false"/>
                <w:iCs w:val="false"/>
                <w:color w:val="4A4A4A"/>
                <w:sz w:val="22"/>
                <w:szCs w:val="22"/>
              </w:rPr>
              <w:t xml:space="preserve">16 – 29 Mars 2026</w:t>
            </w:r>
          </w:p>
        </w:tc>
      </w:tr>
    </w:tbl>
    <w:p>
      <w:pPr>
        <w:spacing w:before="80"/>
      </w:pPr>
      <w:r>
        <w:t xml:space="preserve"/>
      </w:r>
    </w:p>
    <w:p>
      <w:pPr>
        <w:pBdr>
          <w:left w:val="single" w:color="1D9E75" w:sz="8"/>
        </w:pBdr>
        <w:spacing w:after="50" w:before="140"/>
        <w:ind w:left="300" w:hanging="140"/>
      </w:pPr>
      <w:r>
        <w:rPr>
          <w:rFonts w:ascii="Arial" w:cs="Arial" w:eastAsia="Arial" w:hAnsi="Arial"/>
          <w:b/>
          <w:bCs/>
          <w:i w:val="false"/>
          <w:iCs w:val="false"/>
          <w:color w:val="1D9E75"/>
          <w:sz w:val="22"/>
          <w:szCs w:val="22"/>
        </w:rPr>
        <w:t xml:space="preserve">📚  Ce que j'ai appris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Approfondissement de Docker Compose et des réseaux internes Docker (communication entre containers via nom de service, ex : http://api:8000 depuis n8n).</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Découverte de n8n : installation self-hosted, création de workflows visuels avec Schedule Trigger et HTTP Request nodes.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Compréhension des contraintes RGPD pour la collecte de données B2B (données publiquement disponibles vs données personnelles).</w:t>
      </w:r>
    </w:p>
    <w:p>
      <w:pPr>
        <w:pBdr>
          <w:left w:val="single" w:color="1A5276" w:sz="8"/>
        </w:pBdr>
        <w:spacing w:after="50" w:before="140"/>
        <w:ind w:left="300" w:hanging="140"/>
      </w:pPr>
      <w:r>
        <w:rPr>
          <w:rFonts w:ascii="Arial" w:cs="Arial" w:eastAsia="Arial" w:hAnsi="Arial"/>
          <w:b/>
          <w:bCs/>
          <w:i w:val="false"/>
          <w:iCs w:val="false"/>
          <w:color w:val="1A5276"/>
          <w:sz w:val="22"/>
          <w:szCs w:val="22"/>
        </w:rPr>
        <w:t xml:space="preserve">✅  Missions accomplies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Déploiement complet de l'infrastructure Docker : postgres, redis, api, n8n, metabase — tous opérationnels en docker-compose up.</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Rédaction du fichier init.sql avec les 4 tables, les index et les triggers updated_at.</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Premier test de l'endpoint GET /health → réponse { status: 'ok', database: 'ok'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770D" w:sz="4"/>
              <w:left w:val="single" w:color="B7770D" w:sz="12"/>
              <w:bottom w:val="single" w:color="B7770D" w:sz="4"/>
              <w:right w:val="single" w:color="B7770D" w:sz="4"/>
            </w:tcBorders>
            <w:shd w:fill="FEF9E7" w:val="clear"/>
            <w:tcMar>
              <w:top w:type="dxa" w:w="100"/>
              <w:left w:type="dxa" w:w="200"/>
              <w:bottom w:type="dxa" w:w="100"/>
              <w:right w:type="dxa" w:w="200"/>
            </w:tcMar>
          </w:tcPr>
          <w:p>
            <w:pPr>
              <w:spacing w:after="20" w:before="20"/>
            </w:pPr>
            <w:r>
              <w:rPr>
                <w:rFonts w:ascii="Arial" w:cs="Arial" w:eastAsia="Arial" w:hAnsi="Arial"/>
                <w:b/>
                <w:bCs/>
                <w:i w:val="false"/>
                <w:iCs w:val="false"/>
                <w:color w:val="B7770D"/>
                <w:sz w:val="22"/>
                <w:szCs w:val="22"/>
              </w:rPr>
              <w:t xml:space="preserve">💡 Réflexion :  </w:t>
            </w:r>
            <w:r>
              <w:rPr>
                <w:rFonts w:ascii="Arial" w:cs="Arial" w:eastAsia="Arial" w:hAnsi="Arial"/>
                <w:b w:val="false"/>
                <w:bCs w:val="false"/>
                <w:i w:val="false"/>
                <w:iCs w:val="false"/>
                <w:color w:val="1C1C1C"/>
                <w:sz w:val="22"/>
                <w:szCs w:val="22"/>
              </w:rPr>
              <w:t xml:space="preserve">La définition des 5 types de signaux B2B (outsourcing_signal, b2b_tender, b2b_rfp, b2b_subcontracting, b2b_partnership) a été le vrai travail conceptuel de ce mois. Classer une opportunité correctement conditionne tout le pipeline aval.</w:t>
            </w:r>
          </w:p>
        </w:tc>
      </w:tr>
    </w:tbl>
    <w:p>
      <w:r>
        <w:br w:type="page"/>
      </w:r>
    </w:p>
    <w:p>
      <w:pPr>
        <w:pStyle w:val="Heading1"/>
        <w:pBdr>
          <w:bottom w:val="single" w:color="0F6E56" w:sz="6"/>
        </w:pBdr>
        <w:shd w:fill="1D9E75" w:val="clear"/>
        <w:spacing w:after="120" w:before="300"/>
        <w:ind w:left="200"/>
      </w:pPr>
      <w:r>
        <w:rPr>
          <w:rFonts w:ascii="Arial" w:cs="Arial" w:eastAsia="Arial" w:hAnsi="Arial"/>
          <w:b/>
          <w:bCs/>
          <w:i w:val="false"/>
          <w:iCs w:val="false"/>
          <w:color w:val="FFFFFF"/>
          <w:sz w:val="32"/>
          <w:szCs w:val="32"/>
        </w:rPr>
        <w:t xml:space="preserve">MOIS 2 — Avril 2026   |   Pipeline de Collecte</w:t>
      </w:r>
    </w:p>
    <w:p>
      <w:pPr>
        <w:spacing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3"/>
              <w:left w:val="single" w:color="1A5276" w:sz="3"/>
              <w:bottom w:val="single" w:color="1A5276" w:sz="3"/>
              <w:right w:val="single" w:color="1A5276" w:sz="3"/>
            </w:tcBorders>
            <w:shd w:fill="1A5276" w:val="clear"/>
            <w:tcMar>
              <w:top w:type="dxa" w:w="80"/>
              <w:left w:type="dxa" w:w="160"/>
              <w:bottom w:type="dxa" w:w="80"/>
              <w:right w:type="dxa" w:w="160"/>
            </w:tcMar>
          </w:tcPr>
          <w:p>
            <w:pPr>
              <w:jc w:val="left"/>
            </w:pPr>
            <w:r>
              <w:rPr>
                <w:rFonts w:ascii="Arial" w:cs="Arial" w:eastAsia="Arial" w:hAnsi="Arial"/>
                <w:b/>
                <w:bCs/>
                <w:i w:val="false"/>
                <w:iCs w:val="false"/>
                <w:color w:val="FFFFFF"/>
                <w:sz w:val="24"/>
                <w:szCs w:val="24"/>
              </w:rPr>
              <w:t xml:space="preserve">Semaines 5–6</w:t>
            </w:r>
          </w:p>
        </w:tc>
        <w:tc>
          <w:tcPr>
            <w:tcW w:type="dxa" w:w="4513"/>
            <w:tcBorders>
              <w:top w:val="single" w:color="1A5276" w:sz="3"/>
              <w:left w:val="single" w:color="1A5276" w:sz="3"/>
              <w:bottom w:val="single" w:color="1A5276" w:sz="3"/>
              <w:right w:val="single" w:color="1A5276" w:sz="3"/>
            </w:tcBorders>
            <w:shd w:fill="D6EAF8" w:val="clear"/>
            <w:tcMar>
              <w:top w:type="dxa" w:w="80"/>
              <w:left w:type="dxa" w:w="160"/>
              <w:bottom w:type="dxa" w:w="80"/>
              <w:right w:type="dxa" w:w="160"/>
            </w:tcMar>
          </w:tcPr>
          <w:p>
            <w:pPr>
              <w:jc w:val="right"/>
            </w:pPr>
            <w:r>
              <w:rPr>
                <w:rFonts w:ascii="Arial" w:cs="Arial" w:eastAsia="Arial" w:hAnsi="Arial"/>
                <w:b w:val="false"/>
                <w:bCs w:val="false"/>
                <w:i w:val="false"/>
                <w:iCs w:val="false"/>
                <w:color w:val="4A4A4A"/>
                <w:sz w:val="22"/>
                <w:szCs w:val="22"/>
              </w:rPr>
              <w:t xml:space="preserve">6 – 19 Avril 2026</w:t>
            </w:r>
          </w:p>
        </w:tc>
      </w:tr>
    </w:tbl>
    <w:p>
      <w:pPr>
        <w:spacing w:before="80"/>
      </w:pPr>
      <w:r>
        <w:t xml:space="preserve"/>
      </w:r>
    </w:p>
    <w:p>
      <w:pPr>
        <w:pBdr>
          <w:left w:val="single" w:color="1D9E75" w:sz="8"/>
        </w:pBdr>
        <w:spacing w:after="50" w:before="140"/>
        <w:ind w:left="300" w:hanging="140"/>
      </w:pPr>
      <w:r>
        <w:rPr>
          <w:rFonts w:ascii="Arial" w:cs="Arial" w:eastAsia="Arial" w:hAnsi="Arial"/>
          <w:b/>
          <w:bCs/>
          <w:i w:val="false"/>
          <w:iCs w:val="false"/>
          <w:color w:val="1D9E75"/>
          <w:sz w:val="22"/>
          <w:szCs w:val="22"/>
        </w:rPr>
        <w:t xml:space="preserve">📚  Ce que j'ai appris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Maîtrise de l'API non-officielle LinkedIn (linkedin-api) : authentification par cookies, navigation dans les structures JSON retournées (entityUrn, companyResolutionResult, universalName).</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Stratégie anti-détection : délais gaussiens vs délais uniformes. Un délai random.uniform(3, 5) est trop régulier et détectable ; random.gauss(4.0, 1.5) mime mieux un comportement humain.</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Découverte de la bibliothèque tenacity pour les retries exponentiels avec décorateur @retry.</w:t>
      </w:r>
    </w:p>
    <w:p>
      <w:pPr>
        <w:pBdr>
          <w:left w:val="single" w:color="1A5276" w:sz="8"/>
        </w:pBdr>
        <w:spacing w:after="50" w:before="140"/>
        <w:ind w:left="300" w:hanging="140"/>
      </w:pPr>
      <w:r>
        <w:rPr>
          <w:rFonts w:ascii="Arial" w:cs="Arial" w:eastAsia="Arial" w:hAnsi="Arial"/>
          <w:b/>
          <w:bCs/>
          <w:i w:val="false"/>
          <w:iCs w:val="false"/>
          <w:color w:val="1A5276"/>
          <w:sz w:val="22"/>
          <w:szCs w:val="22"/>
        </w:rPr>
        <w:t xml:space="preserve">✅  Missions accomplies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Développement complet de linkedin_hiring.py : double boucle technologie × pays, extraction company_info depuis le job_detail, construction du HiringProspect et appel ingest.</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Mise en place du SessionManager round-robin pour 2 comptes LinkedIn avec rotation automatique et détection de CHALLENGE_REQUIRED.</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Premiers 122 prospects LinkedIn Jobs collectés pour la France.</w:t>
      </w:r>
    </w:p>
    <w:p>
      <w:pPr>
        <w:pBdr>
          <w:left w:val="single" w:color="922B21" w:sz="8"/>
        </w:pBdr>
        <w:spacing w:after="50" w:before="140"/>
        <w:ind w:left="300" w:hanging="140"/>
      </w:pPr>
      <w:r>
        <w:rPr>
          <w:rFonts w:ascii="Arial" w:cs="Arial" w:eastAsia="Arial" w:hAnsi="Arial"/>
          <w:b/>
          <w:bCs/>
          <w:i w:val="false"/>
          <w:iCs w:val="false"/>
          <w:color w:val="922B21"/>
          <w:sz w:val="22"/>
          <w:szCs w:val="22"/>
        </w:rPr>
        <w:t xml:space="preserve">⚠️  Difficultés rencontrées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Blocage majeur : CHALLENGE_REQUIRED sur le compte principal dès le 3ème jour de tests intensifs. Solution : utilisation d'un 2ème compte dédié et mise en place du circuit breaker (pause 24h automatique).</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La structure JSON retournée par linkedin-api change selon la version du profil LinkedIn de la personne connectée. J'ai dû implémenter _extract_company_info() avec plusieurs chemins alternatifs (try/except sur chaque chemin).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770D" w:sz="4"/>
              <w:left w:val="single" w:color="B7770D" w:sz="12"/>
              <w:bottom w:val="single" w:color="B7770D" w:sz="4"/>
              <w:right w:val="single" w:color="B7770D" w:sz="4"/>
            </w:tcBorders>
            <w:shd w:fill="FEF9E7" w:val="clear"/>
            <w:tcMar>
              <w:top w:type="dxa" w:w="100"/>
              <w:left w:type="dxa" w:w="200"/>
              <w:bottom w:type="dxa" w:w="100"/>
              <w:right w:type="dxa" w:w="200"/>
            </w:tcMar>
          </w:tcPr>
          <w:p>
            <w:pPr>
              <w:spacing w:after="20" w:before="20"/>
            </w:pPr>
            <w:r>
              <w:rPr>
                <w:rFonts w:ascii="Arial" w:cs="Arial" w:eastAsia="Arial" w:hAnsi="Arial"/>
                <w:b/>
                <w:bCs/>
                <w:i w:val="false"/>
                <w:iCs w:val="false"/>
                <w:color w:val="B7770D"/>
                <w:sz w:val="22"/>
                <w:szCs w:val="22"/>
              </w:rPr>
              <w:t xml:space="preserve">💡 Réflexion :  </w:t>
            </w:r>
            <w:r>
              <w:rPr>
                <w:rFonts w:ascii="Arial" w:cs="Arial" w:eastAsia="Arial" w:hAnsi="Arial"/>
                <w:b w:val="false"/>
                <w:bCs w:val="false"/>
                <w:i w:val="false"/>
                <w:iCs w:val="false"/>
                <w:color w:val="1C1C1C"/>
                <w:sz w:val="22"/>
                <w:szCs w:val="22"/>
              </w:rPr>
              <w:t xml:space="preserve">Le CHALLENGE_REQUIRED m'a appris que dans un système de scraping, la résilience est aussi importante que la fonctionnalité. Un code qui échoue gracieusement vaut mieux qu'un code parfait qui crashe.</w:t>
            </w:r>
          </w:p>
        </w:tc>
      </w:tr>
    </w:tbl>
    <w:p>
      <w:pPr>
        <w:pBdr>
          <w:bottom w:val="single" w:color="E0E0E0" w:sz="2"/>
        </w:pBd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3"/>
              <w:left w:val="single" w:color="1A5276" w:sz="3"/>
              <w:bottom w:val="single" w:color="1A5276" w:sz="3"/>
              <w:right w:val="single" w:color="1A5276" w:sz="3"/>
            </w:tcBorders>
            <w:shd w:fill="1A5276" w:val="clear"/>
            <w:tcMar>
              <w:top w:type="dxa" w:w="80"/>
              <w:left w:type="dxa" w:w="160"/>
              <w:bottom w:type="dxa" w:w="80"/>
              <w:right w:type="dxa" w:w="160"/>
            </w:tcMar>
          </w:tcPr>
          <w:p>
            <w:pPr>
              <w:jc w:val="left"/>
            </w:pPr>
            <w:r>
              <w:rPr>
                <w:rFonts w:ascii="Arial" w:cs="Arial" w:eastAsia="Arial" w:hAnsi="Arial"/>
                <w:b/>
                <w:bCs/>
                <w:i w:val="false"/>
                <w:iCs w:val="false"/>
                <w:color w:val="FFFFFF"/>
                <w:sz w:val="24"/>
                <w:szCs w:val="24"/>
              </w:rPr>
              <w:t xml:space="preserve">Semaines 7–8</w:t>
            </w:r>
          </w:p>
        </w:tc>
        <w:tc>
          <w:tcPr>
            <w:tcW w:type="dxa" w:w="4513"/>
            <w:tcBorders>
              <w:top w:val="single" w:color="1A5276" w:sz="3"/>
              <w:left w:val="single" w:color="1A5276" w:sz="3"/>
              <w:bottom w:val="single" w:color="1A5276" w:sz="3"/>
              <w:right w:val="single" w:color="1A5276" w:sz="3"/>
            </w:tcBorders>
            <w:shd w:fill="D6EAF8" w:val="clear"/>
            <w:tcMar>
              <w:top w:type="dxa" w:w="80"/>
              <w:left w:type="dxa" w:w="160"/>
              <w:bottom w:type="dxa" w:w="80"/>
              <w:right w:type="dxa" w:w="160"/>
            </w:tcMar>
          </w:tcPr>
          <w:p>
            <w:pPr>
              <w:jc w:val="right"/>
            </w:pPr>
            <w:r>
              <w:rPr>
                <w:rFonts w:ascii="Arial" w:cs="Arial" w:eastAsia="Arial" w:hAnsi="Arial"/>
                <w:b w:val="false"/>
                <w:bCs w:val="false"/>
                <w:i w:val="false"/>
                <w:iCs w:val="false"/>
                <w:color w:val="4A4A4A"/>
                <w:sz w:val="22"/>
                <w:szCs w:val="22"/>
              </w:rPr>
              <w:t xml:space="preserve">20 Avril – 3 Mai 2026</w:t>
            </w:r>
          </w:p>
        </w:tc>
      </w:tr>
    </w:tbl>
    <w:p>
      <w:pPr>
        <w:spacing w:before="80"/>
      </w:pPr>
      <w:r>
        <w:t xml:space="preserve"/>
      </w:r>
    </w:p>
    <w:p>
      <w:pPr>
        <w:pBdr>
          <w:left w:val="single" w:color="1D9E75" w:sz="8"/>
        </w:pBdr>
        <w:spacing w:after="50" w:before="140"/>
        <w:ind w:left="300" w:hanging="140"/>
      </w:pPr>
      <w:r>
        <w:rPr>
          <w:rFonts w:ascii="Arial" w:cs="Arial" w:eastAsia="Arial" w:hAnsi="Arial"/>
          <w:b/>
          <w:bCs/>
          <w:i w:val="false"/>
          <w:iCs w:val="false"/>
          <w:color w:val="1D9E75"/>
          <w:sz w:val="22"/>
          <w:szCs w:val="22"/>
        </w:rPr>
        <w:t xml:space="preserve">📚  Ce que j'ai appris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Collecte BOAMP via RSS/XML : parsing avec feedparser, filtrage par mots-clés IT, gestion des entités XML.</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API TED EU (POST expert query) : construction de requêtes avec cpv-codes et buyer-country, gestion de la pagination.</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Mise en place du pipeline d'ingestion complet : normalisation → UPSERT → déduplication 30j → scoring → INSERT.</w:t>
      </w:r>
    </w:p>
    <w:p>
      <w:pPr>
        <w:pBdr>
          <w:left w:val="single" w:color="1A5276" w:sz="8"/>
        </w:pBdr>
        <w:spacing w:after="50" w:before="140"/>
        <w:ind w:left="300" w:hanging="140"/>
      </w:pPr>
      <w:r>
        <w:rPr>
          <w:rFonts w:ascii="Arial" w:cs="Arial" w:eastAsia="Arial" w:hAnsi="Arial"/>
          <w:b/>
          <w:bCs/>
          <w:i w:val="false"/>
          <w:iCs w:val="false"/>
          <w:color w:val="1A5276"/>
          <w:sz w:val="22"/>
          <w:szCs w:val="22"/>
        </w:rPr>
        <w:t xml:space="preserve">✅  Missions accomplies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Collecteurs boamp.py et ted.py opérationnels : 658 prospects (236 BOAMP + 422 TED) collectés en une nuit.</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Développement de scorer_rules.py avec la formule pondérée 4 dimensions et toutes les tables de valeurs.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Validation du pipeline : SELECT count(*), avg(priority_score) FROM opportunities → 780 entrées, score moyen 68.</w:t>
      </w:r>
    </w:p>
    <w:p>
      <w:pPr>
        <w:pBdr>
          <w:left w:val="single" w:color="B7770D" w:sz="8"/>
        </w:pBdr>
        <w:spacing w:after="50" w:before="140"/>
        <w:ind w:left="300" w:hanging="140"/>
      </w:pPr>
      <w:r>
        <w:rPr>
          <w:rFonts w:ascii="Arial" w:cs="Arial" w:eastAsia="Arial" w:hAnsi="Arial"/>
          <w:b/>
          <w:bCs/>
          <w:i w:val="false"/>
          <w:iCs w:val="false"/>
          <w:color w:val="B7770D"/>
          <w:sz w:val="22"/>
          <w:szCs w:val="22"/>
        </w:rPr>
        <w:t xml:space="preserve">🎯  Compétences mobilisées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Conception d'algorithme de scoring avec normalisation des poids (somme = 1.0).</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Gestion SQL avancée : ON CONFLICT DO UPDATE, tableaux PostgreSQL (TEXT[]), index partiels.</w:t>
      </w:r>
    </w:p>
    <w:p>
      <w:r>
        <w:br w:type="page"/>
      </w:r>
    </w:p>
    <w:p>
      <w:pPr>
        <w:pStyle w:val="Heading1"/>
        <w:pBdr>
          <w:bottom w:val="single" w:color="0F6E56" w:sz="6"/>
        </w:pBdr>
        <w:shd w:fill="1D9E75" w:val="clear"/>
        <w:spacing w:after="120" w:before="300"/>
        <w:ind w:left="200"/>
      </w:pPr>
      <w:r>
        <w:rPr>
          <w:rFonts w:ascii="Arial" w:cs="Arial" w:eastAsia="Arial" w:hAnsi="Arial"/>
          <w:b/>
          <w:bCs/>
          <w:i w:val="false"/>
          <w:iCs w:val="false"/>
          <w:color w:val="FFFFFF"/>
          <w:sz w:val="32"/>
          <w:szCs w:val="32"/>
        </w:rPr>
        <w:t xml:space="preserve">MOIS 3 — Mai 2026   |   Base de Données &amp; Enrichissement</w:t>
      </w:r>
    </w:p>
    <w:p>
      <w:pPr>
        <w:spacing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F6E56" w:sz="3"/>
              <w:left w:val="single" w:color="0F6E56" w:sz="3"/>
              <w:bottom w:val="single" w:color="0F6E56" w:sz="3"/>
              <w:right w:val="single" w:color="0F6E56" w:sz="3"/>
            </w:tcBorders>
            <w:shd w:fill="0F6E56" w:val="clear"/>
            <w:tcMar>
              <w:top w:type="dxa" w:w="80"/>
              <w:left w:type="dxa" w:w="160"/>
              <w:bottom w:type="dxa" w:w="80"/>
              <w:right w:type="dxa" w:w="160"/>
            </w:tcMar>
          </w:tcPr>
          <w:p>
            <w:pPr>
              <w:jc w:val="left"/>
            </w:pPr>
            <w:r>
              <w:rPr>
                <w:rFonts w:ascii="Arial" w:cs="Arial" w:eastAsia="Arial" w:hAnsi="Arial"/>
                <w:b/>
                <w:bCs/>
                <w:i w:val="false"/>
                <w:iCs w:val="false"/>
                <w:color w:val="FFFFFF"/>
                <w:sz w:val="24"/>
                <w:szCs w:val="24"/>
              </w:rPr>
              <w:t xml:space="preserve">Semaines 9–10</w:t>
            </w:r>
          </w:p>
        </w:tc>
        <w:tc>
          <w:tcPr>
            <w:tcW w:type="dxa" w:w="4513"/>
            <w:tcBorders>
              <w:top w:val="single" w:color="0F6E56" w:sz="3"/>
              <w:left w:val="single" w:color="0F6E56" w:sz="3"/>
              <w:bottom w:val="single" w:color="0F6E56" w:sz="3"/>
              <w:right w:val="single" w:color="0F6E56" w:sz="3"/>
            </w:tcBorders>
            <w:shd w:fill="E1F5EE" w:val="clear"/>
            <w:tcMar>
              <w:top w:type="dxa" w:w="80"/>
              <w:left w:type="dxa" w:w="160"/>
              <w:bottom w:type="dxa" w:w="80"/>
              <w:right w:type="dxa" w:w="160"/>
            </w:tcMar>
          </w:tcPr>
          <w:p>
            <w:pPr>
              <w:jc w:val="right"/>
            </w:pPr>
            <w:r>
              <w:rPr>
                <w:rFonts w:ascii="Arial" w:cs="Arial" w:eastAsia="Arial" w:hAnsi="Arial"/>
                <w:b w:val="false"/>
                <w:bCs w:val="false"/>
                <w:i w:val="false"/>
                <w:iCs w:val="false"/>
                <w:color w:val="4A4A4A"/>
                <w:sz w:val="22"/>
                <w:szCs w:val="22"/>
              </w:rPr>
              <w:t xml:space="preserve">4 – 17 Mai 2026</w:t>
            </w:r>
          </w:p>
        </w:tc>
      </w:tr>
    </w:tbl>
    <w:p>
      <w:pPr>
        <w:spacing w:before="80"/>
      </w:pPr>
      <w:r>
        <w:t xml:space="preserve"/>
      </w:r>
    </w:p>
    <w:p>
      <w:pPr>
        <w:pBdr>
          <w:left w:val="single" w:color="1D9E75" w:sz="8"/>
        </w:pBdr>
        <w:spacing w:after="50" w:before="140"/>
        <w:ind w:left="300" w:hanging="140"/>
      </w:pPr>
      <w:r>
        <w:rPr>
          <w:rFonts w:ascii="Arial" w:cs="Arial" w:eastAsia="Arial" w:hAnsi="Arial"/>
          <w:b/>
          <w:bCs/>
          <w:i w:val="false"/>
          <w:iCs w:val="false"/>
          <w:color w:val="1D9E75"/>
          <w:sz w:val="22"/>
          <w:szCs w:val="22"/>
        </w:rPr>
        <w:t xml:space="preserve">📚  Ce que j'ai appris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Développement de linkedin_b2b.py : la contrainte technique clé — search_content() de l'API non-officielle retourne 0 résultats. La stratégie indirecte (search_companies → get_company_updates_by_id → regex sur le texte) a été trouvée par lecture du code source de linkedin-api et tests empiriques.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Écriture de patterns regex robustes pour la détection de signaux B2B dans des textes en français naturel avec variations orthographiques.</w:t>
      </w:r>
    </w:p>
    <w:p>
      <w:pPr>
        <w:pBdr>
          <w:left w:val="single" w:color="1A5276" w:sz="8"/>
        </w:pBdr>
        <w:spacing w:after="50" w:before="140"/>
        <w:ind w:left="300" w:hanging="140"/>
      </w:pPr>
      <w:r>
        <w:rPr>
          <w:rFonts w:ascii="Arial" w:cs="Arial" w:eastAsia="Arial" w:hAnsi="Arial"/>
          <w:b/>
          <w:bCs/>
          <w:i w:val="false"/>
          <w:iCs w:val="false"/>
          <w:color w:val="1A5276"/>
          <w:sz w:val="22"/>
          <w:szCs w:val="22"/>
        </w:rPr>
        <w:t xml:space="preserve">✅  Missions accomplies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Collecteur linkedin_b2b.py opérationnel avec les 4 types de signaux détectés par regex et le filtre anti-ESN sur les 200 premiers caractères.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Tentative d'intégration de Malt.fr → bloqué par Cloudflare Bot Management (résultat 0 malgré Playwright headless). Décision documentée : hors scope pour ce stage.</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Structuration définitive de la base de données : ajout des colonnes sector_label, priority_label, nlp_confidence dans opportunities.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22B21" w:sz="4"/>
              <w:left w:val="single" w:color="922B21" w:sz="12"/>
              <w:bottom w:val="single" w:color="922B21" w:sz="4"/>
              <w:right w:val="single" w:color="922B21" w:sz="4"/>
            </w:tcBorders>
            <w:shd w:fill="FDEDEC" w:val="clear"/>
            <w:tcMar>
              <w:top w:type="dxa" w:w="100"/>
              <w:left w:type="dxa" w:w="200"/>
              <w:bottom w:type="dxa" w:w="100"/>
              <w:right w:type="dxa" w:w="200"/>
            </w:tcMar>
          </w:tcPr>
          <w:p>
            <w:pPr>
              <w:spacing w:after="20" w:before="20"/>
            </w:pPr>
            <w:r>
              <w:rPr>
                <w:rFonts w:ascii="Arial" w:cs="Arial" w:eastAsia="Arial" w:hAnsi="Arial"/>
                <w:b/>
                <w:bCs/>
                <w:i w:val="false"/>
                <w:iCs w:val="false"/>
                <w:color w:val="922B21"/>
                <w:sz w:val="22"/>
                <w:szCs w:val="22"/>
              </w:rPr>
              <w:t xml:space="preserve">⚠️ Difficulté :  </w:t>
            </w:r>
            <w:r>
              <w:rPr>
                <w:rFonts w:ascii="Arial" w:cs="Arial" w:eastAsia="Arial" w:hAnsi="Arial"/>
                <w:b w:val="false"/>
                <w:bCs w:val="false"/>
                <w:i w:val="false"/>
                <w:iCs w:val="false"/>
                <w:color w:val="1C1C1C"/>
                <w:sz w:val="22"/>
                <w:szCs w:val="22"/>
              </w:rPr>
              <w:t xml:space="preserve">L'échec sur Malt.fr m'a appris que tous les obstacles techniques n'ont pas de solution dans le cadre d'un projet. Savoir documenter un blocage et justifier la décision d'abandon est aussi une compétence d'ingénieur.</w:t>
            </w:r>
          </w:p>
        </w:tc>
      </w:tr>
    </w:tbl>
    <w:p>
      <w:pPr>
        <w:pBdr>
          <w:bottom w:val="single" w:color="E0E0E0" w:sz="2"/>
        </w:pBd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F6E56" w:sz="3"/>
              <w:left w:val="single" w:color="0F6E56" w:sz="3"/>
              <w:bottom w:val="single" w:color="0F6E56" w:sz="3"/>
              <w:right w:val="single" w:color="0F6E56" w:sz="3"/>
            </w:tcBorders>
            <w:shd w:fill="0F6E56" w:val="clear"/>
            <w:tcMar>
              <w:top w:type="dxa" w:w="80"/>
              <w:left w:type="dxa" w:w="160"/>
              <w:bottom w:type="dxa" w:w="80"/>
              <w:right w:type="dxa" w:w="160"/>
            </w:tcMar>
          </w:tcPr>
          <w:p>
            <w:pPr>
              <w:jc w:val="left"/>
            </w:pPr>
            <w:r>
              <w:rPr>
                <w:rFonts w:ascii="Arial" w:cs="Arial" w:eastAsia="Arial" w:hAnsi="Arial"/>
                <w:b/>
                <w:bCs/>
                <w:i w:val="false"/>
                <w:iCs w:val="false"/>
                <w:color w:val="FFFFFF"/>
                <w:sz w:val="24"/>
                <w:szCs w:val="24"/>
              </w:rPr>
              <w:t xml:space="preserve">Semaines 11–12</w:t>
            </w:r>
          </w:p>
        </w:tc>
        <w:tc>
          <w:tcPr>
            <w:tcW w:type="dxa" w:w="4513"/>
            <w:tcBorders>
              <w:top w:val="single" w:color="0F6E56" w:sz="3"/>
              <w:left w:val="single" w:color="0F6E56" w:sz="3"/>
              <w:bottom w:val="single" w:color="0F6E56" w:sz="3"/>
              <w:right w:val="single" w:color="0F6E56" w:sz="3"/>
            </w:tcBorders>
            <w:shd w:fill="E1F5EE" w:val="clear"/>
            <w:tcMar>
              <w:top w:type="dxa" w:w="80"/>
              <w:left w:type="dxa" w:w="160"/>
              <w:bottom w:type="dxa" w:w="80"/>
              <w:right w:type="dxa" w:w="160"/>
            </w:tcMar>
          </w:tcPr>
          <w:p>
            <w:pPr>
              <w:jc w:val="right"/>
            </w:pPr>
            <w:r>
              <w:rPr>
                <w:rFonts w:ascii="Arial" w:cs="Arial" w:eastAsia="Arial" w:hAnsi="Arial"/>
                <w:b w:val="false"/>
                <w:bCs w:val="false"/>
                <w:i w:val="false"/>
                <w:iCs w:val="false"/>
                <w:color w:val="4A4A4A"/>
                <w:sz w:val="22"/>
                <w:szCs w:val="22"/>
              </w:rPr>
              <w:t xml:space="preserve">18 – 31 Mai 2026</w:t>
            </w:r>
          </w:p>
        </w:tc>
      </w:tr>
    </w:tbl>
    <w:p>
      <w:pPr>
        <w:spacing w:before="80"/>
      </w:pPr>
      <w:r>
        <w:t xml:space="preserve"/>
      </w:r>
    </w:p>
    <w:p>
      <w:pPr>
        <w:pBdr>
          <w:left w:val="single" w:color="1D9E75" w:sz="8"/>
        </w:pBdr>
        <w:spacing w:after="50" w:before="140"/>
        <w:ind w:left="300" w:hanging="140"/>
      </w:pPr>
      <w:r>
        <w:rPr>
          <w:rFonts w:ascii="Arial" w:cs="Arial" w:eastAsia="Arial" w:hAnsi="Arial"/>
          <w:b/>
          <w:bCs/>
          <w:i w:val="false"/>
          <w:iCs w:val="false"/>
          <w:color w:val="1D9E75"/>
          <w:sz w:val="22"/>
          <w:szCs w:val="22"/>
        </w:rPr>
        <w:t xml:space="preserve">📚  Ce que j'ai appris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Développement de l'API FastAPI complète : lifespan pour initialiser le pool asyncpg et le SessionManager au démarrage, middleware X-API-Key, BackgroundTasks pour les collectes asynchrones.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Documentation automatique Swagger (accès via /docs) : j'ai découvert que FastAPI génère un Swagger UI complet sans aucun code supplémentaire, simplement grâce aux Pydantic models.</w:t>
      </w:r>
    </w:p>
    <w:p>
      <w:pPr>
        <w:pBdr>
          <w:left w:val="single" w:color="1A5276" w:sz="8"/>
        </w:pBdr>
        <w:spacing w:after="50" w:before="140"/>
        <w:ind w:left="300" w:hanging="140"/>
      </w:pPr>
      <w:r>
        <w:rPr>
          <w:rFonts w:ascii="Arial" w:cs="Arial" w:eastAsia="Arial" w:hAnsi="Arial"/>
          <w:b/>
          <w:bCs/>
          <w:i w:val="false"/>
          <w:iCs w:val="false"/>
          <w:color w:val="1A5276"/>
          <w:sz w:val="22"/>
          <w:szCs w:val="22"/>
        </w:rPr>
        <w:t xml:space="preserve">✅  Missions accomplies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API FastAPI complète avec 8 endpoints opérationnels — tous testés via curl et pytest.</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Route POST /api/collect/all utilisant BackgroundTasks : réponse immédiate { status: 'started' } pendant que la collecte tourne en arrière-plan.</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815 prospects en base au total avec déduplication correcte (0 doublon détecté en test).</w:t>
      </w:r>
    </w:p>
    <w:p>
      <w:pPr>
        <w:pBdr>
          <w:left w:val="single" w:color="B7770D" w:sz="8"/>
        </w:pBdr>
        <w:spacing w:after="50" w:before="140"/>
        <w:ind w:left="300" w:hanging="140"/>
      </w:pPr>
      <w:r>
        <w:rPr>
          <w:rFonts w:ascii="Arial" w:cs="Arial" w:eastAsia="Arial" w:hAnsi="Arial"/>
          <w:b/>
          <w:bCs/>
          <w:i w:val="false"/>
          <w:iCs w:val="false"/>
          <w:color w:val="B7770D"/>
          <w:sz w:val="22"/>
          <w:szCs w:val="22"/>
        </w:rPr>
        <w:t xml:space="preserve">🎯  Compétences mobilisées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Architecture REST : séparation claire entre routes, schémas Pydantic et logique métier.</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Tests d'intégration avec pytest-asyncio : fixtures pour l'initialisation de la DB de test.</w:t>
      </w:r>
    </w:p>
    <w:p>
      <w:r>
        <w:br w:type="page"/>
      </w:r>
    </w:p>
    <w:p>
      <w:pPr>
        <w:pStyle w:val="Heading1"/>
        <w:pBdr>
          <w:bottom w:val="single" w:color="0F6E56" w:sz="6"/>
        </w:pBdr>
        <w:shd w:fill="1D9E75" w:val="clear"/>
        <w:spacing w:after="120" w:before="300"/>
        <w:ind w:left="200"/>
      </w:pPr>
      <w:r>
        <w:rPr>
          <w:rFonts w:ascii="Arial" w:cs="Arial" w:eastAsia="Arial" w:hAnsi="Arial"/>
          <w:b/>
          <w:bCs/>
          <w:i w:val="false"/>
          <w:iCs w:val="false"/>
          <w:color w:val="FFFFFF"/>
          <w:sz w:val="32"/>
          <w:szCs w:val="32"/>
        </w:rPr>
        <w:t xml:space="preserve">MOIS 4 — Juin 2026   |   Classification NLP</w:t>
      </w:r>
    </w:p>
    <w:p>
      <w:pPr>
        <w:spacing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7770D" w:sz="3"/>
              <w:left w:val="single" w:color="B7770D" w:sz="3"/>
              <w:bottom w:val="single" w:color="B7770D" w:sz="3"/>
              <w:right w:val="single" w:color="B7770D" w:sz="3"/>
            </w:tcBorders>
            <w:shd w:fill="B7770D" w:val="clear"/>
            <w:tcMar>
              <w:top w:type="dxa" w:w="80"/>
              <w:left w:type="dxa" w:w="160"/>
              <w:bottom w:type="dxa" w:w="80"/>
              <w:right w:type="dxa" w:w="160"/>
            </w:tcMar>
          </w:tcPr>
          <w:p>
            <w:pPr>
              <w:jc w:val="left"/>
            </w:pPr>
            <w:r>
              <w:rPr>
                <w:rFonts w:ascii="Arial" w:cs="Arial" w:eastAsia="Arial" w:hAnsi="Arial"/>
                <w:b/>
                <w:bCs/>
                <w:i w:val="false"/>
                <w:iCs w:val="false"/>
                <w:color w:val="FFFFFF"/>
                <w:sz w:val="24"/>
                <w:szCs w:val="24"/>
              </w:rPr>
              <w:t xml:space="preserve">Semaines 13–14</w:t>
            </w:r>
          </w:p>
        </w:tc>
        <w:tc>
          <w:tcPr>
            <w:tcW w:type="dxa" w:w="4513"/>
            <w:tcBorders>
              <w:top w:val="single" w:color="B7770D" w:sz="3"/>
              <w:left w:val="single" w:color="B7770D" w:sz="3"/>
              <w:bottom w:val="single" w:color="B7770D" w:sz="3"/>
              <w:right w:val="single" w:color="B7770D" w:sz="3"/>
            </w:tcBorders>
            <w:shd w:fill="FEF9E7" w:val="clear"/>
            <w:tcMar>
              <w:top w:type="dxa" w:w="80"/>
              <w:left w:type="dxa" w:w="160"/>
              <w:bottom w:type="dxa" w:w="80"/>
              <w:right w:type="dxa" w:w="160"/>
            </w:tcMar>
          </w:tcPr>
          <w:p>
            <w:pPr>
              <w:jc w:val="right"/>
            </w:pPr>
            <w:r>
              <w:rPr>
                <w:rFonts w:ascii="Arial" w:cs="Arial" w:eastAsia="Arial" w:hAnsi="Arial"/>
                <w:b w:val="false"/>
                <w:bCs w:val="false"/>
                <w:i w:val="false"/>
                <w:iCs w:val="false"/>
                <w:color w:val="4A4A4A"/>
                <w:sz w:val="22"/>
                <w:szCs w:val="22"/>
              </w:rPr>
              <w:t xml:space="preserve">1 – 14 Juin 2026</w:t>
            </w:r>
          </w:p>
        </w:tc>
      </w:tr>
    </w:tbl>
    <w:p>
      <w:pPr>
        <w:spacing w:before="80"/>
      </w:pPr>
      <w:r>
        <w:t xml:space="preserve"/>
      </w:r>
    </w:p>
    <w:p>
      <w:pPr>
        <w:pBdr>
          <w:left w:val="single" w:color="1D9E75" w:sz="8"/>
        </w:pBdr>
        <w:spacing w:after="50" w:before="140"/>
        <w:ind w:left="300" w:hanging="140"/>
      </w:pPr>
      <w:r>
        <w:rPr>
          <w:rFonts w:ascii="Arial" w:cs="Arial" w:eastAsia="Arial" w:hAnsi="Arial"/>
          <w:b/>
          <w:bCs/>
          <w:i w:val="false"/>
          <w:iCs w:val="false"/>
          <w:color w:val="1D9E75"/>
          <w:sz w:val="22"/>
          <w:szCs w:val="22"/>
        </w:rPr>
        <w:t xml:space="preserve">📚  Ce que j'ai appris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Vectorisation TF-IDF : comprendre pourquoi les n-grammes de mots (1–3g) et les n-grammes de caractères (3–5g) sont complémentaires. Les n-grammes de mots capturent les termes techniques (COBOL, DevOps, SAP) ; les n-grammes de caractères absorbent les variantes orthographiques (cybersécurité / cyber-sécurité / cybersecurity).</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Benchmark TF-IDF vs sentence-transformers sur les 604 exemples : TF-IDF obtient 75% de précision CV-5 contre 69.4% pour sentence-transformers. Résultat contre-intuitif que j'ai eu du mal à accepter — sentence-transformers est réputé supérieur. Mais sur un vocabulaire IT très spécialisé et restreint, la correspondance exacte de termes techniques bat la sémantique générale.</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CalibratedClassifierCV pour obtenir des probabilités depuis LinearSVC (qui ne produit pas de probabilités nativement).</w:t>
      </w:r>
    </w:p>
    <w:p>
      <w:pPr>
        <w:pBdr>
          <w:left w:val="single" w:color="1A5276" w:sz="8"/>
        </w:pBdr>
        <w:spacing w:after="50" w:before="140"/>
        <w:ind w:left="300" w:hanging="140"/>
      </w:pPr>
      <w:r>
        <w:rPr>
          <w:rFonts w:ascii="Arial" w:cs="Arial" w:eastAsia="Arial" w:hAnsi="Arial"/>
          <w:b/>
          <w:bCs/>
          <w:i w:val="false"/>
          <w:iCs w:val="false"/>
          <w:color w:val="1A5276"/>
          <w:sz w:val="22"/>
          <w:szCs w:val="22"/>
        </w:rPr>
        <w:t xml:space="preserve">✅  Missions accomplies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Rédaction manuelle de 604 exemples d'entraînement labelisés dans training_data.py — travail le plus fastidieux du stage (2 semaines à mi-temps).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Classifieur secteur (10 classes) : accuracy CV-5 = 75.0% ± 4%.</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Classifieur priorité (3 classes HIGH/MED/LOW) : accuracy test set = 85%.</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Rapport d'évaluation complet : confusion matrix, classification report par classe, cross-validation 5-fold.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4"/>
              <w:left w:val="single" w:color="1D9E75" w:sz="12"/>
              <w:bottom w:val="single" w:color="1D9E75" w:sz="4"/>
              <w:right w:val="single" w:color="1D9E75" w:sz="4"/>
            </w:tcBorders>
            <w:shd w:fill="E1F5EE" w:val="clear"/>
            <w:tcMar>
              <w:top w:type="dxa" w:w="100"/>
              <w:left w:type="dxa" w:w="200"/>
              <w:bottom w:type="dxa" w:w="100"/>
              <w:right w:type="dxa" w:w="200"/>
            </w:tcMar>
          </w:tcPr>
          <w:p>
            <w:pPr>
              <w:spacing w:after="20" w:before="20"/>
            </w:pPr>
            <w:r>
              <w:rPr>
                <w:rFonts w:ascii="Arial" w:cs="Arial" w:eastAsia="Arial" w:hAnsi="Arial"/>
                <w:b/>
                <w:bCs/>
                <w:i w:val="false"/>
                <w:iCs w:val="false"/>
                <w:color w:val="1D9E75"/>
                <w:sz w:val="22"/>
                <w:szCs w:val="22"/>
              </w:rPr>
              <w:t xml:space="preserve">💡 Apprentissage clé :  </w:t>
            </w:r>
            <w:r>
              <w:rPr>
                <w:rFonts w:ascii="Arial" w:cs="Arial" w:eastAsia="Arial" w:hAnsi="Arial"/>
                <w:b w:val="false"/>
                <w:bCs w:val="false"/>
                <w:i w:val="false"/>
                <w:iCs w:val="false"/>
                <w:color w:val="1C1C1C"/>
                <w:sz w:val="22"/>
                <w:szCs w:val="22"/>
              </w:rPr>
              <w:t xml:space="preserve">La rédaction des 604 exemples m'a forcé à formaliser la connaissance métier de l'entreprise : qu'est-ce qu'une opportunité 'haute priorité' pour Solvinya ? Cette formalisation a autant de valeur que le modèle lui-même.</w:t>
            </w:r>
          </w:p>
        </w:tc>
      </w:tr>
    </w:tbl>
    <w:p>
      <w:pPr>
        <w:pBdr>
          <w:bottom w:val="single" w:color="E0E0E0" w:sz="2"/>
        </w:pBd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7770D" w:sz="3"/>
              <w:left w:val="single" w:color="B7770D" w:sz="3"/>
              <w:bottom w:val="single" w:color="B7770D" w:sz="3"/>
              <w:right w:val="single" w:color="B7770D" w:sz="3"/>
            </w:tcBorders>
            <w:shd w:fill="B7770D" w:val="clear"/>
            <w:tcMar>
              <w:top w:type="dxa" w:w="80"/>
              <w:left w:type="dxa" w:w="160"/>
              <w:bottom w:type="dxa" w:w="80"/>
              <w:right w:type="dxa" w:w="160"/>
            </w:tcMar>
          </w:tcPr>
          <w:p>
            <w:pPr>
              <w:jc w:val="left"/>
            </w:pPr>
            <w:r>
              <w:rPr>
                <w:rFonts w:ascii="Arial" w:cs="Arial" w:eastAsia="Arial" w:hAnsi="Arial"/>
                <w:b/>
                <w:bCs/>
                <w:i w:val="false"/>
                <w:iCs w:val="false"/>
                <w:color w:val="FFFFFF"/>
                <w:sz w:val="24"/>
                <w:szCs w:val="24"/>
              </w:rPr>
              <w:t xml:space="preserve">Semaines 15–16</w:t>
            </w:r>
          </w:p>
        </w:tc>
        <w:tc>
          <w:tcPr>
            <w:tcW w:type="dxa" w:w="4513"/>
            <w:tcBorders>
              <w:top w:val="single" w:color="B7770D" w:sz="3"/>
              <w:left w:val="single" w:color="B7770D" w:sz="3"/>
              <w:bottom w:val="single" w:color="B7770D" w:sz="3"/>
              <w:right w:val="single" w:color="B7770D" w:sz="3"/>
            </w:tcBorders>
            <w:shd w:fill="FEF9E7" w:val="clear"/>
            <w:tcMar>
              <w:top w:type="dxa" w:w="80"/>
              <w:left w:type="dxa" w:w="160"/>
              <w:bottom w:type="dxa" w:w="80"/>
              <w:right w:type="dxa" w:w="160"/>
            </w:tcMar>
          </w:tcPr>
          <w:p>
            <w:pPr>
              <w:jc w:val="right"/>
            </w:pPr>
            <w:r>
              <w:rPr>
                <w:rFonts w:ascii="Arial" w:cs="Arial" w:eastAsia="Arial" w:hAnsi="Arial"/>
                <w:b w:val="false"/>
                <w:bCs w:val="false"/>
                <w:i w:val="false"/>
                <w:iCs w:val="false"/>
                <w:color w:val="4A4A4A"/>
                <w:sz w:val="22"/>
                <w:szCs w:val="22"/>
              </w:rPr>
              <w:t xml:space="preserve">15 – 28 Juin 2026</w:t>
            </w:r>
          </w:p>
        </w:tc>
      </w:tr>
    </w:tbl>
    <w:p>
      <w:pPr>
        <w:spacing w:before="80"/>
      </w:pPr>
      <w:r>
        <w:t xml:space="preserve"/>
      </w:r>
    </w:p>
    <w:p>
      <w:pPr>
        <w:pBdr>
          <w:left w:val="single" w:color="1D9E75" w:sz="8"/>
        </w:pBdr>
        <w:spacing w:after="50" w:before="140"/>
        <w:ind w:left="300" w:hanging="140"/>
      </w:pPr>
      <w:r>
        <w:rPr>
          <w:rFonts w:ascii="Arial" w:cs="Arial" w:eastAsia="Arial" w:hAnsi="Arial"/>
          <w:b/>
          <w:bCs/>
          <w:i w:val="false"/>
          <w:iCs w:val="false"/>
          <w:color w:val="1D9E75"/>
          <w:sz w:val="22"/>
          <w:szCs w:val="22"/>
        </w:rPr>
        <w:t xml:space="preserve">📚  Ce que j'ai appris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Intégration du classifieur dans l'API FastAPI : chargement des modèles .joblib au startup via lifespan, injection comme dépendance dans les routes.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Groq API : découverte du free tier llama-3.1-8b-instant avec 30 req/min et 1–3s de latence. Comparaison avec Ollama (local, 15–60s CPU) → décision de garder Groq comme LLM principal et d'éliminer Ollama du Docker.</w:t>
      </w:r>
    </w:p>
    <w:p>
      <w:pPr>
        <w:pBdr>
          <w:left w:val="single" w:color="1A5276" w:sz="8"/>
        </w:pBdr>
        <w:spacing w:after="50" w:before="140"/>
        <w:ind w:left="300" w:hanging="140"/>
      </w:pPr>
      <w:r>
        <w:rPr>
          <w:rFonts w:ascii="Arial" w:cs="Arial" w:eastAsia="Arial" w:hAnsi="Arial"/>
          <w:b/>
          <w:bCs/>
          <w:i w:val="false"/>
          <w:iCs w:val="false"/>
          <w:color w:val="1A5276"/>
          <w:sz w:val="22"/>
          <w:szCs w:val="22"/>
        </w:rPr>
        <w:t xml:space="preserve">✅  Missions accomplies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Endpoint POST /api/classify opérationnel : renvoie sector_label, priority_label, confidences en ~100ms.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Génération de messages LinkedIn via Groq : prompts adaptés aux 5 types de signaux, messages en français professionnel de 5 lignes.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Premier message LinkedIn complet généré : BNP Paribas + COBOL + outsourcing_signal → message testé et validé par l'équipe commerciale.</w:t>
      </w:r>
    </w:p>
    <w:p>
      <w:pPr>
        <w:pBdr>
          <w:left w:val="single" w:color="922B21" w:sz="8"/>
        </w:pBdr>
        <w:spacing w:after="50" w:before="140"/>
        <w:ind w:left="300" w:hanging="140"/>
      </w:pPr>
      <w:r>
        <w:rPr>
          <w:rFonts w:ascii="Arial" w:cs="Arial" w:eastAsia="Arial" w:hAnsi="Arial"/>
          <w:b/>
          <w:bCs/>
          <w:i w:val="false"/>
          <w:iCs w:val="false"/>
          <w:color w:val="922B21"/>
          <w:sz w:val="22"/>
          <w:szCs w:val="22"/>
        </w:rPr>
        <w:t xml:space="preserve">⚠️  Difficultés rencontrées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Optimisation des prompts Groq : les premiers messages étaient trop génériques. Après 12 itérations de prompt engineering, j'ai trouvé la bonne structure (contexte de recrutement + proposition de valeur Solvinya + question ouverte).</w:t>
      </w:r>
    </w:p>
    <w:p>
      <w:r>
        <w:br w:type="page"/>
      </w:r>
    </w:p>
    <w:p>
      <w:pPr>
        <w:pStyle w:val="Heading1"/>
        <w:pBdr>
          <w:bottom w:val="single" w:color="0F6E56" w:sz="6"/>
        </w:pBdr>
        <w:shd w:fill="1D9E75" w:val="clear"/>
        <w:spacing w:after="120" w:before="300"/>
        <w:ind w:left="200"/>
      </w:pPr>
      <w:r>
        <w:rPr>
          <w:rFonts w:ascii="Arial" w:cs="Arial" w:eastAsia="Arial" w:hAnsi="Arial"/>
          <w:b/>
          <w:bCs/>
          <w:i w:val="false"/>
          <w:iCs w:val="false"/>
          <w:color w:val="FFFFFF"/>
          <w:sz w:val="32"/>
          <w:szCs w:val="32"/>
        </w:rPr>
        <w:t xml:space="preserve">MOIS 5 — Juillet 2026   |   Dashboard BI &amp; Automatisation</w:t>
      </w:r>
    </w:p>
    <w:p>
      <w:pPr>
        <w:spacing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22B21" w:sz="3"/>
              <w:left w:val="single" w:color="922B21" w:sz="3"/>
              <w:bottom w:val="single" w:color="922B21" w:sz="3"/>
              <w:right w:val="single" w:color="922B21" w:sz="3"/>
            </w:tcBorders>
            <w:shd w:fill="922B21" w:val="clear"/>
            <w:tcMar>
              <w:top w:type="dxa" w:w="80"/>
              <w:left w:type="dxa" w:w="160"/>
              <w:bottom w:type="dxa" w:w="80"/>
              <w:right w:type="dxa" w:w="160"/>
            </w:tcMar>
          </w:tcPr>
          <w:p>
            <w:pPr>
              <w:jc w:val="left"/>
            </w:pPr>
            <w:r>
              <w:rPr>
                <w:rFonts w:ascii="Arial" w:cs="Arial" w:eastAsia="Arial" w:hAnsi="Arial"/>
                <w:b/>
                <w:bCs/>
                <w:i w:val="false"/>
                <w:iCs w:val="false"/>
                <w:color w:val="FFFFFF"/>
                <w:sz w:val="24"/>
                <w:szCs w:val="24"/>
              </w:rPr>
              <w:t xml:space="preserve">Semaines 17–18</w:t>
            </w:r>
          </w:p>
        </w:tc>
        <w:tc>
          <w:tcPr>
            <w:tcW w:type="dxa" w:w="4513"/>
            <w:tcBorders>
              <w:top w:val="single" w:color="922B21" w:sz="3"/>
              <w:left w:val="single" w:color="922B21" w:sz="3"/>
              <w:bottom w:val="single" w:color="922B21" w:sz="3"/>
              <w:right w:val="single" w:color="922B21" w:sz="3"/>
            </w:tcBorders>
            <w:shd w:fill="FDEDEC" w:val="clear"/>
            <w:tcMar>
              <w:top w:type="dxa" w:w="80"/>
              <w:left w:type="dxa" w:w="160"/>
              <w:bottom w:type="dxa" w:w="80"/>
              <w:right w:type="dxa" w:w="160"/>
            </w:tcMar>
          </w:tcPr>
          <w:p>
            <w:pPr>
              <w:jc w:val="right"/>
            </w:pPr>
            <w:r>
              <w:rPr>
                <w:rFonts w:ascii="Arial" w:cs="Arial" w:eastAsia="Arial" w:hAnsi="Arial"/>
                <w:b w:val="false"/>
                <w:bCs w:val="false"/>
                <w:i w:val="false"/>
                <w:iCs w:val="false"/>
                <w:color w:val="4A4A4A"/>
                <w:sz w:val="22"/>
                <w:szCs w:val="22"/>
              </w:rPr>
              <w:t xml:space="preserve">1 – 14 Juillet 2026</w:t>
            </w:r>
          </w:p>
        </w:tc>
      </w:tr>
    </w:tbl>
    <w:p>
      <w:pPr>
        <w:spacing w:before="80"/>
      </w:pPr>
      <w:r>
        <w:t xml:space="preserve"/>
      </w:r>
    </w:p>
    <w:p>
      <w:pPr>
        <w:pBdr>
          <w:left w:val="single" w:color="1D9E75" w:sz="8"/>
        </w:pBdr>
        <w:spacing w:after="50" w:before="140"/>
        <w:ind w:left="300" w:hanging="140"/>
      </w:pPr>
      <w:r>
        <w:rPr>
          <w:rFonts w:ascii="Arial" w:cs="Arial" w:eastAsia="Arial" w:hAnsi="Arial"/>
          <w:b/>
          <w:bCs/>
          <w:i w:val="false"/>
          <w:iCs w:val="false"/>
          <w:color w:val="1D9E75"/>
          <w:sz w:val="22"/>
          <w:szCs w:val="22"/>
        </w:rPr>
        <w:t xml:space="preserve">📚  Ce que j'ai appris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Configuration Metabase self-hosted : connexion à PostgreSQL, création de questions SQL natives, assemblage de dashboards avec filtres dynamiques (pays, secteur, score).</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Import des 4 workflows n8n depuis les fichiers JSON : j'ai compris l'architecture interne d'un workflow n8n (nodes, connections, credentials) en lisant le JSON généré.</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Conception du workflow 03 Live Demo : chaque nœud doit fonctionner indépendamment des données réelles pour garantir la reproductibilité de la démo.</w:t>
      </w:r>
    </w:p>
    <w:p>
      <w:pPr>
        <w:pBdr>
          <w:left w:val="single" w:color="1A5276" w:sz="8"/>
        </w:pBdr>
        <w:spacing w:after="50" w:before="140"/>
        <w:ind w:left="300" w:hanging="140"/>
      </w:pPr>
      <w:r>
        <w:rPr>
          <w:rFonts w:ascii="Arial" w:cs="Arial" w:eastAsia="Arial" w:hAnsi="Arial"/>
          <w:b/>
          <w:bCs/>
          <w:i w:val="false"/>
          <w:iCs w:val="false"/>
          <w:color w:val="1A5276"/>
          <w:sz w:val="22"/>
          <w:szCs w:val="22"/>
        </w:rPr>
        <w:t xml:space="preserve">✅  Missions accomplies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Dashboard Metabase complet : 4 visualisations (carte choroplèthe des prospects par pays, bar chart par secteur, scatter plot score vs date, tableau top 20 prospects).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Workflow n8n 01 (LinkedIn 6h) et 02 (BOAMP RSS 12h) opérationnels et activés en production.</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Workflow 03 Live Demo : test complet en 8 secondes — ingest BNP Paribas COBOL → PostgreSQL → prospect visible dans Metabase → message LinkedIn généré.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770D" w:sz="4"/>
              <w:left w:val="single" w:color="B7770D" w:sz="12"/>
              <w:bottom w:val="single" w:color="B7770D" w:sz="4"/>
              <w:right w:val="single" w:color="B7770D" w:sz="4"/>
            </w:tcBorders>
            <w:shd w:fill="FEF9E7" w:val="clear"/>
            <w:tcMar>
              <w:top w:type="dxa" w:w="100"/>
              <w:left w:type="dxa" w:w="200"/>
              <w:bottom w:type="dxa" w:w="100"/>
              <w:right w:type="dxa" w:w="200"/>
            </w:tcMar>
          </w:tcPr>
          <w:p>
            <w:pPr>
              <w:spacing w:after="20" w:before="20"/>
            </w:pPr>
            <w:r>
              <w:rPr>
                <w:rFonts w:ascii="Arial" w:cs="Arial" w:eastAsia="Arial" w:hAnsi="Arial"/>
                <w:b/>
                <w:bCs/>
                <w:i w:val="false"/>
                <w:iCs w:val="false"/>
                <w:color w:val="B7770D"/>
                <w:sz w:val="22"/>
                <w:szCs w:val="22"/>
              </w:rPr>
              <w:t xml:space="preserve">💡 Réflexion :  </w:t>
            </w:r>
            <w:r>
              <w:rPr>
                <w:rFonts w:ascii="Arial" w:cs="Arial" w:eastAsia="Arial" w:hAnsi="Arial"/>
                <w:b w:val="false"/>
                <w:bCs w:val="false"/>
                <w:i w:val="false"/>
                <w:iCs w:val="false"/>
                <w:color w:val="1C1C1C"/>
                <w:sz w:val="22"/>
                <w:szCs w:val="22"/>
              </w:rPr>
              <w:t xml:space="preserve">Concevoir la démo avant de finir la production m'a forcé à prioriser les fonctionnalités qui ont le plus d'impact visuel. La démo de 90 secondes est plus convaincante qu'un code parfait qu'on ne voit pas tourner.</w:t>
            </w:r>
          </w:p>
        </w:tc>
      </w:tr>
    </w:tbl>
    <w:p>
      <w:pPr>
        <w:pBdr>
          <w:bottom w:val="single" w:color="E0E0E0" w:sz="2"/>
        </w:pBd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22B21" w:sz="3"/>
              <w:left w:val="single" w:color="922B21" w:sz="3"/>
              <w:bottom w:val="single" w:color="922B21" w:sz="3"/>
              <w:right w:val="single" w:color="922B21" w:sz="3"/>
            </w:tcBorders>
            <w:shd w:fill="922B21" w:val="clear"/>
            <w:tcMar>
              <w:top w:type="dxa" w:w="80"/>
              <w:left w:type="dxa" w:w="160"/>
              <w:bottom w:type="dxa" w:w="80"/>
              <w:right w:type="dxa" w:w="160"/>
            </w:tcMar>
          </w:tcPr>
          <w:p>
            <w:pPr>
              <w:jc w:val="left"/>
            </w:pPr>
            <w:r>
              <w:rPr>
                <w:rFonts w:ascii="Arial" w:cs="Arial" w:eastAsia="Arial" w:hAnsi="Arial"/>
                <w:b/>
                <w:bCs/>
                <w:i w:val="false"/>
                <w:iCs w:val="false"/>
                <w:color w:val="FFFFFF"/>
                <w:sz w:val="24"/>
                <w:szCs w:val="24"/>
              </w:rPr>
              <w:t xml:space="preserve">Semaines 19–20</w:t>
            </w:r>
          </w:p>
        </w:tc>
        <w:tc>
          <w:tcPr>
            <w:tcW w:type="dxa" w:w="4513"/>
            <w:tcBorders>
              <w:top w:val="single" w:color="922B21" w:sz="3"/>
              <w:left w:val="single" w:color="922B21" w:sz="3"/>
              <w:bottom w:val="single" w:color="922B21" w:sz="3"/>
              <w:right w:val="single" w:color="922B21" w:sz="3"/>
            </w:tcBorders>
            <w:shd w:fill="FDEDEC" w:val="clear"/>
            <w:tcMar>
              <w:top w:type="dxa" w:w="80"/>
              <w:left w:type="dxa" w:w="160"/>
              <w:bottom w:type="dxa" w:w="80"/>
              <w:right w:type="dxa" w:w="160"/>
            </w:tcMar>
          </w:tcPr>
          <w:p>
            <w:pPr>
              <w:jc w:val="right"/>
            </w:pPr>
            <w:r>
              <w:rPr>
                <w:rFonts w:ascii="Arial" w:cs="Arial" w:eastAsia="Arial" w:hAnsi="Arial"/>
                <w:b w:val="false"/>
                <w:bCs w:val="false"/>
                <w:i w:val="false"/>
                <w:iCs w:val="false"/>
                <w:color w:val="4A4A4A"/>
                <w:sz w:val="22"/>
                <w:szCs w:val="22"/>
              </w:rPr>
              <w:t xml:space="preserve">15 – 28 Juillet 2026</w:t>
            </w:r>
          </w:p>
        </w:tc>
      </w:tr>
    </w:tbl>
    <w:p>
      <w:pPr>
        <w:spacing w:before="80"/>
      </w:pPr>
      <w:r>
        <w:t xml:space="preserve"/>
      </w:r>
    </w:p>
    <w:p>
      <w:pPr>
        <w:pBdr>
          <w:left w:val="single" w:color="1D9E75" w:sz="8"/>
        </w:pBdr>
        <w:spacing w:after="50" w:before="140"/>
        <w:ind w:left="300" w:hanging="140"/>
      </w:pPr>
      <w:r>
        <w:rPr>
          <w:rFonts w:ascii="Arial" w:cs="Arial" w:eastAsia="Arial" w:hAnsi="Arial"/>
          <w:b/>
          <w:bCs/>
          <w:i w:val="false"/>
          <w:iCs w:val="false"/>
          <w:color w:val="1D9E75"/>
          <w:sz w:val="22"/>
          <w:szCs w:val="22"/>
        </w:rPr>
        <w:t xml:space="preserve">📚  Ce que j'ai appris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Écriture de tests d'intégration avec pytest-asyncio : test_api.py vérifie chaque endpoint avec une DB de test isolée. test_nlp.py vérifie que l'accuracy reste ≥ 70% à chaque modification du code.</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Rédaction de la documentation technique complète (DOCUMENTATION.md, 2000+ lignes) : m'a obligé à formaliser tous les choix techniques et à les justifier.</w:t>
      </w:r>
    </w:p>
    <w:p>
      <w:pPr>
        <w:pBdr>
          <w:left w:val="single" w:color="1A5276" w:sz="8"/>
        </w:pBdr>
        <w:spacing w:after="50" w:before="140"/>
        <w:ind w:left="300" w:hanging="140"/>
      </w:pPr>
      <w:r>
        <w:rPr>
          <w:rFonts w:ascii="Arial" w:cs="Arial" w:eastAsia="Arial" w:hAnsi="Arial"/>
          <w:b/>
          <w:bCs/>
          <w:i w:val="false"/>
          <w:iCs w:val="false"/>
          <w:color w:val="1A5276"/>
          <w:sz w:val="22"/>
          <w:szCs w:val="22"/>
        </w:rPr>
        <w:t xml:space="preserve">✅  Missions accomplies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Suite de tests complète : test_api.py, test_nlp.py, test_pipeline.py — tous passent (make test : 0 erreur).</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Documentation technique : architecture, flux de données, guide d'installation, commandes Makefile, référence API.</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Workflow 04 Collect Trigger (schedule 12h + webhook manuel) opérationnel : remplace le workflow 01 basique.</w:t>
      </w:r>
    </w:p>
    <w:p>
      <w:pPr>
        <w:pBdr>
          <w:left w:val="single" w:color="B7770D" w:sz="8"/>
        </w:pBdr>
        <w:spacing w:after="50" w:before="140"/>
        <w:ind w:left="300" w:hanging="140"/>
      </w:pPr>
      <w:r>
        <w:rPr>
          <w:rFonts w:ascii="Arial" w:cs="Arial" w:eastAsia="Arial" w:hAnsi="Arial"/>
          <w:b/>
          <w:bCs/>
          <w:i w:val="false"/>
          <w:iCs w:val="false"/>
          <w:color w:val="B7770D"/>
          <w:sz w:val="22"/>
          <w:szCs w:val="22"/>
        </w:rPr>
        <w:t xml:space="preserve">🎯  Compétences mobilisées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Documentation technique orientée utilisateur : écrire pour quelqu'un qui reprend le projet sans connaissance préalable.</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Pensée systémique : chaque modification doit être testée de bout en bout (collecte → DB → API → dashboard).</w:t>
      </w:r>
    </w:p>
    <w:p>
      <w:r>
        <w:br w:type="page"/>
      </w:r>
    </w:p>
    <w:p>
      <w:pPr>
        <w:pStyle w:val="Heading1"/>
        <w:pBdr>
          <w:bottom w:val="single" w:color="0F6E56" w:sz="6"/>
        </w:pBdr>
        <w:shd w:fill="1D9E75" w:val="clear"/>
        <w:spacing w:after="120" w:before="300"/>
        <w:ind w:left="200"/>
      </w:pPr>
      <w:r>
        <w:rPr>
          <w:rFonts w:ascii="Arial" w:cs="Arial" w:eastAsia="Arial" w:hAnsi="Arial"/>
          <w:b/>
          <w:bCs/>
          <w:i w:val="false"/>
          <w:iCs w:val="false"/>
          <w:color w:val="FFFFFF"/>
          <w:sz w:val="32"/>
          <w:szCs w:val="32"/>
        </w:rPr>
        <w:t xml:space="preserve">MOIS 6 — Août 2026   |   Tests, Optimisation &amp; Soutenance</w:t>
      </w:r>
    </w:p>
    <w:p>
      <w:pPr>
        <w:spacing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4A4A4A" w:sz="3"/>
              <w:left w:val="single" w:color="4A4A4A" w:sz="3"/>
              <w:bottom w:val="single" w:color="4A4A4A" w:sz="3"/>
              <w:right w:val="single" w:color="4A4A4A" w:sz="3"/>
            </w:tcBorders>
            <w:shd w:fill="4A4A4A" w:val="clear"/>
            <w:tcMar>
              <w:top w:type="dxa" w:w="80"/>
              <w:left w:type="dxa" w:w="160"/>
              <w:bottom w:type="dxa" w:w="80"/>
              <w:right w:type="dxa" w:w="160"/>
            </w:tcMar>
          </w:tcPr>
          <w:p>
            <w:pPr>
              <w:jc w:val="left"/>
            </w:pPr>
            <w:r>
              <w:rPr>
                <w:rFonts w:ascii="Arial" w:cs="Arial" w:eastAsia="Arial" w:hAnsi="Arial"/>
                <w:b/>
                <w:bCs/>
                <w:i w:val="false"/>
                <w:iCs w:val="false"/>
                <w:color w:val="FFFFFF"/>
                <w:sz w:val="24"/>
                <w:szCs w:val="24"/>
              </w:rPr>
              <w:t xml:space="preserve">Semaines 21–22</w:t>
            </w:r>
          </w:p>
        </w:tc>
        <w:tc>
          <w:tcPr>
            <w:tcW w:type="dxa" w:w="4513"/>
            <w:tcBorders>
              <w:top w:val="single" w:color="4A4A4A" w:sz="3"/>
              <w:left w:val="single" w:color="4A4A4A" w:sz="3"/>
              <w:bottom w:val="single" w:color="4A4A4A" w:sz="3"/>
              <w:right w:val="single" w:color="4A4A4A" w:sz="3"/>
            </w:tcBorders>
            <w:shd w:fill="F4F6F6" w:val="clear"/>
            <w:tcMar>
              <w:top w:type="dxa" w:w="80"/>
              <w:left w:type="dxa" w:w="160"/>
              <w:bottom w:type="dxa" w:w="80"/>
              <w:right w:type="dxa" w:w="160"/>
            </w:tcMar>
          </w:tcPr>
          <w:p>
            <w:pPr>
              <w:jc w:val="right"/>
            </w:pPr>
            <w:r>
              <w:rPr>
                <w:rFonts w:ascii="Arial" w:cs="Arial" w:eastAsia="Arial" w:hAnsi="Arial"/>
                <w:b w:val="false"/>
                <w:bCs w:val="false"/>
                <w:i w:val="false"/>
                <w:iCs w:val="false"/>
                <w:color w:val="4A4A4A"/>
                <w:sz w:val="22"/>
                <w:szCs w:val="22"/>
              </w:rPr>
              <w:t xml:space="preserve">3 – 16 Août 2026</w:t>
            </w:r>
          </w:p>
        </w:tc>
      </w:tr>
    </w:tbl>
    <w:p>
      <w:pPr>
        <w:spacing w:before="80"/>
      </w:pPr>
      <w:r>
        <w:t xml:space="preserve"/>
      </w:r>
    </w:p>
    <w:p>
      <w:pPr>
        <w:pBdr>
          <w:left w:val="single" w:color="1D9E75" w:sz="8"/>
        </w:pBdr>
        <w:spacing w:after="50" w:before="140"/>
        <w:ind w:left="300" w:hanging="140"/>
      </w:pPr>
      <w:r>
        <w:rPr>
          <w:rFonts w:ascii="Arial" w:cs="Arial" w:eastAsia="Arial" w:hAnsi="Arial"/>
          <w:b/>
          <w:bCs/>
          <w:i w:val="false"/>
          <w:iCs w:val="false"/>
          <w:color w:val="1D9E75"/>
          <w:sz w:val="22"/>
          <w:szCs w:val="22"/>
        </w:rPr>
        <w:t xml:space="preserve">📚  Ce que j'ai appris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Optimisation des performances PostgreSQL : ajout d'index manquants sur (country, sector_label, priority_score DESC) — les requêtes Metabase passent de 800ms à 45ms.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Structuration d'une présentation technique pour un jury mixte (profils techniques et business) : adapter le niveau de détail selon l'audience.</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Rédaction du rapport de stage en LaTeX avec TikZ pour les diagrammes — premier contact avec la composition typographique professionnelle.</w:t>
      </w:r>
    </w:p>
    <w:p>
      <w:pPr>
        <w:pBdr>
          <w:left w:val="single" w:color="1A5276" w:sz="8"/>
        </w:pBdr>
        <w:spacing w:after="50" w:before="140"/>
        <w:ind w:left="300" w:hanging="140"/>
      </w:pPr>
      <w:r>
        <w:rPr>
          <w:rFonts w:ascii="Arial" w:cs="Arial" w:eastAsia="Arial" w:hAnsi="Arial"/>
          <w:b/>
          <w:bCs/>
          <w:i w:val="false"/>
          <w:iCs w:val="false"/>
          <w:color w:val="1A5276"/>
          <w:sz w:val="22"/>
          <w:szCs w:val="22"/>
        </w:rPr>
        <w:t xml:space="preserve">✅  Missions accomplies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Optimisation finale du pipeline : latence upsert + scoring réduite de 120ms à 50ms (requêtes SQL refactorisées).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Rapport de stage LaTeX complet : 37 pages avec diagrammes TikZ, graphiques pgfplots, matrice de confusion NLP.</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Rapport de présentation finale prêt : architecture, résultats (815 prospects, 75% accuracy NLP, 1–3s LLM), démo live.</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815 prospects qualifiés en base au 2 août 2026 — dont 158 avec un score ≥ 80 (priorité haute).</w:t>
      </w:r>
    </w:p>
    <w:p>
      <w:pPr>
        <w:pBdr>
          <w:left w:val="single" w:color="B7770D" w:sz="8"/>
        </w:pBdr>
        <w:spacing w:after="50" w:before="140"/>
        <w:ind w:left="300" w:hanging="140"/>
      </w:pPr>
      <w:r>
        <w:rPr>
          <w:rFonts w:ascii="Arial" w:cs="Arial" w:eastAsia="Arial" w:hAnsi="Arial"/>
          <w:b/>
          <w:bCs/>
          <w:i w:val="false"/>
          <w:iCs w:val="false"/>
          <w:color w:val="B7770D"/>
          <w:sz w:val="22"/>
          <w:szCs w:val="22"/>
        </w:rPr>
        <w:t xml:space="preserve">🎯  Organisation</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Les 3 dernières semaines ont été planifiées en mode freeze : aucune nouvelle fonctionnalité, uniquement tests, corrections et documentation.</w:t>
      </w:r>
    </w:p>
    <w:p>
      <w:pPr>
        <w:pBdr>
          <w:bottom w:val="single" w:color="E0E0E0" w:sz="2"/>
        </w:pBd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4A4A4A" w:sz="3"/>
              <w:left w:val="single" w:color="4A4A4A" w:sz="3"/>
              <w:bottom w:val="single" w:color="4A4A4A" w:sz="3"/>
              <w:right w:val="single" w:color="4A4A4A" w:sz="3"/>
            </w:tcBorders>
            <w:shd w:fill="4A4A4A" w:val="clear"/>
            <w:tcMar>
              <w:top w:type="dxa" w:w="80"/>
              <w:left w:type="dxa" w:w="160"/>
              <w:bottom w:type="dxa" w:w="80"/>
              <w:right w:type="dxa" w:w="160"/>
            </w:tcMar>
          </w:tcPr>
          <w:p>
            <w:pPr>
              <w:jc w:val="left"/>
            </w:pPr>
            <w:r>
              <w:rPr>
                <w:rFonts w:ascii="Arial" w:cs="Arial" w:eastAsia="Arial" w:hAnsi="Arial"/>
                <w:b/>
                <w:bCs/>
                <w:i w:val="false"/>
                <w:iCs w:val="false"/>
                <w:color w:val="FFFFFF"/>
                <w:sz w:val="24"/>
                <w:szCs w:val="24"/>
              </w:rPr>
              <w:t xml:space="preserve">Semaines 23–24</w:t>
            </w:r>
          </w:p>
        </w:tc>
        <w:tc>
          <w:tcPr>
            <w:tcW w:type="dxa" w:w="4513"/>
            <w:tcBorders>
              <w:top w:val="single" w:color="4A4A4A" w:sz="3"/>
              <w:left w:val="single" w:color="4A4A4A" w:sz="3"/>
              <w:bottom w:val="single" w:color="4A4A4A" w:sz="3"/>
              <w:right w:val="single" w:color="4A4A4A" w:sz="3"/>
            </w:tcBorders>
            <w:shd w:fill="F4F6F6" w:val="clear"/>
            <w:tcMar>
              <w:top w:type="dxa" w:w="80"/>
              <w:left w:type="dxa" w:w="160"/>
              <w:bottom w:type="dxa" w:w="80"/>
              <w:right w:type="dxa" w:w="160"/>
            </w:tcMar>
          </w:tcPr>
          <w:p>
            <w:pPr>
              <w:jc w:val="right"/>
            </w:pPr>
            <w:r>
              <w:rPr>
                <w:rFonts w:ascii="Arial" w:cs="Arial" w:eastAsia="Arial" w:hAnsi="Arial"/>
                <w:b w:val="false"/>
                <w:bCs w:val="false"/>
                <w:i w:val="false"/>
                <w:iCs w:val="false"/>
                <w:color w:val="4A4A4A"/>
                <w:sz w:val="22"/>
                <w:szCs w:val="22"/>
              </w:rPr>
              <w:t xml:space="preserve">17 – 30 Août 2026</w:t>
            </w:r>
          </w:p>
        </w:tc>
      </w:tr>
    </w:tbl>
    <w:p>
      <w:pPr>
        <w:spacing w:before="80"/>
      </w:pPr>
      <w:r>
        <w:t xml:space="preserve"/>
      </w:r>
    </w:p>
    <w:p>
      <w:pPr>
        <w:pBdr>
          <w:left w:val="single" w:color="1D9E75" w:sz="8"/>
        </w:pBdr>
        <w:spacing w:after="50" w:before="140"/>
        <w:ind w:left="300" w:hanging="140"/>
      </w:pPr>
      <w:r>
        <w:rPr>
          <w:rFonts w:ascii="Arial" w:cs="Arial" w:eastAsia="Arial" w:hAnsi="Arial"/>
          <w:b/>
          <w:bCs/>
          <w:i w:val="false"/>
          <w:iCs w:val="false"/>
          <w:color w:val="1D9E75"/>
          <w:sz w:val="22"/>
          <w:szCs w:val="22"/>
        </w:rPr>
        <w:t xml:space="preserve">📚  Ce que j'ai appris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Préparation à la soutenance : répétition du workflow démo 8× chrono — la fluidité de la démonstration technique est aussi importante que le contenu du rapport.</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Rédaction de ce journal de bord complet : l'exercice de rétrospective m'a permis de prendre conscience de l'évolution de mes compétences sur 6 mois.</w:t>
      </w:r>
    </w:p>
    <w:p>
      <w:pPr>
        <w:pBdr>
          <w:left w:val="single" w:color="1A5276" w:sz="8"/>
        </w:pBdr>
        <w:spacing w:after="50" w:before="140"/>
        <w:ind w:left="300" w:hanging="140"/>
      </w:pPr>
      <w:r>
        <w:rPr>
          <w:rFonts w:ascii="Arial" w:cs="Arial" w:eastAsia="Arial" w:hAnsi="Arial"/>
          <w:b/>
          <w:bCs/>
          <w:i w:val="false"/>
          <w:iCs w:val="false"/>
          <w:color w:val="1A5276"/>
          <w:sz w:val="22"/>
          <w:szCs w:val="22"/>
        </w:rPr>
        <w:t xml:space="preserve">✅  Missions accomplies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Démo soutenance validée : 8 secondes de bout en bout, 0 erreur sur 15 répétitions consécutives.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Présentation des résultats à l'équipe commerciale Solvinya : 158 prospects haute priorité identifiés, taux de conversion estimé 2–5%.</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Transmission du projet à l'équipe technique : guide d'installation, variables d'environnement, procédures de 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4"/>
              <w:left w:val="single" w:color="1D9E75" w:sz="12"/>
              <w:bottom w:val="single" w:color="1D9E75" w:sz="4"/>
              <w:right w:val="single" w:color="1D9E75" w:sz="4"/>
            </w:tcBorders>
            <w:shd w:fill="E1F5EE" w:val="clear"/>
            <w:tcMar>
              <w:top w:type="dxa" w:w="100"/>
              <w:left w:type="dxa" w:w="200"/>
              <w:bottom w:type="dxa" w:w="100"/>
              <w:right w:type="dxa" w:w="200"/>
            </w:tcMar>
          </w:tcPr>
          <w:p>
            <w:pPr>
              <w:spacing w:after="20" w:before="20"/>
            </w:pPr>
            <w:r>
              <w:rPr>
                <w:rFonts w:ascii="Arial" w:cs="Arial" w:eastAsia="Arial" w:hAnsi="Arial"/>
                <w:b/>
                <w:bCs/>
                <w:i w:val="false"/>
                <w:iCs w:val="false"/>
                <w:color w:val="1D9E75"/>
                <w:sz w:val="22"/>
                <w:szCs w:val="22"/>
              </w:rPr>
              <w:t xml:space="preserve">💡 Bilan personnel :  </w:t>
            </w:r>
            <w:r>
              <w:rPr>
                <w:rFonts w:ascii="Arial" w:cs="Arial" w:eastAsia="Arial" w:hAnsi="Arial"/>
                <w:b w:val="false"/>
                <w:bCs w:val="false"/>
                <w:i w:val="false"/>
                <w:iCs w:val="false"/>
                <w:color w:val="1C1C1C"/>
                <w:sz w:val="22"/>
                <w:szCs w:val="22"/>
              </w:rPr>
              <w:t xml:space="preserve">En 6 mois, je suis passé de stagiaire qui confondait async et sync à ingénieur capable de concevoir un système de production bout-en-bout. Le projet m'a appris autant sur la rigueur technique que sur la communication des résultats à des profils non-techniques.</w:t>
            </w:r>
          </w:p>
        </w:tc>
      </w:tr>
    </w:tbl>
    <w:p>
      <w:r>
        <w:br w:type="page"/>
      </w:r>
    </w:p>
    <w:p>
      <w:pPr>
        <w:pStyle w:val="Heading1"/>
        <w:pBdr>
          <w:bottom w:val="single" w:color="0F6E56" w:sz="6"/>
        </w:pBdr>
        <w:shd w:fill="1D9E75" w:val="clear"/>
        <w:spacing w:after="120" w:before="300"/>
        <w:ind w:left="200"/>
      </w:pPr>
      <w:r>
        <w:rPr>
          <w:rFonts w:ascii="Arial" w:cs="Arial" w:eastAsia="Arial" w:hAnsi="Arial"/>
          <w:b/>
          <w:bCs/>
          <w:i w:val="false"/>
          <w:iCs w:val="false"/>
          <w:color w:val="FFFFFF"/>
          <w:sz w:val="32"/>
          <w:szCs w:val="32"/>
        </w:rPr>
        <w:t xml:space="preserve">BILAN FINAL — Compétences &amp; Apprentissages</w:t>
      </w:r>
    </w:p>
    <w:p>
      <w:pPr>
        <w:spacing w:before="60"/>
      </w:pPr>
      <w:r>
        <w:t xml:space="preserve"/>
      </w:r>
    </w:p>
    <w:p>
      <w:pPr>
        <w:pStyle w:val="Heading2"/>
        <w:pBdr>
          <w:bottom w:val="single" w:color="1D9E75" w:sz="2"/>
        </w:pBdr>
        <w:spacing w:after="80" w:before="200"/>
      </w:pPr>
      <w:r>
        <w:rPr>
          <w:rFonts w:ascii="Arial" w:cs="Arial" w:eastAsia="Arial" w:hAnsi="Arial"/>
          <w:b/>
          <w:bCs/>
          <w:i w:val="false"/>
          <w:iCs w:val="false"/>
          <w:color w:val="1D9E75"/>
          <w:sz w:val="26"/>
          <w:szCs w:val="26"/>
        </w:rPr>
        <w:t xml:space="preserve">Compétences techniques acquises</w:t>
      </w:r>
    </w:p>
    <w:p>
      <w:pPr>
        <w:pStyle w:val="ListParagraph"/>
        <w:numPr>
          <w:ilvl w:val="0"/>
          <w:numId w:val="2"/>
        </w:numPr>
        <w:spacing w:after="30" w:before="30"/>
      </w:pPr>
      <w:r>
        <w:rPr>
          <w:rFonts w:ascii="Arial" w:cs="Arial" w:eastAsia="Arial" w:hAnsi="Arial"/>
          <w:b/>
          <w:bCs/>
          <w:i w:val="false"/>
          <w:iCs w:val="false"/>
          <w:color w:val="1D9E75"/>
          <w:sz w:val="22"/>
          <w:szCs w:val="22"/>
        </w:rPr>
        <w:t xml:space="preserve">🐍 </w:t>
      </w:r>
      <w:r>
        <w:rPr>
          <w:rFonts w:ascii="Arial" w:cs="Arial" w:eastAsia="Arial" w:hAnsi="Arial"/>
          <w:b w:val="false"/>
          <w:bCs w:val="false"/>
          <w:i w:val="false"/>
          <w:iCs w:val="false"/>
          <w:color w:val="1C1C1C"/>
          <w:sz w:val="22"/>
          <w:szCs w:val="22"/>
        </w:rPr>
        <w:t xml:space="preserve">Python async (asyncio, httpx, asyncpg) — de débutant à pratique quotidienne</w:t>
      </w:r>
    </w:p>
    <w:p>
      <w:pPr>
        <w:pStyle w:val="ListParagraph"/>
        <w:numPr>
          <w:ilvl w:val="0"/>
          <w:numId w:val="2"/>
        </w:numPr>
        <w:spacing w:after="30" w:before="30"/>
      </w:pPr>
      <w:r>
        <w:rPr>
          <w:rFonts w:ascii="Arial" w:cs="Arial" w:eastAsia="Arial" w:hAnsi="Arial"/>
          <w:b/>
          <w:bCs/>
          <w:i w:val="false"/>
          <w:iCs w:val="false"/>
          <w:color w:val="1D9E75"/>
          <w:sz w:val="22"/>
          <w:szCs w:val="22"/>
        </w:rPr>
        <w:t xml:space="preserve">⚡ </w:t>
      </w:r>
      <w:r>
        <w:rPr>
          <w:rFonts w:ascii="Arial" w:cs="Arial" w:eastAsia="Arial" w:hAnsi="Arial"/>
          <w:b w:val="false"/>
          <w:bCs w:val="false"/>
          <w:i w:val="false"/>
          <w:iCs w:val="false"/>
          <w:color w:val="1C1C1C"/>
          <w:sz w:val="22"/>
          <w:szCs w:val="22"/>
        </w:rPr>
        <w:t xml:space="preserve">FastAPI, Pydantic, architecture REST — conception et déploiement d'une API de production</w:t>
      </w:r>
    </w:p>
    <w:p>
      <w:pPr>
        <w:pStyle w:val="ListParagraph"/>
        <w:numPr>
          <w:ilvl w:val="0"/>
          <w:numId w:val="2"/>
        </w:numPr>
        <w:spacing w:after="30" w:before="30"/>
      </w:pPr>
      <w:r>
        <w:rPr>
          <w:rFonts w:ascii="Arial" w:cs="Arial" w:eastAsia="Arial" w:hAnsi="Arial"/>
          <w:b/>
          <w:bCs/>
          <w:i w:val="false"/>
          <w:iCs w:val="false"/>
          <w:color w:val="1D9E75"/>
          <w:sz w:val="22"/>
          <w:szCs w:val="22"/>
        </w:rPr>
        <w:t xml:space="preserve">🗄️ </w:t>
      </w:r>
      <w:r>
        <w:rPr>
          <w:rFonts w:ascii="Arial" w:cs="Arial" w:eastAsia="Arial" w:hAnsi="Arial"/>
          <w:b w:val="false"/>
          <w:bCs w:val="false"/>
          <w:i w:val="false"/>
          <w:iCs w:val="false"/>
          <w:color w:val="1C1C1C"/>
          <w:sz w:val="22"/>
          <w:szCs w:val="22"/>
        </w:rPr>
        <w:t xml:space="preserve">PostgreSQL — modélisation, optimisation des index, requêtes complexes (JSONB, tableaux)</w:t>
      </w:r>
    </w:p>
    <w:p>
      <w:pPr>
        <w:pStyle w:val="ListParagraph"/>
        <w:numPr>
          <w:ilvl w:val="0"/>
          <w:numId w:val="2"/>
        </w:numPr>
        <w:spacing w:after="30" w:before="30"/>
      </w:pPr>
      <w:r>
        <w:rPr>
          <w:rFonts w:ascii="Arial" w:cs="Arial" w:eastAsia="Arial" w:hAnsi="Arial"/>
          <w:b/>
          <w:bCs/>
          <w:i w:val="false"/>
          <w:iCs w:val="false"/>
          <w:color w:val="1D9E75"/>
          <w:sz w:val="22"/>
          <w:szCs w:val="22"/>
        </w:rPr>
        <w:t xml:space="preserve">🧠 </w:t>
      </w:r>
      <w:r>
        <w:rPr>
          <w:rFonts w:ascii="Arial" w:cs="Arial" w:eastAsia="Arial" w:hAnsi="Arial"/>
          <w:b w:val="false"/>
          <w:bCs w:val="false"/>
          <w:i w:val="false"/>
          <w:iCs w:val="false"/>
          <w:color w:val="1C1C1C"/>
          <w:sz w:val="22"/>
          <w:szCs w:val="22"/>
        </w:rPr>
        <w:t xml:space="preserve">Machine Learning NLP — TF-IDF, LinearSVC, évaluation (CV, confusion matrix, F1)</w:t>
      </w:r>
    </w:p>
    <w:p>
      <w:pPr>
        <w:pStyle w:val="ListParagraph"/>
        <w:numPr>
          <w:ilvl w:val="0"/>
          <w:numId w:val="2"/>
        </w:numPr>
        <w:spacing w:after="30" w:before="30"/>
      </w:pPr>
      <w:r>
        <w:rPr>
          <w:rFonts w:ascii="Arial" w:cs="Arial" w:eastAsia="Arial" w:hAnsi="Arial"/>
          <w:b/>
          <w:bCs/>
          <w:i w:val="false"/>
          <w:iCs w:val="false"/>
          <w:color w:val="1D9E75"/>
          <w:sz w:val="22"/>
          <w:szCs w:val="22"/>
        </w:rPr>
        <w:t xml:space="preserve">🐳 </w:t>
      </w:r>
      <w:r>
        <w:rPr>
          <w:rFonts w:ascii="Arial" w:cs="Arial" w:eastAsia="Arial" w:hAnsi="Arial"/>
          <w:b w:val="false"/>
          <w:bCs w:val="false"/>
          <w:i w:val="false"/>
          <w:iCs w:val="false"/>
          <w:color w:val="1C1C1C"/>
          <w:sz w:val="22"/>
          <w:szCs w:val="22"/>
        </w:rPr>
        <w:t xml:space="preserve">Docker Compose — orchestration multi-services avec healthchecks et volumes persistants</w:t>
      </w:r>
    </w:p>
    <w:p>
      <w:pPr>
        <w:pStyle w:val="ListParagraph"/>
        <w:numPr>
          <w:ilvl w:val="0"/>
          <w:numId w:val="2"/>
        </w:numPr>
        <w:spacing w:after="30" w:before="30"/>
      </w:pPr>
      <w:r>
        <w:rPr>
          <w:rFonts w:ascii="Arial" w:cs="Arial" w:eastAsia="Arial" w:hAnsi="Arial"/>
          <w:b/>
          <w:bCs/>
          <w:i w:val="false"/>
          <w:iCs w:val="false"/>
          <w:color w:val="1D9E75"/>
          <w:sz w:val="22"/>
          <w:szCs w:val="22"/>
        </w:rPr>
        <w:t xml:space="preserve">🔄 </w:t>
      </w:r>
      <w:r>
        <w:rPr>
          <w:rFonts w:ascii="Arial" w:cs="Arial" w:eastAsia="Arial" w:hAnsi="Arial"/>
          <w:b w:val="false"/>
          <w:bCs w:val="false"/>
          <w:i w:val="false"/>
          <w:iCs w:val="false"/>
          <w:color w:val="1C1C1C"/>
          <w:sz w:val="22"/>
          <w:szCs w:val="22"/>
        </w:rPr>
        <w:t xml:space="preserve">n8n — conception de workflows d'automatisation visuels et débogage</w:t>
      </w:r>
    </w:p>
    <w:p>
      <w:pPr>
        <w:pStyle w:val="ListParagraph"/>
        <w:numPr>
          <w:ilvl w:val="0"/>
          <w:numId w:val="2"/>
        </w:numPr>
        <w:spacing w:after="30" w:before="30"/>
      </w:pPr>
      <w:r>
        <w:rPr>
          <w:rFonts w:ascii="Arial" w:cs="Arial" w:eastAsia="Arial" w:hAnsi="Arial"/>
          <w:b/>
          <w:bCs/>
          <w:i w:val="false"/>
          <w:iCs w:val="false"/>
          <w:color w:val="1D9E75"/>
          <w:sz w:val="22"/>
          <w:szCs w:val="22"/>
        </w:rPr>
        <w:t xml:space="preserve">🕸️ </w:t>
      </w:r>
      <w:r>
        <w:rPr>
          <w:rFonts w:ascii="Arial" w:cs="Arial" w:eastAsia="Arial" w:hAnsi="Arial"/>
          <w:b w:val="false"/>
          <w:bCs w:val="false"/>
          <w:i w:val="false"/>
          <w:iCs w:val="false"/>
          <w:color w:val="1C1C1C"/>
          <w:sz w:val="22"/>
          <w:szCs w:val="22"/>
        </w:rPr>
        <w:t xml:space="preserve">Web scraping — stratégies anti-détection, gestion des sessions, circuit breakers</w:t>
      </w:r>
    </w:p>
    <w:p>
      <w:pPr>
        <w:pStyle w:val="ListParagraph"/>
        <w:numPr>
          <w:ilvl w:val="0"/>
          <w:numId w:val="2"/>
        </w:numPr>
        <w:spacing w:after="30" w:before="30"/>
      </w:pPr>
      <w:r>
        <w:rPr>
          <w:rFonts w:ascii="Arial" w:cs="Arial" w:eastAsia="Arial" w:hAnsi="Arial"/>
          <w:b/>
          <w:bCs/>
          <w:i w:val="false"/>
          <w:iCs w:val="false"/>
          <w:color w:val="1D9E75"/>
          <w:sz w:val="22"/>
          <w:szCs w:val="22"/>
        </w:rPr>
        <w:t xml:space="preserve">🤖 </w:t>
      </w:r>
      <w:r>
        <w:rPr>
          <w:rFonts w:ascii="Arial" w:cs="Arial" w:eastAsia="Arial" w:hAnsi="Arial"/>
          <w:b w:val="false"/>
          <w:bCs w:val="false"/>
          <w:i w:val="false"/>
          <w:iCs w:val="false"/>
          <w:color w:val="1C1C1C"/>
          <w:sz w:val="22"/>
          <w:szCs w:val="22"/>
        </w:rPr>
        <w:t xml:space="preserve">Groq API / LLM — prompt engineering en français pour la génération de texte B2B</w:t>
      </w:r>
    </w:p>
    <w:p>
      <w:pPr>
        <w:spacing w:before="80"/>
      </w:pPr>
      <w:r>
        <w:t xml:space="preserve"/>
      </w:r>
    </w:p>
    <w:p>
      <w:pPr>
        <w:pStyle w:val="Heading2"/>
        <w:pBdr>
          <w:bottom w:val="single" w:color="1A5276" w:sz="2"/>
        </w:pBdr>
        <w:spacing w:after="80" w:before="200"/>
      </w:pPr>
      <w:r>
        <w:rPr>
          <w:rFonts w:ascii="Arial" w:cs="Arial" w:eastAsia="Arial" w:hAnsi="Arial"/>
          <w:b/>
          <w:bCs/>
          <w:i w:val="false"/>
          <w:iCs w:val="false"/>
          <w:color w:val="1A5276"/>
          <w:sz w:val="26"/>
          <w:szCs w:val="26"/>
        </w:rPr>
        <w:t xml:space="preserve">Compétences transversales développées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Documentation technique : DOCUMENTATION.md de 2000 lignes, rapport LaTeX 37 pages, journal de bord</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Gestion des blocages techniques : formaliser un échec (Malt.fr) et justifier la décision d'arrêt</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Communication des résultats : présentation à un jury mixte technique/business</w:t>
      </w:r>
    </w:p>
    <w:p>
      <w:pPr>
        <w:pStyle w:val="ListParagraph"/>
        <w:numPr>
          <w:ilvl w:val="0"/>
          <w:numId w:val="2"/>
        </w:numPr>
        <w:spacing w:after="30" w:before="30"/>
      </w:pPr>
      <w:r>
        <w:rPr>
          <w:rFonts w:ascii="Arial" w:cs="Arial" w:eastAsia="Arial" w:hAnsi="Arial"/>
          <w:b w:val="false"/>
          <w:bCs w:val="false"/>
          <w:i w:val="false"/>
          <w:iCs w:val="false"/>
          <w:color w:val="1C1C1C"/>
          <w:sz w:val="22"/>
          <w:szCs w:val="22"/>
        </w:rPr>
        <w:t xml:space="preserve">Autonomie et organisation : gestion de 6 modules en parallèle sur 6 mois</w:t>
      </w:r>
    </w:p>
    <w:p>
      <w:pPr>
        <w:spacing w:before="80"/>
      </w:pPr>
      <w:r>
        <w:t xml:space="preserve"/>
      </w:r>
    </w:p>
    <w:p>
      <w:pPr>
        <w:pStyle w:val="Heading2"/>
        <w:pBdr>
          <w:bottom w:val="single" w:color="B7770D" w:sz="2"/>
        </w:pBdr>
        <w:spacing w:after="80" w:before="200"/>
      </w:pPr>
      <w:r>
        <w:rPr>
          <w:rFonts w:ascii="Arial" w:cs="Arial" w:eastAsia="Arial" w:hAnsi="Arial"/>
          <w:b/>
          <w:bCs/>
          <w:i w:val="false"/>
          <w:iCs w:val="false"/>
          <w:color w:val="B7770D"/>
          <w:sz w:val="26"/>
          <w:szCs w:val="26"/>
        </w:rPr>
        <w:t xml:space="preserve">Résultats chiffrés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D9E75" w:sz="3"/>
              <w:left w:val="single" w:color="1D9E75" w:sz="3"/>
              <w:bottom w:val="single" w:color="1D9E75" w:sz="3"/>
              <w:right w:val="single" w:color="1D9E75" w:sz="3"/>
            </w:tcBorders>
            <w:shd w:fill="1D9E75" w:val="clear"/>
            <w:tcMar>
              <w:top w:type="dxa" w:w="80"/>
              <w:left w:type="dxa" w:w="160"/>
              <w:bottom w:type="dxa" w:w="80"/>
              <w:right w:type="dxa" w:w="160"/>
            </w:tcMar>
          </w:tcPr>
          <w:p>
            <w:r>
              <w:rPr>
                <w:rFonts w:ascii="Arial" w:cs="Arial" w:eastAsia="Arial" w:hAnsi="Arial"/>
                <w:b/>
                <w:bCs/>
                <w:i w:val="false"/>
                <w:iCs w:val="false"/>
                <w:color w:val="FFFFFF"/>
                <w:sz w:val="22"/>
                <w:szCs w:val="22"/>
              </w:rPr>
              <w:t xml:space="preserve">Indicateur</w:t>
            </w:r>
          </w:p>
        </w:tc>
        <w:tc>
          <w:tcPr>
            <w:tcW w:type="dxa" w:w="4513"/>
            <w:tcBorders>
              <w:top w:val="single" w:color="1D9E75" w:sz="3"/>
              <w:left w:val="single" w:color="1D9E75" w:sz="3"/>
              <w:bottom w:val="single" w:color="1D9E75" w:sz="3"/>
              <w:right w:val="single" w:color="1D9E75" w:sz="3"/>
            </w:tcBorders>
            <w:shd w:fill="1D9E75" w:val="clear"/>
            <w:tcMar>
              <w:top w:type="dxa" w:w="80"/>
              <w:left w:type="dxa" w:w="160"/>
              <w:bottom w:type="dxa" w:w="80"/>
              <w:right w:type="dxa" w:w="160"/>
            </w:tcMar>
          </w:tcPr>
          <w:p>
            <w:r>
              <w:rPr>
                <w:rFonts w:ascii="Arial" w:cs="Arial" w:eastAsia="Arial" w:hAnsi="Arial"/>
                <w:b/>
                <w:bCs/>
                <w:i w:val="false"/>
                <w:iCs w:val="false"/>
                <w:color w:val="FFFFFF"/>
                <w:sz w:val="22"/>
                <w:szCs w:val="22"/>
              </w:rPr>
              <w:t xml:space="preserve">Valeur atteinte</w:t>
            </w:r>
          </w:p>
        </w:tc>
      </w:tr>
      <w:tr>
        <w:tc>
          <w:tcPr>
            <w:tcW w:type="dxa" w:w="4513"/>
            <w:tcBorders>
              <w:top w:val="single" w:color="1D9E75" w:sz="3"/>
              <w:left w:val="single" w:color="1D9E75" w:sz="3"/>
              <w:bottom w:val="single" w:color="1D9E75" w:sz="3"/>
              <w:right w:val="single" w:color="1D9E75" w:sz="3"/>
            </w:tcBorders>
            <w:shd w:fill="F4F6F6" w:val="clear"/>
            <w:tcMar>
              <w:top w:type="dxa" w:w="70"/>
              <w:left w:type="dxa" w:w="140"/>
              <w:bottom w:type="dxa" w:w="70"/>
              <w:right w:type="dxa" w:w="140"/>
            </w:tcMar>
          </w:tcPr>
          <w:p>
            <w:r>
              <w:rPr>
                <w:rFonts w:ascii="Arial" w:cs="Arial" w:eastAsia="Arial" w:hAnsi="Arial"/>
                <w:b w:val="false"/>
                <w:bCs w:val="false"/>
                <w:i w:val="false"/>
                <w:iCs w:val="false"/>
                <w:color w:val="1C1C1C"/>
                <w:sz w:val="22"/>
                <w:szCs w:val="22"/>
              </w:rPr>
              <w:t xml:space="preserve">Prospects B2B collectés</w:t>
            </w:r>
          </w:p>
        </w:tc>
        <w:tc>
          <w:tcPr>
            <w:tcW w:type="dxa" w:w="4513"/>
            <w:tcBorders>
              <w:top w:val="single" w:color="1D9E75" w:sz="3"/>
              <w:left w:val="single" w:color="1D9E75" w:sz="3"/>
              <w:bottom w:val="single" w:color="1D9E75" w:sz="3"/>
              <w:right w:val="single" w:color="1D9E75" w:sz="3"/>
            </w:tcBorders>
            <w:shd w:fill="F4F6F6" w:val="clear"/>
            <w:tcMar>
              <w:top w:type="dxa" w:w="70"/>
              <w:left w:type="dxa" w:w="140"/>
              <w:bottom w:type="dxa" w:w="70"/>
              <w:right w:type="dxa" w:w="140"/>
            </w:tcMar>
          </w:tcPr>
          <w:p>
            <w:r>
              <w:rPr>
                <w:rFonts w:ascii="Arial" w:cs="Arial" w:eastAsia="Arial" w:hAnsi="Arial"/>
                <w:b/>
                <w:bCs/>
                <w:i w:val="false"/>
                <w:iCs w:val="false"/>
                <w:color w:val="0F6E56"/>
                <w:sz w:val="22"/>
                <w:szCs w:val="22"/>
              </w:rPr>
              <w:t xml:space="preserve">815 (dont 158 score ≥ 80)</w:t>
            </w:r>
          </w:p>
        </w:tc>
      </w:tr>
      <w:tr>
        <w:tc>
          <w:tcPr>
            <w:tcW w:type="dxa" w:w="4513"/>
            <w:tcBorders>
              <w:top w:val="single" w:color="1D9E75" w:sz="3"/>
              <w:left w:val="single" w:color="1D9E75" w:sz="3"/>
              <w:bottom w:val="single" w:color="1D9E75" w:sz="3"/>
              <w:right w:val="single" w:color="1D9E75" w:sz="3"/>
            </w:tcBorders>
            <w:shd w:fill="FFFFFF" w:val="clear"/>
            <w:tcMar>
              <w:top w:type="dxa" w:w="70"/>
              <w:left w:type="dxa" w:w="140"/>
              <w:bottom w:type="dxa" w:w="70"/>
              <w:right w:type="dxa" w:w="140"/>
            </w:tcMar>
          </w:tcPr>
          <w:p>
            <w:r>
              <w:rPr>
                <w:rFonts w:ascii="Arial" w:cs="Arial" w:eastAsia="Arial" w:hAnsi="Arial"/>
                <w:b w:val="false"/>
                <w:bCs w:val="false"/>
                <w:i w:val="false"/>
                <w:iCs w:val="false"/>
                <w:color w:val="1C1C1C"/>
                <w:sz w:val="22"/>
                <w:szCs w:val="22"/>
              </w:rPr>
              <w:t xml:space="preserve">Sources de données actives</w:t>
            </w:r>
          </w:p>
        </w:tc>
        <w:tc>
          <w:tcPr>
            <w:tcW w:type="dxa" w:w="4513"/>
            <w:tcBorders>
              <w:top w:val="single" w:color="1D9E75" w:sz="3"/>
              <w:left w:val="single" w:color="1D9E75" w:sz="3"/>
              <w:bottom w:val="single" w:color="1D9E75" w:sz="3"/>
              <w:right w:val="single" w:color="1D9E75" w:sz="3"/>
            </w:tcBorders>
            <w:shd w:fill="FFFFFF" w:val="clear"/>
            <w:tcMar>
              <w:top w:type="dxa" w:w="70"/>
              <w:left w:type="dxa" w:w="140"/>
              <w:bottom w:type="dxa" w:w="70"/>
              <w:right w:type="dxa" w:w="140"/>
            </w:tcMar>
          </w:tcPr>
          <w:p>
            <w:r>
              <w:rPr>
                <w:rFonts w:ascii="Arial" w:cs="Arial" w:eastAsia="Arial" w:hAnsi="Arial"/>
                <w:b/>
                <w:bCs/>
                <w:i w:val="false"/>
                <w:iCs w:val="false"/>
                <w:color w:val="0F6E56"/>
                <w:sz w:val="22"/>
                <w:szCs w:val="22"/>
              </w:rPr>
              <w:t xml:space="preserve">4 / 5 (Malt.fr bloqué Cloudflare)</w:t>
            </w:r>
          </w:p>
        </w:tc>
      </w:tr>
      <w:tr>
        <w:tc>
          <w:tcPr>
            <w:tcW w:type="dxa" w:w="4513"/>
            <w:tcBorders>
              <w:top w:val="single" w:color="1D9E75" w:sz="3"/>
              <w:left w:val="single" w:color="1D9E75" w:sz="3"/>
              <w:bottom w:val="single" w:color="1D9E75" w:sz="3"/>
              <w:right w:val="single" w:color="1D9E75" w:sz="3"/>
            </w:tcBorders>
            <w:shd w:fill="F4F6F6" w:val="clear"/>
            <w:tcMar>
              <w:top w:type="dxa" w:w="70"/>
              <w:left w:type="dxa" w:w="140"/>
              <w:bottom w:type="dxa" w:w="70"/>
              <w:right w:type="dxa" w:w="140"/>
            </w:tcMar>
          </w:tcPr>
          <w:p>
            <w:r>
              <w:rPr>
                <w:rFonts w:ascii="Arial" w:cs="Arial" w:eastAsia="Arial" w:hAnsi="Arial"/>
                <w:b w:val="false"/>
                <w:bCs w:val="false"/>
                <w:i w:val="false"/>
                <w:iCs w:val="false"/>
                <w:color w:val="1C1C1C"/>
                <w:sz w:val="22"/>
                <w:szCs w:val="22"/>
              </w:rPr>
              <w:t xml:space="preserve">Pays couverts</w:t>
            </w:r>
          </w:p>
        </w:tc>
        <w:tc>
          <w:tcPr>
            <w:tcW w:type="dxa" w:w="4513"/>
            <w:tcBorders>
              <w:top w:val="single" w:color="1D9E75" w:sz="3"/>
              <w:left w:val="single" w:color="1D9E75" w:sz="3"/>
              <w:bottom w:val="single" w:color="1D9E75" w:sz="3"/>
              <w:right w:val="single" w:color="1D9E75" w:sz="3"/>
            </w:tcBorders>
            <w:shd w:fill="F4F6F6" w:val="clear"/>
            <w:tcMar>
              <w:top w:type="dxa" w:w="70"/>
              <w:left w:type="dxa" w:w="140"/>
              <w:bottom w:type="dxa" w:w="70"/>
              <w:right w:type="dxa" w:w="140"/>
            </w:tcMar>
          </w:tcPr>
          <w:p>
            <w:r>
              <w:rPr>
                <w:rFonts w:ascii="Arial" w:cs="Arial" w:eastAsia="Arial" w:hAnsi="Arial"/>
                <w:b/>
                <w:bCs/>
                <w:i w:val="false"/>
                <w:iCs w:val="false"/>
                <w:color w:val="0F6E56"/>
                <w:sz w:val="22"/>
                <w:szCs w:val="22"/>
              </w:rPr>
              <w:t xml:space="preserve">5 (FR, BE, LU, CH, TN)</w:t>
            </w:r>
          </w:p>
        </w:tc>
      </w:tr>
      <w:tr>
        <w:tc>
          <w:tcPr>
            <w:tcW w:type="dxa" w:w="4513"/>
            <w:tcBorders>
              <w:top w:val="single" w:color="1D9E75" w:sz="3"/>
              <w:left w:val="single" w:color="1D9E75" w:sz="3"/>
              <w:bottom w:val="single" w:color="1D9E75" w:sz="3"/>
              <w:right w:val="single" w:color="1D9E75" w:sz="3"/>
            </w:tcBorders>
            <w:shd w:fill="FFFFFF" w:val="clear"/>
            <w:tcMar>
              <w:top w:type="dxa" w:w="70"/>
              <w:left w:type="dxa" w:w="140"/>
              <w:bottom w:type="dxa" w:w="70"/>
              <w:right w:type="dxa" w:w="140"/>
            </w:tcMar>
          </w:tcPr>
          <w:p>
            <w:r>
              <w:rPr>
                <w:rFonts w:ascii="Arial" w:cs="Arial" w:eastAsia="Arial" w:hAnsi="Arial"/>
                <w:b w:val="false"/>
                <w:bCs w:val="false"/>
                <w:i w:val="false"/>
                <w:iCs w:val="false"/>
                <w:color w:val="1C1C1C"/>
                <w:sz w:val="22"/>
                <w:szCs w:val="22"/>
              </w:rPr>
              <w:t xml:space="preserve">Accuracy NLP — Secteur (CV-5)</w:t>
            </w:r>
          </w:p>
        </w:tc>
        <w:tc>
          <w:tcPr>
            <w:tcW w:type="dxa" w:w="4513"/>
            <w:tcBorders>
              <w:top w:val="single" w:color="1D9E75" w:sz="3"/>
              <w:left w:val="single" w:color="1D9E75" w:sz="3"/>
              <w:bottom w:val="single" w:color="1D9E75" w:sz="3"/>
              <w:right w:val="single" w:color="1D9E75" w:sz="3"/>
            </w:tcBorders>
            <w:shd w:fill="FFFFFF" w:val="clear"/>
            <w:tcMar>
              <w:top w:type="dxa" w:w="70"/>
              <w:left w:type="dxa" w:w="140"/>
              <w:bottom w:type="dxa" w:w="70"/>
              <w:right w:type="dxa" w:w="140"/>
            </w:tcMar>
          </w:tcPr>
          <w:p>
            <w:r>
              <w:rPr>
                <w:rFonts w:ascii="Arial" w:cs="Arial" w:eastAsia="Arial" w:hAnsi="Arial"/>
                <w:b/>
                <w:bCs/>
                <w:i w:val="false"/>
                <w:iCs w:val="false"/>
                <w:color w:val="0F6E56"/>
                <w:sz w:val="22"/>
                <w:szCs w:val="22"/>
              </w:rPr>
              <w:t xml:space="preserve">75.0% ± 4%</w:t>
            </w:r>
          </w:p>
        </w:tc>
      </w:tr>
      <w:tr>
        <w:tc>
          <w:tcPr>
            <w:tcW w:type="dxa" w:w="4513"/>
            <w:tcBorders>
              <w:top w:val="single" w:color="1D9E75" w:sz="3"/>
              <w:left w:val="single" w:color="1D9E75" w:sz="3"/>
              <w:bottom w:val="single" w:color="1D9E75" w:sz="3"/>
              <w:right w:val="single" w:color="1D9E75" w:sz="3"/>
            </w:tcBorders>
            <w:shd w:fill="F4F6F6" w:val="clear"/>
            <w:tcMar>
              <w:top w:type="dxa" w:w="70"/>
              <w:left w:type="dxa" w:w="140"/>
              <w:bottom w:type="dxa" w:w="70"/>
              <w:right w:type="dxa" w:w="140"/>
            </w:tcMar>
          </w:tcPr>
          <w:p>
            <w:r>
              <w:rPr>
                <w:rFonts w:ascii="Arial" w:cs="Arial" w:eastAsia="Arial" w:hAnsi="Arial"/>
                <w:b w:val="false"/>
                <w:bCs w:val="false"/>
                <w:i w:val="false"/>
                <w:iCs w:val="false"/>
                <w:color w:val="1C1C1C"/>
                <w:sz w:val="22"/>
                <w:szCs w:val="22"/>
              </w:rPr>
              <w:t xml:space="preserve">Accuracy NLP — Priorité</w:t>
            </w:r>
          </w:p>
        </w:tc>
        <w:tc>
          <w:tcPr>
            <w:tcW w:type="dxa" w:w="4513"/>
            <w:tcBorders>
              <w:top w:val="single" w:color="1D9E75" w:sz="3"/>
              <w:left w:val="single" w:color="1D9E75" w:sz="3"/>
              <w:bottom w:val="single" w:color="1D9E75" w:sz="3"/>
              <w:right w:val="single" w:color="1D9E75" w:sz="3"/>
            </w:tcBorders>
            <w:shd w:fill="F4F6F6" w:val="clear"/>
            <w:tcMar>
              <w:top w:type="dxa" w:w="70"/>
              <w:left w:type="dxa" w:w="140"/>
              <w:bottom w:type="dxa" w:w="70"/>
              <w:right w:type="dxa" w:w="140"/>
            </w:tcMar>
          </w:tcPr>
          <w:p>
            <w:r>
              <w:rPr>
                <w:rFonts w:ascii="Arial" w:cs="Arial" w:eastAsia="Arial" w:hAnsi="Arial"/>
                <w:b/>
                <w:bCs/>
                <w:i w:val="false"/>
                <w:iCs w:val="false"/>
                <w:color w:val="0F6E56"/>
                <w:sz w:val="22"/>
                <w:szCs w:val="22"/>
              </w:rPr>
              <w:t xml:space="preserve">85%</w:t>
            </w:r>
          </w:p>
        </w:tc>
      </w:tr>
      <w:tr>
        <w:tc>
          <w:tcPr>
            <w:tcW w:type="dxa" w:w="4513"/>
            <w:tcBorders>
              <w:top w:val="single" w:color="1D9E75" w:sz="3"/>
              <w:left w:val="single" w:color="1D9E75" w:sz="3"/>
              <w:bottom w:val="single" w:color="1D9E75" w:sz="3"/>
              <w:right w:val="single" w:color="1D9E75" w:sz="3"/>
            </w:tcBorders>
            <w:shd w:fill="FFFFFF" w:val="clear"/>
            <w:tcMar>
              <w:top w:type="dxa" w:w="70"/>
              <w:left w:type="dxa" w:w="140"/>
              <w:bottom w:type="dxa" w:w="70"/>
              <w:right w:type="dxa" w:w="140"/>
            </w:tcMar>
          </w:tcPr>
          <w:p>
            <w:r>
              <w:rPr>
                <w:rFonts w:ascii="Arial" w:cs="Arial" w:eastAsia="Arial" w:hAnsi="Arial"/>
                <w:b w:val="false"/>
                <w:bCs w:val="false"/>
                <w:i w:val="false"/>
                <w:iCs w:val="false"/>
                <w:color w:val="1C1C1C"/>
                <w:sz w:val="22"/>
                <w:szCs w:val="22"/>
              </w:rPr>
              <w:t xml:space="preserve">Exemples d'entraînement NLP</w:t>
            </w:r>
          </w:p>
        </w:tc>
        <w:tc>
          <w:tcPr>
            <w:tcW w:type="dxa" w:w="4513"/>
            <w:tcBorders>
              <w:top w:val="single" w:color="1D9E75" w:sz="3"/>
              <w:left w:val="single" w:color="1D9E75" w:sz="3"/>
              <w:bottom w:val="single" w:color="1D9E75" w:sz="3"/>
              <w:right w:val="single" w:color="1D9E75" w:sz="3"/>
            </w:tcBorders>
            <w:shd w:fill="FFFFFF" w:val="clear"/>
            <w:tcMar>
              <w:top w:type="dxa" w:w="70"/>
              <w:left w:type="dxa" w:w="140"/>
              <w:bottom w:type="dxa" w:w="70"/>
              <w:right w:type="dxa" w:w="140"/>
            </w:tcMar>
          </w:tcPr>
          <w:p>
            <w:r>
              <w:rPr>
                <w:rFonts w:ascii="Arial" w:cs="Arial" w:eastAsia="Arial" w:hAnsi="Arial"/>
                <w:b/>
                <w:bCs/>
                <w:i w:val="false"/>
                <w:iCs w:val="false"/>
                <w:color w:val="0F6E56"/>
                <w:sz w:val="22"/>
                <w:szCs w:val="22"/>
              </w:rPr>
              <w:t xml:space="preserve">604 exemples labelisés</w:t>
            </w:r>
          </w:p>
        </w:tc>
      </w:tr>
      <w:tr>
        <w:tc>
          <w:tcPr>
            <w:tcW w:type="dxa" w:w="4513"/>
            <w:tcBorders>
              <w:top w:val="single" w:color="1D9E75" w:sz="3"/>
              <w:left w:val="single" w:color="1D9E75" w:sz="3"/>
              <w:bottom w:val="single" w:color="1D9E75" w:sz="3"/>
              <w:right w:val="single" w:color="1D9E75" w:sz="3"/>
            </w:tcBorders>
            <w:shd w:fill="F4F6F6" w:val="clear"/>
            <w:tcMar>
              <w:top w:type="dxa" w:w="70"/>
              <w:left w:type="dxa" w:w="140"/>
              <w:bottom w:type="dxa" w:w="70"/>
              <w:right w:type="dxa" w:w="140"/>
            </w:tcMar>
          </w:tcPr>
          <w:p>
            <w:r>
              <w:rPr>
                <w:rFonts w:ascii="Arial" w:cs="Arial" w:eastAsia="Arial" w:hAnsi="Arial"/>
                <w:b w:val="false"/>
                <w:bCs w:val="false"/>
                <w:i w:val="false"/>
                <w:iCs w:val="false"/>
                <w:color w:val="1C1C1C"/>
                <w:sz w:val="22"/>
                <w:szCs w:val="22"/>
              </w:rPr>
              <w:t xml:space="preserve">Latence pipeline ingest</w:t>
            </w:r>
          </w:p>
        </w:tc>
        <w:tc>
          <w:tcPr>
            <w:tcW w:type="dxa" w:w="4513"/>
            <w:tcBorders>
              <w:top w:val="single" w:color="1D9E75" w:sz="3"/>
              <w:left w:val="single" w:color="1D9E75" w:sz="3"/>
              <w:bottom w:val="single" w:color="1D9E75" w:sz="3"/>
              <w:right w:val="single" w:color="1D9E75" w:sz="3"/>
            </w:tcBorders>
            <w:shd w:fill="F4F6F6" w:val="clear"/>
            <w:tcMar>
              <w:top w:type="dxa" w:w="70"/>
              <w:left w:type="dxa" w:w="140"/>
              <w:bottom w:type="dxa" w:w="70"/>
              <w:right w:type="dxa" w:w="140"/>
            </w:tcMar>
          </w:tcPr>
          <w:p>
            <w:r>
              <w:rPr>
                <w:rFonts w:ascii="Arial" w:cs="Arial" w:eastAsia="Arial" w:hAnsi="Arial"/>
                <w:b/>
                <w:bCs/>
                <w:i w:val="false"/>
                <w:iCs w:val="false"/>
                <w:color w:val="0F6E56"/>
                <w:sz w:val="22"/>
                <w:szCs w:val="22"/>
              </w:rPr>
              <w:t xml:space="preserve">~50ms / prospect</w:t>
            </w:r>
          </w:p>
        </w:tc>
      </w:tr>
      <w:tr>
        <w:tc>
          <w:tcPr>
            <w:tcW w:type="dxa" w:w="4513"/>
            <w:tcBorders>
              <w:top w:val="single" w:color="1D9E75" w:sz="3"/>
              <w:left w:val="single" w:color="1D9E75" w:sz="3"/>
              <w:bottom w:val="single" w:color="1D9E75" w:sz="3"/>
              <w:right w:val="single" w:color="1D9E75" w:sz="3"/>
            </w:tcBorders>
            <w:shd w:fill="FFFFFF" w:val="clear"/>
            <w:tcMar>
              <w:top w:type="dxa" w:w="70"/>
              <w:left w:type="dxa" w:w="140"/>
              <w:bottom w:type="dxa" w:w="70"/>
              <w:right w:type="dxa" w:w="140"/>
            </w:tcMar>
          </w:tcPr>
          <w:p>
            <w:r>
              <w:rPr>
                <w:rFonts w:ascii="Arial" w:cs="Arial" w:eastAsia="Arial" w:hAnsi="Arial"/>
                <w:b w:val="false"/>
                <w:bCs w:val="false"/>
                <w:i w:val="false"/>
                <w:iCs w:val="false"/>
                <w:color w:val="1C1C1C"/>
                <w:sz w:val="22"/>
                <w:szCs w:val="22"/>
              </w:rPr>
              <w:t xml:space="preserve">Latence génération LLM</w:t>
            </w:r>
          </w:p>
        </w:tc>
        <w:tc>
          <w:tcPr>
            <w:tcW w:type="dxa" w:w="4513"/>
            <w:tcBorders>
              <w:top w:val="single" w:color="1D9E75" w:sz="3"/>
              <w:left w:val="single" w:color="1D9E75" w:sz="3"/>
              <w:bottom w:val="single" w:color="1D9E75" w:sz="3"/>
              <w:right w:val="single" w:color="1D9E75" w:sz="3"/>
            </w:tcBorders>
            <w:shd w:fill="FFFFFF" w:val="clear"/>
            <w:tcMar>
              <w:top w:type="dxa" w:w="70"/>
              <w:left w:type="dxa" w:w="140"/>
              <w:bottom w:type="dxa" w:w="70"/>
              <w:right w:type="dxa" w:w="140"/>
            </w:tcMar>
          </w:tcPr>
          <w:p>
            <w:r>
              <w:rPr>
                <w:rFonts w:ascii="Arial" w:cs="Arial" w:eastAsia="Arial" w:hAnsi="Arial"/>
                <w:b/>
                <w:bCs/>
                <w:i w:val="false"/>
                <w:iCs w:val="false"/>
                <w:color w:val="0F6E56"/>
                <w:sz w:val="22"/>
                <w:szCs w:val="22"/>
              </w:rPr>
              <w:t xml:space="preserve">1–3 secondes (Groq)</w:t>
            </w:r>
          </w:p>
        </w:tc>
      </w:tr>
      <w:tr>
        <w:tc>
          <w:tcPr>
            <w:tcW w:type="dxa" w:w="4513"/>
            <w:tcBorders>
              <w:top w:val="single" w:color="1D9E75" w:sz="3"/>
              <w:left w:val="single" w:color="1D9E75" w:sz="3"/>
              <w:bottom w:val="single" w:color="1D9E75" w:sz="3"/>
              <w:right w:val="single" w:color="1D9E75" w:sz="3"/>
            </w:tcBorders>
            <w:shd w:fill="F4F6F6" w:val="clear"/>
            <w:tcMar>
              <w:top w:type="dxa" w:w="70"/>
              <w:left w:type="dxa" w:w="140"/>
              <w:bottom w:type="dxa" w:w="70"/>
              <w:right w:type="dxa" w:w="140"/>
            </w:tcMar>
          </w:tcPr>
          <w:p>
            <w:r>
              <w:rPr>
                <w:rFonts w:ascii="Arial" w:cs="Arial" w:eastAsia="Arial" w:hAnsi="Arial"/>
                <w:b w:val="false"/>
                <w:bCs w:val="false"/>
                <w:i w:val="false"/>
                <w:iCs w:val="false"/>
                <w:color w:val="1C1C1C"/>
                <w:sz w:val="22"/>
                <w:szCs w:val="22"/>
              </w:rPr>
              <w:t xml:space="preserve">Workflows n8n opérationnels</w:t>
            </w:r>
          </w:p>
        </w:tc>
        <w:tc>
          <w:tcPr>
            <w:tcW w:type="dxa" w:w="4513"/>
            <w:tcBorders>
              <w:top w:val="single" w:color="1D9E75" w:sz="3"/>
              <w:left w:val="single" w:color="1D9E75" w:sz="3"/>
              <w:bottom w:val="single" w:color="1D9E75" w:sz="3"/>
              <w:right w:val="single" w:color="1D9E75" w:sz="3"/>
            </w:tcBorders>
            <w:shd w:fill="F4F6F6" w:val="clear"/>
            <w:tcMar>
              <w:top w:type="dxa" w:w="70"/>
              <w:left w:type="dxa" w:w="140"/>
              <w:bottom w:type="dxa" w:w="70"/>
              <w:right w:type="dxa" w:w="140"/>
            </w:tcMar>
          </w:tcPr>
          <w:p>
            <w:r>
              <w:rPr>
                <w:rFonts w:ascii="Arial" w:cs="Arial" w:eastAsia="Arial" w:hAnsi="Arial"/>
                <w:b/>
                <w:bCs/>
                <w:i w:val="false"/>
                <w:iCs w:val="false"/>
                <w:color w:val="0F6E56"/>
                <w:sz w:val="22"/>
                <w:szCs w:val="22"/>
              </w:rPr>
              <w:t xml:space="preserve">4 workflows actifs</w:t>
            </w:r>
          </w:p>
        </w:tc>
      </w:tr>
      <w:tr>
        <w:tc>
          <w:tcPr>
            <w:tcW w:type="dxa" w:w="4513"/>
            <w:tcBorders>
              <w:top w:val="single" w:color="1D9E75" w:sz="3"/>
              <w:left w:val="single" w:color="1D9E75" w:sz="3"/>
              <w:bottom w:val="single" w:color="1D9E75" w:sz="3"/>
              <w:right w:val="single" w:color="1D9E75" w:sz="3"/>
            </w:tcBorders>
            <w:shd w:fill="FFFFFF" w:val="clear"/>
            <w:tcMar>
              <w:top w:type="dxa" w:w="70"/>
              <w:left w:type="dxa" w:w="140"/>
              <w:bottom w:type="dxa" w:w="70"/>
              <w:right w:type="dxa" w:w="140"/>
            </w:tcMar>
          </w:tcPr>
          <w:p>
            <w:r>
              <w:rPr>
                <w:rFonts w:ascii="Arial" w:cs="Arial" w:eastAsia="Arial" w:hAnsi="Arial"/>
                <w:b w:val="false"/>
                <w:bCs w:val="false"/>
                <w:i w:val="false"/>
                <w:iCs w:val="false"/>
                <w:color w:val="1C1C1C"/>
                <w:sz w:val="22"/>
                <w:szCs w:val="22"/>
              </w:rPr>
              <w:t xml:space="preserve">Endpoints API FastAPI</w:t>
            </w:r>
          </w:p>
        </w:tc>
        <w:tc>
          <w:tcPr>
            <w:tcW w:type="dxa" w:w="4513"/>
            <w:tcBorders>
              <w:top w:val="single" w:color="1D9E75" w:sz="3"/>
              <w:left w:val="single" w:color="1D9E75" w:sz="3"/>
              <w:bottom w:val="single" w:color="1D9E75" w:sz="3"/>
              <w:right w:val="single" w:color="1D9E75" w:sz="3"/>
            </w:tcBorders>
            <w:shd w:fill="FFFFFF" w:val="clear"/>
            <w:tcMar>
              <w:top w:type="dxa" w:w="70"/>
              <w:left w:type="dxa" w:w="140"/>
              <w:bottom w:type="dxa" w:w="70"/>
              <w:right w:type="dxa" w:w="140"/>
            </w:tcMar>
          </w:tcPr>
          <w:p>
            <w:r>
              <w:rPr>
                <w:rFonts w:ascii="Arial" w:cs="Arial" w:eastAsia="Arial" w:hAnsi="Arial"/>
                <w:b/>
                <w:bCs/>
                <w:i w:val="false"/>
                <w:iCs w:val="false"/>
                <w:color w:val="0F6E56"/>
                <w:sz w:val="22"/>
                <w:szCs w:val="22"/>
              </w:rPr>
              <w:t xml:space="preserve">8 endpoints documentés</w:t>
            </w:r>
          </w:p>
        </w:tc>
      </w:tr>
    </w:tbl>
    <w:p>
      <w:pPr>
        <w:spacing w:before="200"/>
      </w:pPr>
      <w:r>
        <w:t xml:space="preserve"/>
      </w:r>
    </w:p>
    <w:p>
      <w:pPr>
        <w:spacing w:after="40" w:before="80"/>
      </w:pPr>
      <w:r>
        <w:rPr>
          <w:rFonts w:ascii="Arial" w:cs="Arial" w:eastAsia="Arial" w:hAnsi="Arial"/>
          <w:b/>
          <w:bCs/>
          <w:i/>
          <w:iCs/>
          <w:color w:val="4A4A4A"/>
          <w:sz w:val="26"/>
          <w:szCs w:val="26"/>
        </w:rPr>
        <w:t xml:space="preserve">Mon stage est-il en cohérence avec l'idée que j'avais du métier ?</w:t>
      </w:r>
    </w:p>
    <w:p>
      <w:pPr>
        <w:spacing w:after="60" w:before="40"/>
        <w:ind/>
      </w:pPr>
      <w:r>
        <w:rPr>
          <w:rFonts w:ascii="Arial" w:cs="Arial" w:eastAsia="Arial" w:hAnsi="Arial"/>
          <w:b w:val="false"/>
          <w:bCs w:val="false"/>
          <w:i w:val="false"/>
          <w:iCs w:val="false"/>
          <w:color w:val="1C1C1C"/>
          <w:sz w:val="22"/>
          <w:szCs w:val="22"/>
        </w:rPr>
        <w:t xml:space="preserve">Oui, et même au-delà. Je m'attendais à faire du développement logiciel classique. J'ai finalement conçu un système hybride mêlant ingénierie des données, machine learning, automatisation et stratégie commerciale B2B. La dimension BI — transformer des données brutes en insights actionnables pour un commercial — m'a particulièrement intéressée et confirme que c'est la direction que je veux donner à ma carrière.</w:t>
      </w:r>
    </w:p>
    <w:p>
      <w:pPr>
        <w:spacing w:before="60"/>
      </w:pPr>
      <w:r>
        <w:t xml:space="preserve"/>
      </w:r>
    </w:p>
    <w:p>
      <w:pPr>
        <w:pBdr>
          <w:top w:val="single" w:color="F4F6F6" w:sz="2"/>
        </w:pBdr>
        <w:spacing w:before="200"/>
        <w:jc w:val="center"/>
      </w:pPr>
      <w:r>
        <w:rPr>
          <w:rFonts w:ascii="Arial" w:cs="Arial" w:eastAsia="Arial" w:hAnsi="Arial"/>
          <w:b w:val="false"/>
          <w:bCs w:val="false"/>
          <w:i/>
          <w:iCs/>
          <w:color w:val="4A4A4A"/>
          <w:sz w:val="20"/>
          <w:szCs w:val="20"/>
        </w:rPr>
        <w:t xml:space="preserve">– Fin du journal de bord — LeadGen Francophone 360+ — Solvinya Group — Août 2026</w:t>
      </w:r>
    </w:p>
    <w:sectPr>
      <w:headerReference w:type="default" r:id="rId7"/>
      <w:footerReference w:type="default" r:id="rId8"/>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F6F6" w:sz="2"/>
      </w:pBdr>
      <w:spacing w:before="80"/>
      <w:jc w:val="center"/>
    </w:pPr>
    <w:r>
      <w:rPr>
        <w:rFonts w:ascii="Arial" w:cs="Arial" w:eastAsia="Arial" w:hAnsi="Arial"/>
        <w:b w:val="false"/>
        <w:bCs w:val="false"/>
        <w:i w:val="false"/>
        <w:iCs w:val="false"/>
        <w:color w:val="4A4A4A"/>
        <w:sz w:val="18"/>
        <w:szCs w:val="18"/>
      </w:rPr>
      <w:t xml:space="preserve">Page </w:t>
    </w:r>
    <w:r>
      <w:rPr>
        <w:rFonts w:ascii="Arial" w:cs="Arial" w:eastAsia="Arial" w:hAnsi="Arial"/>
        <w:b w:val="false"/>
        <w:bCs w:val="false"/>
        <w:i w:val="false"/>
        <w:iCs w:val="false"/>
        <w:color w:val="4A4A4A"/>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4A4A4A"/>
        <w:sz w:val="18"/>
        <w:szCs w:val="18"/>
      </w:rPr>
      <w:t xml:space="preserve"> / </w:t>
    </w:r>
    <w:r>
      <w:rPr>
        <w:rFonts w:ascii="Arial" w:cs="Arial" w:eastAsia="Arial" w:hAnsi="Arial"/>
        <w:b w:val="false"/>
        <w:bCs w:val="false"/>
        <w:i w:val="false"/>
        <w:iCs w:val="false"/>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F6F6" w:sz="2"/>
      </w:pBdr>
      <w:tabs>
        <w:tab w:val="right" w:pos="8026"/>
      </w:tabs>
      <w:spacing w:after="120" w:before="0"/>
    </w:pPr>
    <w:r>
      <w:rPr>
        <w:rFonts w:ascii="Arial" w:cs="Arial" w:eastAsia="Arial" w:hAnsi="Arial"/>
        <w:b w:val="false"/>
        <w:bCs w:val="false"/>
        <w:i/>
        <w:iCs/>
        <w:color w:val="4A4A4A"/>
        <w:sz w:val="18"/>
        <w:szCs w:val="18"/>
      </w:rPr>
      <w:t xml:space="preserve">Journal de Bord — LeadGen Francophone 360+</w:t>
    </w:r>
    <w:r>
      <w:rPr>
        <w:rFonts w:ascii="Arial" w:cs="Arial" w:eastAsia="Arial" w:hAnsi="Arial"/>
        <w:b w:val="false"/>
        <w:bCs w:val="false"/>
        <w:i w:val="false"/>
        <w:iCs w:val="false"/>
        <w:color w:val="1C1C1C"/>
        <w:sz w:val="18"/>
        <w:szCs w:val="18"/>
      </w:rPr>
      <w:t xml:space="preserve">		</w:t>
    </w:r>
    <w:r>
      <w:rPr>
        <w:rFonts w:ascii="Arial" w:cs="Arial" w:eastAsia="Arial" w:hAnsi="Arial"/>
        <w:b w:val="false"/>
        <w:bCs w:val="false"/>
        <w:i w:val="false"/>
        <w:iCs w:val="false"/>
        <w:color w:val="4A4A4A"/>
        <w:sz w:val="18"/>
        <w:szCs w:val="18"/>
      </w:rPr>
      <w:t xml:space="preserve">Solvinya Group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D9E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2026-05-06T22:47:46.705Z</dcterms:created>
  <dcterms:modified xsi:type="dcterms:W3CDTF">2026-05-06T22:47:46.720Z</dcterms:modified>
</cp:coreProperties>
</file>

<file path=docProps/custom.xml><?xml version="1.0" encoding="utf-8"?>
<Properties xmlns="http://schemas.openxmlformats.org/officeDocument/2006/custom-properties" xmlns:vt="http://schemas.openxmlformats.org/officeDocument/2006/docPropsVTypes"/>
</file>