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Integral y Estudio de Mercado para Plataformas Avanzadas de Finanzas Personales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Dinámica Macroeconómica y Evolución del Mercado Global de Finanzas Personales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ecosistema global de aplicaciones para la gestión de finanzas personales (PFM, por sus siglas en inglés) se encuentra en una fase de hipercrecimiento, impulsado por una confluencia de factores tecnológicos, demográficos y regulatorios. El tamaño del mercado mundial de software de finanzas personales fue valorado en 1.350 millones de dólares durante el año 2025 y las proyecciones más conservadoras indican una expansión sostenida hacia los 2.570 millones de dólares para el año 2034, experimentando una tasa de crecimiento anual compuesta (CAGR) del 7,60% durante este período de pronóstico.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Paralelamente, estimaciones enfocadas exclusivamente en el sector de aplicaciones móviles financieras proyectan un volumen de mercado aún más expansivo, pasando de 31.110 millones de dólares en 2025 a una asombrosa cifra de 202.000 millones de dólares para el año 2035, impulsado por una CAGR masiva del 20,57%.</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región de América del Norte domina actualmente el panorama con una participación de mercado del 35,3%, fundamentada en una infraestructura tecnológica estándar y altos índices de propiedad de teléfonos inteligentes.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crecimiento exponencial no es simplemente una función pasiva de la digitalización bancaria, sino que responde a un cambio fundamental en el comportamiento y las expectativas del consumidor moderno. Las tendencias macroeconómicas emergentes para los años 2025 y 2026 indican que las herramientas impulsadas por Inteligencia Artificial (IA) generativa han superado la fase de experimentación para convertirse en implementaciones esenciales en el mundo real.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inteligencia artificial facilita desde la categorización automatizada de transacciones hasta la generación de recomendaciones patrimoniales hiper-personalizadas.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Además, la consolidación mundial de las iniciativas de "Banca Abierta" (Open Banking) y las economías basadas en interfaces de programación de aplicaciones (APIs) han difuminado casi por completo la línea divisoria histórica entre las instituciones bancarias tradicionales y las empresas de tecnología financiera ágiles (FinTech).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Los pagos digitales y las billeteras electrónicas se han consolidado como el modo predeterminado de transacción a nivel global, exigiendo que las aplicaciones de seguimiento financiero se adapten a la inmediatez de estos ecosistemas.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contexto específico de los mercados emergentes, particularmente en América Latina, la dinámica de mercado exhibe patrones de adopción masiva que revelan oportunidades lucrativas para nuevas plataformas. Durante el último trimestre de 2025, el rendimiento de las aplicaciones de planificación y presupuesto en esta región demostró una tracción inmensa.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Plataformas como Expense Planner experimentaron aumentos repentinos, alcanzando picos de 190.000 descargas semanales.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Simultáneamente, aplicaciones como Mobills y Splitwise consolidaron su liderazgo en la retención de ingresos recurrentes, generando flujos constantes de hasta 14.700 dólares y 33.400 dólares semanales respectivamente en diversas plataformas.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El análisis de segundo orden de estas métricas sugiere que los usuarios latinoamericanos están dispuestos a transicionar hacia modelos de suscripción paga siempre y cuando la plataforma tecnológica resuelva problemas endémicos específicos, tales como la gestión de liquidez fragmentada, el control de deuda en múltiples cuotas y la consolidación de tarjetas de crédito.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imperativo estratégico para el desarrollo de una nueva Aplicación Web y Móvil integral radica en comprender que las plataformas modernas deben abandonar el paradigma obsoleto de ser meros "espejos retrovisores". Los usuarios ya no buscan simplemente un registro de dónde gastaron su dinero la semana pasada; exigen "navegadores predictivos" capaces de modelar escenarios futuros, advertir sobre déficits inminentes y modificar el comportamiento de gasto en tiempo real. La arquitectura de cualquier nueva aplicación que aspire a dominar el mercado debe construirse sobre esta premisa fundamental, integrando la máxima simplicidad transaccional para el uso diario con la sofisticación matemática requerida para la planificación patrimonial a largo plazo.</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Análisis Estructural y Arquitectura de la Plataforma Base: Bluecoins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establecer los cimientos funcionales de una nueva aplicación integral, es imperativo realizar una disección técnica profunda de Bluecoins, identificada como la principal plataforma de referencia para este desarrollo. Bluecoins ha construido una reputación formidable en el ecosistema Android e iOS, posicionándose como una herramienta indispensable para el usuario que requiere principios contables rigurosos desde la palma de su mano.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Su diseño no subestima la inteligencia del usuario; por el contrario, expone métricas de análisis empresarial adaptadas a las finanzas personales.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Arquitectura de Almacenamiento, Sincronización e Importación de Datos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diferencia de la gran mayoría de las aplicaciones contemporáneas que dependen exclusivamente de una infraestructura nativa en la nube (cloud-native) y requieren conexión constante a internet, Bluecoins implementa una arquitectura orientada al almacenamiento local persistente ("offline-first").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Esta decisión arquitectónica garantiza que el registro de transacciones ocurra con una latencia prácticamente nula, independientemente de la conectividad del dispositivo.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Para resolver el desafío de la disponibilidad de datos en múltiples dispositivos, la plataforma utiliza un sistema de sincronización cifrada a través de proveedores de almacenamiento en la nube propiedad del usuario, específicamente Google Drive y Dropbox.</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Esta metodología de respaldo no solo otorga al usuario el control absoluto sobre la ubicación de sus datos financieros, mitigando preocupaciones de privacidad, sino que también facilita la co-gestión financiera al permitir que familiares sincronicen dispositivos contra el mismo repositorio en la nube.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la ingestión de datos, la plataforma aborda la fricción de la entrada manual mediante múltiples vías algorítmicas. Bluecoins posee la capacidad nativa de interceptar y analizar notificaciones push y mensajes SMS provenientes de instituciones bancarias locales, extrayendo el monto, la fecha y el beneficiario para crear registros de gastos preliminares sin intervención humana.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 escenarios de migraciones de datos masivas o uso de plataformas bancarias heredadas, Bluecoins soporta la importación robusta del formato QIF (Quicken Interchange Format), un estándar abierto esencial para la interoperabilidad de datos financieros, además de archivos CSV estándar.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Rigor Contable, Informes Avanzados y Modelado Predictivo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factor diferenciador más potente de Bluecoins reside en la profundidad académica de sus estados financieros y su apego a los principios de contabilidad de partida doble. La aplicación implementa módulos que típicamente se encuentran en sistemas de planificación de recursos empresariales (ERP). El componente central es el Balance General (Balance Sheet), el cual no se limita a mostrar saldos de cuentas corrientes.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Este módulo calcula el patrimonio neto real del usuario al listar meticulosamente todas las cuentas organizadas categóricamente por activos y pasivos (</w:t>
      </w:r>
      <w:r w:rsidDel="00000000" w:rsidR="00000000" w:rsidRPr="00000000">
        <w:rPr>
          <w:rFonts w:ascii="Google Sans" w:cs="Google Sans" w:eastAsia="Google Sans" w:hAnsi="Google Sans"/>
          <w:color w:val="1f1f1f"/>
        </w:rPr>
        <w:drawing>
          <wp:inline distB="19050" distT="19050" distL="19050" distR="19050">
            <wp:extent cx="3592763" cy="23581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92763" cy="2358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Además, clasifica los activos por liquidez, permitiendo al usuario distinguir entre efectivo disponible y activos fijos.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poder analítico de la plataforma se expande significativamente mediante sus capacidades de proyecciones futuras y escenarios hipotéticos ("What-If" Scenarios).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través de la función de pronóstico integrada directamente en el balance general, el motor de la aplicación cruza el saldo actual de las cuentas líquidas con la programación de recordatorios de pago futuros y transferencias planificadas.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Esto genera una curva visual de liquidez proyectada en el tiempo, empoderando al usuario para visualizar con semanas de anticipación si una cuenta específica caerá en saldo negativo, permitiendo transferencias preventivas.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Adicionalmente, Bluecoins ofrece herramientas de análisis de rendimiento profundo, como el seguimiento de la Tasa de Ejecución (Run Rate Tracking), la planificación de activos de capital, estados de pérdidas y ganancias consolidados, y la gestión de presupuestos por proyectos.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La capacidad de exportar instantáneamente toda esta inteligencia financiera a formatos Excel (CSV), PDF y HTML, con soporte directo para impresión inalámbrica, consolida su posición como una herramienta híbrida entre el control personal y la contabilidad de pequeñas empresas.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Gestión Multidivisa Avanzada y Activos Alternativos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Reconociendo la naturaleza globalizada de las finanzas modernas, Bluecoins ha desarrollado un ecosistema multidivisa que supera las implementaciones superficiales de sus competidores.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aplicación permite la creación de cuentas en diferentes monedas fiduciarias, descargando automáticamente las tasas de conversión y unificando el patrimonio neto en una moneda base elegida por el usuario.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Sin embargo, la plataforma eleva este concepto al tratar activos no fiduciarios como monedas funcionales. Los usuarios pueden registrar transacciones y mantener saldos denominados directamente en criptomonedas (como Bitcoin) y, de manera notable, en metales preciosos utilizando los códigos de divisas equivalentes estándar de la industria, incluyendo Oro (XAU), Plata (XAG), Platino (XPT) y Paladio (XPD).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sistema actualiza de manera continua el valor de mercado de estas materias primas, integrándolas fluidamente en el balance general patrimonial.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Experiencia de Usuario (UX) y Personalización Interfaz</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 su complejidad matemática subyacente, Bluecoins enmascara sus operaciones detrás de una interfaz altamente optimizada y orientada a la eficiencia ("minimalista y eficiente", según evaluaciones de medios especializados).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El diseño se fundamenta en un sistema de pestañas deslizantes horizontales y un cajón de navegación lateral que otorgan acceso inmediato al Panel Principal (Main Dashboard), Transacciones, Recordatorios, Resumen de Presupuesto y Balance General.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Los desarrolladores comprenden que la personalización es clave para la adopción a largo plazo, permitiendo a los usuarios reordenar u ocultar estas pestañas según sus prioridades operativas.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atención al detalle en la experiencia del usuario se evidencia en funciones especializadas como el "Modo de Viaje" (Travel Mode), que al activarse, asigna automáticamente etiquetas contextuales predeterminadas a todas las transacciones nuevas, facilitando la contabilidad posterior de los gastos incurridos en el extranjero sin clics adicionales.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Asimismo, para facilitar la conciliación bancaria masiva, la aplicación implementa un modo de selección múltiple (Multi-Select) invocado mediante una pulsación larga, que permite visualizar la sumatoria instantánea de las transacciones seleccionadas y ejecutar ediciones o categorizaciones por lotes de forma expedita.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Visualmente, la aplicación soporta una variedad de temas personalizados, incluyendo modos oscuros verdaderos diseñados específicamente para pantallas AMOLED, los cuales minimizan la fatiga visual y reducen el consumo energético del dispositivo.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Todo el ecosistema está protegido localmente mediante integración con la seguridad biométrica del sistema operativo (huella dactilar) o contraseñas tradicionales.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El Estándar Institucional y la Gestión Patrimonial: Ecosistema Quicken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complementar la agilidad móvil de Bluecoins, es imperativo analizar Quicken, el estándar de oro institucional que ha dominado el mercado de software de finanzas personales en los Estados Unidos durante más de cuatro décadas.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Quicken no es una aplicación singular, sino un ecosistema segmentado diseñado para abordar diferentes niveles de complejidad financiera.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análisis detallado revela una bifurcación estratégica en su oferta de productos: la sólida plataforma de escritorio tradicional (Quicken Classic) y la plataforma moderna nativa en la nube (Quicken Simplifi), cada una con filosofías de gestión radicalmente distintas.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Esta dicotomía ofrece lecciones invaluables para la arquitectura de una nueva solución integral.</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Quicken Classic: Profundidad Analítica, Inversiones y Fiscalidad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Quicken Classic representa el pináculo de la gestión patrimonial exhaustiva. Es un software basado en escritorio (con aplicaciones web complementarias) que almacena los datos financieros localmente, garantizando una privacidad absoluta.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Su estructura se divide en niveles de suscripción progresivos (Deluxe, Premier, y Business &amp; Personal), diseñados para inversores serios, propietarios de bienes raíces y trabajadores independientes.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motor de seguimiento de inversiones de Quicken Classic carece de rival en el ámbito de las finanzas personales.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 diferencia de los rastreadores básicos que simplemente muestran el saldo actual de una cuenta de corretaje, Quicken Classic calcula el rendimiento verdadero de la cartera utilizando métricas de grado institucional.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Emplea la Tasa Interna de Retorno (TIR) para reflejar los rendimientos ponderados en dólares, tomando en cuenta el tamaño y la sincronización temporal de los depósitos y retiros específicos del usuario.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Simultáneamente, calcula la Tasa de Rendimiento Ponderada por el Tiempo (TWR), la cual elimina el impacto de los flujos de efectivo externos para evaluar puramente el éxito de las selecciones de inversión subyacentes.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nivel de suscripción Premier, Quicken integra directamente herramientas de análisis avanzado como </w:t>
      </w:r>
      <w:r w:rsidDel="00000000" w:rsidR="00000000" w:rsidRPr="00000000">
        <w:rPr>
          <w:rFonts w:ascii="Google Sans" w:cs="Google Sans" w:eastAsia="Google Sans" w:hAnsi="Google Sans"/>
          <w:i w:val="1"/>
          <w:iCs w:val="1"/>
          <w:color w:val="1f1f1f"/>
          <w:rtl w:val="0"/>
        </w:rPr>
        <w:t xml:space="preserve">Morningstar Portfolio X-Ray</w:t>
      </w:r>
      <w:r w:rsidDel="00000000" w:rsidR="00000000" w:rsidRPr="00000000">
        <w:rPr>
          <w:rFonts w:ascii="Google Sans" w:cs="Google Sans" w:eastAsia="Google Sans" w:hAnsi="Google Sans"/>
          <w:color w:val="1f1f1f"/>
          <w:rtl w:val="0"/>
        </w:rPr>
        <w:t xml:space="preserve">, las cuales examinan profundamente la composición de los fondos mutuos y los fondos cotizados en bolsa (ETFs) del usuario para exponer debilidades ocultas, redundancias en la asignación de activos y concentraciones de riesgo geográfico o sectorial.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Además, provee un "Estimador de Ganancias de Capital", una herramienta predictiva que permite a los inversores simular la venta de valores específicos para prever el impacto fiscal exacto de dicha transacción antes de ejecutarla en el mercado real.</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planificación a largo plazo se centraliza en el "Lifetime Planner" (Planificador de Jubilación), un motor de modelado prospectivo extraordinariamente sofisticado.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Este sistema permite a los usuarios proyectar su trayectoria financiera hacia la jubilación ajustando hasta 15 variables críticas en tiempo real.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modelo matemático diferencia estratégicamente entre los rendimientos de inversión pre-jubilación (orientados al crecimiento acelerado) y post-jubilación (orientados a la preservación del capital y generación de ingresos fijos).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Crucialmente, el sistema segrega los saldos de inversión entre cuentas con impuestos diferidos (como los 401(k) tradicionales) y cuentas que ya han tributado (como los Roth IRA), aplicando tasas impositivas diferenciales a las proyecciones de retiro.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Todo el modelo está sujeto a una tasa de inflación ajustable (típicamente predeterminada en un 3% histórico) que se aplica a los gastos de subsistencia proyectados a lo largo de décadas, garantizando que los cálculos de poder adquisitivo mantengan rigor matemático frente a la realidad macroeconómica.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la gestión transaccional, Quicken Classic mantiene capacidades heredadas pero poderosas, destacando el "Bill Manager".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 diferencia de las plataformas modernas que solo funcionan como calendarios de lectura, Quicken Classic permite la emisión de pagos reales directamente desde la interfaz del software, conectándose con más de 11.000 facturadores a nivel nacional e incluso integrando servicios que imprimen y envían cheques físicos por correo postal a entidades no digitalizadas.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Desde el punto de vista tributario, el software es meticuloso; permite mapear cada transacción de gasto o ingreso a líneas específicas de los formularios de impuestos oficiales del IRS (Schedules A, B, C, D, E, F) exportando estos datos consolidados directamente a software de preparación de impuestos de terceros.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Finalmente, las versiones orientadas a negocios permiten consolidar el flujo de caja personal, los ingresos comerciales y las propiedades de alquiler en un solo panel, con herramientas integradas de facturación y gestión de cuentas por cobrar.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Quicken Simplifi: Agilidad en la Nube y Presupuestos Dinámicos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contraste directo con el enfoque contable tradicional de la versión de escritorio, Quicken Simplifi fue diseñado desde cero como una aplicación moderna, puramente basada en la nube y optimizada para la interacción móvil.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Su propuesta de valor se centra en la reducción drástica de la carga cognitiva del usuario, automatizando la categorización e introduciendo un paradigma de presupuesto fluido.</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lugar de requerir que el usuario asigne límites de gasto rígidos a docenas de categorías estáticas, Simplifi utiliza algoritmos para analizar el flujo de ingresos histórico y deducir automáticamente las facturas recurrentes y suscripciones futuras.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Basado en estos datos empíricos, genera un "Plan de Gastos" dinámico que informa continuamente al usuario exactamente sobre "cuánto efectivo le queda disponible para gastar" después de restar las obligaciones fijas proyectadas.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Para gastos discrecionales problemáticos (por ejemplo, salidas a cenar o compras en Amazon), permite la creación de "Listas de Vigilancia" (Watchlists) personalizadas que generan notificaciones proactivas a medida que el usuario se acerca a los límites preestablecidos.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Simplifi también moderniza el seguimiento del patrimonio neto integrando conectores de API de terceros.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Por ejemplo, se conecta con la base de datos inmobiliaria Zillow para extraer "Zestimates", actualizando el valor de mercado estimado de las propiedades inmobiliarias del usuario de manera automática e integrándolas fluidamente en el gráfico patrimonial general.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enfoque de Simplifi es altamente predictivo, transformando la revisión del presupuesto mensual en una simple verificación rápida en el dispositivo móvil.</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Evaluación Competitiva de Plataformas Líderes Globales y Regionales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desarrollo de una aplicación superior exige trascender el análisis bidimensional entre Bluecoins y Quicken. Es mandatorio integrar la inteligencia de mercado extraída de otras cinco plataformas líderes que han conquistado nichos específicos mediante la resolución de puntos de fricción precisos: Monarch Money, YNAB (You Need A Budget), Spendee, Mobills y Fintonic.</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Monarch Money: Arquitectura Colaborativa y Agregación Inteligente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Monarch Money se ha posicionado rápidamente en la industria como el principal reemplazo premium para usuarios de alto patrimonio y, críticamente, para parejas y familias que requieren visibilidad compartida.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La propuesta de valor central de Monarch ataca un problema endémico en el software financiero: la incapacidad de gestionar fondos conjuntamente sin comprometer la seguridad o la experiencia del usuario.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plataforma implementa un ecosistema multiusuario nativo donde un suscriptor principal puede invitar a su cónyuge, socio o asesor financiero a la plataforma sin incurrir en costos adicionales.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cada participante se le otorgan credenciales de inicio de sesión separadas e independientes, eliminando la práctica insegura de compartir contraseñas.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Una vez conectados, ambos usuarios disfrutan de una vista unificada y sincronizada en tiempo real de los saldos bancarios, inversiones y presupuestos familiares.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términos de arquitectura de datos, Monarch emplea un motor de agregación agnóstico, conectándose a más de 13.000 instituciones financieras utilizando simultáneamente múltiples proveedores de datos de backend (tales como Plaid y Finicity), lo que garantiza una tasa de éxito de conexión superior y mitigando los fallos de sincronización comunes en plataformas de proveedor único.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Los algoritmos de inteligencia artificial de la aplicación analizan y auto-categorizan la ingestión masiva de transacciones.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Sin embargo, reconociendo que la IA no es infalible ante hábitos de gasto ambiguos de diferentes miembros de la familia, Monarch introduce una función de revisión colaborativa que permite a un usuario etiquetar transacciones dudosas para que su pareja las revise y reclasifique, facilitando la auditoría financiera conyugal.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El enfoque de presupuesto de Monarch permite la flexibilidad operativa, ofreciendo tanto el sistema tradicional basado en categorías rígidas, como un modelo de "Presupuesto Flexible" que agrupa los gastos en costos fijos y discrecionales, permitiendo el traslado de saldos no utilizados (rollovers) al mes siguiente.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Su modelo de negocio se basa en una suscripción premium estricta (aproximadamente $99.99 dólares anuales)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garantizando a los usuarios una experiencia completamente libre de anuncios publicitarios y el compromiso corporativo de no comercializar sus datos financieros a terceros.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YNAB (You Need A Budget): Modificación de Conducta y Asignación Base Cero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YNAB trasciende la definición tradicional de software contable; es fundamentalmente una plataforma de reeducación psicológica y modificación de conducta financiera encapsulada en una aplicación.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Según métricas internas y encuestas a usuarios, la aplicación fomenta un cambio drástico de paradigma que transita de una mentalidad de escasez y estrés a una de control y abundancia.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arquitectura de la aplicación está supeditada rígidamente a "El Método", una metodología basada en cuatro principios rectores que imponen un presupuesto de base cero estricto.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El primer pilar exige "darle un trabajo a cada dólar" (Give Every Dollar a Job).</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 diferencia del software de pronóstico tradicional, YNAB prohíbe explícitamente presupuestar utilizando dinero que aún no se ha depositado.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El usuario debe tomar la liquidez actual exacta en sus cuentas y asignarla compulsivamente a categorías específicas (sobres digitales) hasta que la cantidad "lista para asignar" sea exactamente cero.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El segundo pilar, la "Estabilidad", obliga a identificar grandes gastos no mensuales (primas de seguros anuales, mantenimiento automotriz, días festivos) y fragmentarlos en objetivos de ahorro mensuales innegociables, eliminando la volatilidad de los gastos sorpresa.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El tercer y cuarto pilar fomentan la resiliencia al impulsar a los usuarios a ahorrar con un mes de antelación ("Age your money") y abrazar la flexibilidad al permitir la reasignación libre de fondos entre categorías cuando ocurren imprevistos, mitigando la culpa que genera romper un presupuesto estático.</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Funcionalmente, YNAB ejecuta esta filosofía mediante el uso exhaustivo de "Objetivos" (Targets), algoritmos que calculan automáticamente cuánto dinero debe apartarse semanal o mensualmente para alcanzar una meta de ahorro definida para una fecha futura.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Para el manejo de tarjetas de crédito, YNAB emplea una lógica revolucionaria: cuando un usuario registra una compra con tarjeta de crédito en una categoría (por ejemplo, comestibles), el software extrae inmediatamente ese efectivo de la categoría de comestibles y lo traslada automáticamente a la categoría de "pago de tarjeta de crédito", garantizando matemáticamente que el usuario siempre tenga liquidez para pagar el saldo completo al final del ciclo de facturación.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Además, la plataforma incluye un simulador avanzado de préstamos que fomenta el método de la avalancha para liquidar deudas, demostrando visualmente el impacto del pago de intereses compuestos.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Estratégicamente, YNAB comprende que la adopción de su método es compleja. Por ello, ofrece recursos educativos masivos, incluyendo docenas de talleres gratuitos en vivo dictados por instructores humanos todas las semanas, una prueba sin compromiso de 34 días, y un programa especializado que otorga un año gratuito de suscripción a estudiantes universitarios validados, construyendo lealtad de marca desde una edad temprana.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El servicio incluye "YNAB Together", permitiendo la co-gestión de planes de gastos ilimitados con hasta cinco miembros familiares adicionales bajo una sola licencia de suscripción.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Spendee: Accesibilidad Visual y Automatización de Captura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Spendee, con una base de usuarios que supera los tres millones de personas, ha concentrado sus esfuerzos de desarrollo en perfeccionar la interfaz gráfica y reducir al mínimo absoluto la fricción en el ingreso de datos.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Está diseñada específicamente para apelar a un grupo demográfico más joven, expatriados, nómadas digitales y núcleos de convivencia no tradicionales.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núcleo de su innovación colaborativa es la funcionalidad de "Carteras Compartidas" (Shared Wallets).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Esta herramienta elimina la necesidad de mantener complejas hojas de cálculo de conciliación entre compañeros de piso o parejas.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Varios usuarios pueden vincularse a una cartera centralizada dedicada exclusivamente a gastos compartidos (como alquiler o servicios públicos).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El sistema provee un registro transparente y auditable que determina algorítmicamente la responsabilidad proporcional de cada individuo frente al gasto colectivo, resolviendo disputas monetarias de manera objetiva.</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mitigar la carga del ingreso manual de transacciones en efectivo que escapan a la sincronización bancaria de Open Finance, Spendee integra tecnología de vanguardia mediante un escáner de recibos impulsado por Inteligencia Artificial.</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Utilizando visión por computadora, el usuario simplemente fotografía un recibo físico en el punto de venta; el motor neuronal procesa la imagen en milisegundos, extrae los valores numéricos del precio total, identifica la fecha, el nombre del comercio y auto-completa los campos de descripción y categorización contable.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Además de la eficiencia de tiempo, esta característica adjunta automáticamente la imagen fotográfica a la transacción, creando un archivo auditable permanente invaluable para devoluciones, garantías o comprobaciones de gastos de representación empresariales.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Finalmente, Spendee incluye soporte nativo y fluido para múltiples monedas, permitiendo a los usuarios gestionar patrimonios fragmentados en diferentes países sin fricción de conversión, una característica inestimable en la era del trabajo remoto internacional.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Mobills: Localización Estratégica y Open Finance en América Latina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Mobills, una plataforma nacida en Brasil, representa el arquetipo de cómo una aplicación de finanzas personales debe ser hiper-localizada para abordar las idiosincrasias macroeconómicas de los mercados emergentes.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Con más de 7 millones de usuarios, su éxito radica en resolver problemas que los desarrolladores de plataformas anglosajonas frecuentemente ignoran.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ecosistema financiero latinoamericano depende en gran medida del crédito minorista fragmentado. En consecuencia, Mobills cuenta con un gestor avanzado de tarjetas de crédito altamente sofisticado.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Este módulo no solo rastrea saldos, sino que monitorea exhaustivamente el límite de crédito disponible total a través de múltiples plásticos, anticipa fechas de corte y alerta sobre fechas de vencimiento de pago para evitar la acumulación de altas tasas de interés de penalización.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Esencialmente, protege al usuario del sobreendeudamiento invisible causado por la acumulación de micro-compras a plazos.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superar la fragmentación de la infraestructura bancaria regional, Mobills fue pionero en la integración temprana de estándares de Open Finance mediante asociaciones estratégicas con plataformas de API como Belvo.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Históricamente, en la región, la descarga de extractos bancarios resultaba en datos crudos (nombres de transacciones ininteligibles compuestos por códigos alfanuméricos).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La integración profunda con el widget seguro de Belvo permite a los usuarios de Mobills conectar sus cuentas institucionales en un entorno de solo lectura con cifrado de grado bancario (empleando algoritmos de cifrado simétrico AES y autenticación de mensajes HMAC y SHA256 para cumplir con las normas ISO 27001).</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El motor de Belvo no solo extrae los datos, sino que aplica capas adicionales de inteligencia y aprendizaje automático para enriquecerlos, limpiando nombres comerciales y categorizando los gastos antes de inyectarlos instantáneamente en el panel de control de Mobills.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El sistema también soporta infraestructuras locales de vanguardia, como los pagos instantáneos biométricos Pix en Brasil.</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Mobills incorpora características contextuales como el seguimiento por geolocalización, solicitando permisos del dispositivo para mapear físicamente dónde ocurren las transacciones, lo que proporciona al usuario una representación visual geográfica de sus patrones de consumo en la ciudad.</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Fintonic: Puntuación Crediticia y el Modelo de Marketplace Financiero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 fuerte arraigo operativo en España, México y Chile, Fintonic representa un cambio de paradigma total en la estrategia de monetización y entrega de valor dentro del sector de aplicaciones de finanzas personales.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En lugar de depender exclusivamente del cobro recurrente por uso de software (SaaS), Fintonic opera como un sofisticado bróker de intermediación financiera impulsado por análisis de datos masivos.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pilar arquitectónico de la plataforma es la Agregación de Cuentas, ejecutada bajo marcos regulatorios estrictos; en Europa, Fintonic opera bajo autorización oficial del Banco de España (registro 6935) y cumple rigurosamente con la directiva europea de servicios de pago PSD2.</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Una vez que el usuario consolida de forma segura todo su historial bancario dentro de la aplicación, el motor algorítmico patentado de Fintonic analiza años de patrones de ingresos, hábitos de ahorro, frecuencia de gastos y puntualidad en el cumplimiento de obligaciones financieras.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Este procesamiento masivo genera un indicador propietario denominado "FinScore".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FinScore es el eje de la monetización. A diferencia de un simple seguimiento de crédito, es un índice de solvencia altamente predictivo.</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La aplicación utiliza este puntaje para operar un mercado (Marketplace) integrado, donde conecta proactivamente al usuario con instituciones crediticias, bancos y aseguradoras asociadas.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Gracias al perfilado de riesgo preciso proporcionado por el FinScore, los usuarios a menudo reciben ofertas de préstamos personales 100% online y tarjetas de crédito con tasas de interés preferenciales que superan significativamente las ofertas estándar disponibles en sus propias sucursales bancarias tradicionales.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La plataforma genera ingresos substanciales a través de modelos de generación de clientes potenciales (Lead Generation) y comisiones de afiliación (CPA) cada vez que un usuario acepta un producto financiero a través del marketplace.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garantizar la máxima retención del usuario, Fintonic despliega un motor de "Control y Alertas" de proactividad extrema. El sistema no solo emite recordatorios estándar de facturas; actúa como un auditor algorítmico de tiempo completo que escruta los movimientos bancarios para detectar y advertir instantáneamente sobre anomalías perjudiciales, tales como cobros duplicados por error, comisiones abusivas por descubiertos (sobregiros) aplicadas por el banco, o caídas inexplicables en las nóminas salariales habituales, solidificando así la percepción de valor y confianza del usuario hacia la plataforma.</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Diseño de Modelos de Negocio Estratégicos y Ecosistemas de Monetización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conceptualización de la arquitectura funcional de la nueva aplicación no puede desvincularse de la estrategia de viabilidad económica. El análisis de las plataformas líderes expone tres modelos de negocio primarios, cada uno con implicaciones directas en el diseño de la experiencia del usuario (UX) y la infraestructura de privacidad de datos:</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Modelo Freemium Basado en Características Avanzadas:</w:t>
      </w:r>
      <w:r w:rsidDel="00000000" w:rsidR="00000000" w:rsidRPr="00000000">
        <w:rPr>
          <w:rFonts w:ascii="Google Sans" w:cs="Google Sans" w:eastAsia="Google Sans" w:hAnsi="Google Sans"/>
          <w:color w:val="1f1f1f"/>
          <w:rtl w:val="0"/>
        </w:rPr>
        <w:t xml:space="preserve"> Adoptado estratégicamente por Spendee, Mobills y Bluecoins.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En esta estructura, el uso fundamental de la aplicación (ingreso manual de transacciones, presupuestos básicos y análisis gráfico elemental) se provee gratuitamente para maximizar la adquisición volumétrica de usuarios en la parte superior del embudo de conversión.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La monetización se logra imponiendo restricciones de peaje (paywalls) sobre herramientas que reducen significativamente el tiempo operativo o brindan análisis empresariales; por ejemplo, la importación masiva de archivos, la sincronización en la nube, la habilitación de carteras compartidas o la generación de reportes exportables en Excel y PDF quedan reservadas exclusivamente para niveles de suscripción Premium, cobrados mensual o anualmente.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Modelo de Suscripción Pura Premium-Only:</w:t>
      </w:r>
      <w:r w:rsidDel="00000000" w:rsidR="00000000" w:rsidRPr="00000000">
        <w:rPr>
          <w:rFonts w:ascii="Google Sans" w:cs="Google Sans" w:eastAsia="Google Sans" w:hAnsi="Google Sans"/>
          <w:color w:val="1f1f1f"/>
          <w:rtl w:val="0"/>
        </w:rPr>
        <w:t xml:space="preserve"> Representado por YNAB y Monarch Money.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Este modelo descarta la base de usuarios gratuitos para enfocarse en un segmento demográfico de ingresos medios-altos altamente comprometido. A cambio de una tarifa de suscripción directa e innegociable (por ejemplo, los aproximadamente $99.99 dólares anuales de Monarch)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el proveedor garantiza contractualmente dos vectores críticos: una experiencia de usuario inmaculada, carente en absoluto de publicidad intrusiva, y un compromiso férreo con la privacidad de los datos, asegurando que la información financiera íntima jamás será comercializada a terceros ni utilizada para segmentación algorítmica de marketing.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Modelo de Marketplace e Intermediación (Lead Generation):</w:t>
      </w:r>
      <w:r w:rsidDel="00000000" w:rsidR="00000000" w:rsidRPr="00000000">
        <w:rPr>
          <w:rFonts w:ascii="Google Sans" w:cs="Google Sans" w:eastAsia="Google Sans" w:hAnsi="Google Sans"/>
          <w:color w:val="1f1f1f"/>
          <w:rtl w:val="0"/>
        </w:rPr>
        <w:t xml:space="preserve"> El paradigma disruptivo de Fintonic.</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La totalidad del software, independientemente de la sofisticación de sus herramientas analíticas, se ofrece al usuario sin costo recurrente alguno. El desarrollo de la plataforma se financia a través de la monetización de los metadatos; al evaluar el perfil de riesgo crediticio del usuario mediante agregación de cuentas bancarias (Open Banking), la aplicación empareja perfiles de alta solvencia con ofertas pre-aprobadas de instituciones financieras externas, cobrando comisiones sustanciales por adquisición de clientes (CPA) por cada préstamo, hipoteca o seguro originado a través de la interfaz de la aplicación.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la aplicación web y móvil proyectada en el desarrollo inicial, un </w:t>
      </w:r>
      <w:r w:rsidDel="00000000" w:rsidR="00000000" w:rsidRPr="00000000">
        <w:rPr>
          <w:rFonts w:ascii="Google Sans" w:cs="Google Sans" w:eastAsia="Google Sans" w:hAnsi="Google Sans"/>
          <w:b w:val="1"/>
          <w:bCs w:val="1"/>
          <w:color w:val="1f1f1f"/>
          <w:rtl w:val="0"/>
        </w:rPr>
        <w:t xml:space="preserve">Modelo Híbrido Freemium con Capacidad de Expansión a Marketplace</w:t>
      </w:r>
      <w:r w:rsidDel="00000000" w:rsidR="00000000" w:rsidRPr="00000000">
        <w:rPr>
          <w:rFonts w:ascii="Google Sans" w:cs="Google Sans" w:eastAsia="Google Sans" w:hAnsi="Google Sans"/>
          <w:color w:val="1f1f1f"/>
          <w:rtl w:val="0"/>
        </w:rPr>
        <w:t xml:space="preserve"> emerge como la ruta óptima para maximizar la penetración en mercados heterogéneos (especialmente en América Latina y Europa). La funcionalidad transaccional central debe mantenerse gratuita para fomentar un crecimiento viral y orgánico, reservando la sincronización bancaria automática, la inteligencia artificial y las proyecciones complejas para niveles Premium, mientras se sienta la infraestructura de bases de datos necesaria para eventualmente ofrecer intermediación financiera hiper-segmentada en fases posteriores.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Arquitectura Estructural Exhautiva de Funcionalidades Recomendadas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Sintetizando el análisis profundo de los pilares fundamentales (Bluecoins y Quicken) junto con la investigación competitiva de las plataformas dominantes (Monarch, YNAB, Spendee, Mobills y Fintonic), se presenta a continuación la matriz arquitectónica definitiva de funcionalidades requeridas. Este esquema modular constituye el documento fundacional (Blueprint) para garantizar que la nueva aplicación web y móvil supere los estándares técnicos y psicológicos actuales del mercado.</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1: Agregación de Datos, Conectividad e Ingestión Omnicanal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reducción de la fricción en la entrada de datos es el factor determinante primario para la retención a largo plazo de usuarios. El sistema debe admitir múltiples vectores de entrada, abarcando desde la automatización pura hasta el procesamiento heredado.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 Crítica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Arquitectónica y Justificación Analítica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Plataformas de Referencia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Integración Open Finance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Implementación de conectores API seguros y cifrados (AES/HMAC/SHA256) de solo lectura hacia miles de instituciones bancarias globales y regionales. Utilización de plataformas de agregación como Plaid (EE. UU.) y Belvo (América Latina) para la sincronización continua de saldos y la descarga automática de historial de transacciones en segundo plano.</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Monarch, Mobills, Fintonic, Quicken, Spendee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Lector Óptico de Recibos con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Incorporación de tecnología de Visión por Computadora y Reconocimiento Óptico de Caracteres (OCR). Permite a los usuarios fotografiar comprobantes impresos; el motor neuronal procesa la imagen para extraer autónomamente la fecha precisa, el monto total, el código de moneda, identifica el establecimiento comercial, deduce la categoría lógica del gasto y adjunta permanentemente el archivo fotográfico digital como evidencia auditable para reclamaciones o garantías.</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Spendee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Parsing Automático de SMS y Notificaciones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Motor secundario de captura para regiones o instituciones con APIs cerradas o disfuncionales. La aplicación de Android debe solicitar permisos del SO para interceptar en tiempo real los mensajes SMS y notificaciones push transaccionales del banco, extrayendo mediante expresiones regulares (Regex) los montos y beneficiarios para generar entradas de gasto preliminares con latencia cero.</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Bluecoins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Importación Universal de Protocolos Heredados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Módulo de migración masiva de datos para la adquisición de usuarios provenientes de plataformas de escritorio obsoletas o usuarios intensivos de Excel. Soporte garantizado para importación bidireccional de protocolos contables estándar como QIF (Quicken Interchange Format) y archivos de valores separados por comas (CSV).</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Bluecoins, Mobills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Conectores de Activos Alternativos y Criptografía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Interfaz de programación para conectarse con billeteras de criptomonedas (e.g., Coinbase) extrayendo saldos y equivalentes fiduciarios, e integraciones con APIs de valoración inmobiliaria (e.g., estimaciones Zillow Zestimates) para actualizar el valor patrimonial de los activos en tiempo real sin entrada manual.</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Monarch, Quicken Simplifi</w:t>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2: Arquitectura Contable Rigurosa y Modelado Patrimonial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motor subyacente de la aplicación debe trascender el simple registro de ingresos y egresos, implementando principios matemáticos de grado institucional para ofrecer una visión panorámica de la riqueza verdadera del individuo a lo largo del tiempo.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 Crítica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Arquitectónica y Justificación Analítica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Plataformas de Referencia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Balance General Computarizado (Net Worth)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Cálculo en tiempo real del Patrimonio Neto del usuario. El sistema requiere una arquitectura de base de datos que diferencie estrictamente las cuentas por clase de activo (bienes raíces, efectivo, inversiones, metales preciosos como XAU o XAG) y pasivos (hipotecas, préstamos estudiantiles, saldos rotativos de tarjetas). Generación dinámica de la fórmula de solvencia (</w:t>
            </w:r>
            <w:r w:rsidDel="00000000" w:rsidR="00000000" w:rsidRPr="00000000">
              <w:rPr>
                <w:rFonts w:ascii="Google Sans" w:cs="Google Sans" w:eastAsia="Google Sans" w:hAnsi="Google Sans"/>
                <w:color w:val="1f1f1f"/>
                <w:shd w:fill="auto" w:val="clear"/>
              </w:rPr>
              <w:drawing>
                <wp:inline distB="19050" distT="19050" distL="19050" distR="19050">
                  <wp:extent cx="3081661" cy="20775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81661" cy="20775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reflejada en gráficos de tendencia histórica.</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Bluecoins, Quicken Classic, Monarch, YNAB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Motor de Análisis Probabilístico "What-If"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Herramienta de modelado predictivo de flujos de efectivo. El motor cruza algorítmicamente el saldo instantáneo de las cuentas de cheques líquidas contra la matriz de transacciones recurrentes futuras pre-programadas y estimaciones de gasto dinámico. Genera una proyección gráfica bidimensional del agotamiento de liquidez en el futuro, facultando al usuario para ejecutar transferencias preventivas y evitar cargos por sobregiros.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Bluecoins, Quicken Classic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Auditoría de Tasas de Rendimiento (IRR y TWR)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Dashboard de análisis para cuentas de inversión bursátiles. Computa la Tasa Interna de Retorno (TIR) ponderada en dólares para reflejar la eficacia de los aportes sistemáticos del usuario, y la Tasa de Rendimiento Ponderada por el Tiempo (TWR) para aislar matemáticamente y evaluar el rendimiento puro del mercado frente a la selección subyacente de activos.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Quicken Classic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Planificador de Jubilación Paramétrico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Simulador patrimonial prospectivo avanzado capaz de ingerir múltiples variables críticas a lo largo de décadas. El motor debe discriminar cuentas de inversión con impuestos diferidos (pre-tax) frente a cuentas tributables, permitir entradas dinámicas de ajuste inflacionario (ej. 3% anual), y segregar perfiles de tasas de retorno variables para fases pre-jubilación y post-jubilación, con estimación del impacto fiscal final de los retiros.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Quicken Classic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Estados Financieros de Ejecución Empresarial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Generación automatizada de reportes corporativos aplicados al plano personal o de trabajadores independientes, incluyendo rastreo riguroso de la Tasa de Ejecución (Run Rate Tracking) de categorías presupuestarias y Estados Consolidados de Pérdidas y Ganancias (P&amp;L Statements).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Bluecoins, Quicken Business</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3: Dinámica Presupuestaria Inteligente y Modificación Conductual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 la planificación de gastos debe combinar metodologías restrictivas paramétricas con la flexibilidad operativa de los marcos de presupuesto fluido moderno para asegurar altos índices de cumplimiento presupuestal.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 Crítica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Arquitectónica y Justificación Analítica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Plataformas de Referencia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Categorización Algorítmica Sensitiva al Contexto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Uso intensivo de modelos de Procesamiento de Lenguaje Natural (NLP) y aprendizaje automático (Machine Learning) integrados en el pipeline de datos que intercepta nombres de transacciones bancarias crudas y enigmáticas. El algoritmo limpia, normaliza, estandariza el nombre comercial y auto-asigna la transacción a categorías y etiquetas lógicas con base en el historial heurístico del propio usuario y la base de datos comunitaria.</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Monarch, Mobills, Fintonic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Motor Normativo de Base Cero (Zero-Based Budgeting)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Implementación opcional de un marco de presupuesto restrictivo que impone disciplina psicológica extrema. El algoritmo prohíbe explícitamente la planificación utilizando ingresos proyectados o promedios futuros; fuerza ineludiblemente al usuario a tomar cada unidad monetaria líquida disponible en el momento presente y asignarle un "trabajo" o destino específico, garantizando que el remanente operativo no asignado sea exactamente igual a cero.</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YNAB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Matriz de Presupuesto Flexible y Rollover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Sistema dinámico opuesto a las restricciones estáticas. Desglosa las obligaciones mensuales en costos fijos innegociables (hipotecas), costos flexibles necesarios (alimentación) e imprevistos. Concentra la visualización exclusivamente en el cálculo del "Flujo de Efectivo Restante Disponible". Incorpora lógicas automatizadas de arrastre de saldos (rollover), moviendo excedentes positivos o déficits negativos de una categoría particular hacia el mes calendario subsiguiente.</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Monarch, Quicken Simplifi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Motor Automatizado de Metas (Targets)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Creador de planes de ahorro con caducidad. El usuario establece un objetivo monetario total y una fecha meta. El motor realiza ingeniería inversa para calcular las contribuciones periódicas (semanales o mensuales) matemáticamente exactas requeridas para alcanzar el hito. Proveer interfaces de usuario colorizadas que muestren alertas tempranas si se produce un desvío de la trayectoria de capitalización requerida.</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YNAB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Gestor Integral de Deuda y Avalanchas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Simulador matemático dedicado a la demolición de deuda estructurada. Permite al usuario simular la aportación de pagos excedentes sobre el principal para visualizar gráficamente, mes a mes, el ahorro exacto proyectado en el devengo de intereses compuestos y la reducción correlativa en el horizonte temporal de la amortización, fomentando la ejecución estratégica del método de avalancha.</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YNAB</w:t>
            </w:r>
          </w:p>
        </w:tc>
      </w:tr>
    </w:tbl>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4: Monitoreo Proactivo de Gastos y Analítica Operacional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herramientas de seguimiento deben proveer transparencia total e identificar patrones de fuga de liquidez antes de que comprometan los objetivos macroeconómicos del individuo.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 Crítica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Arquitectónica y Justificación Analítica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Plataformas de Referencia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Gestión Integral de Tarjetas y Microcréditos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Módulo de base de datos especializado en pasivos rotativos y pagos fraccionados (esencial para el contexto latinoamericano). Supervisa activamente la utilización de los límites de crédito globales consolidados a través de múltiples plásticos, computa los montos mínimos requeridos para evitar cargos financieros adicionales e integra un calendario visual y sistemas de alerta push para prevenir el vencimiento inadvertido de fechas de corte.</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Mobills, YNAB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Auditor de Suscripciones y Recurrencias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Escáner algorítmico que analiza patrones de débito periódicos en los flujos de la cuenta bancaria para aislar automáticamente suscripciones a plataformas digitales, servicios de software, y membresías de servicios físicos (gimnasios). Despliega los descubrimientos en una lista consolidada auditable, alertando sobre aumentos unilaterales de precios o cargos ocultos, permitiendo optimizar gastos fijos fantasmas.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Monarch, Quicken Simplifi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Puntuación Solvencia Propietaria (FinScore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Implementación de un modelo de evaluación de riesgo integrado. El motor evalúa la puntualidad de pagos históricos de las facturas ingresadas, el porcentaje de ahorro sobre el flujo de efectivo neto, y la velocidad de incremento del patrimonio, consolidando un puntaje numérico de solvencia que evalúa objetivamente la salud financiera y podría servir como base para sugerir productos de refinanciamiento.</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Fintonic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Reportes y Mapas de Visualización Financiera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Generación in-app de gráficos circulares dinámicos e infografías codificadas por color (Sankey diagrams) que detallan la partición porcentual de gastos. Inclusión de gráficos de líneas de tendencia histórica para medir la velocidad de acumulación patrimonial neta, con la adición de funciones espaciales que solicitan permisos de geolocalización al SO móvil para pintar mapas topográficos de las locaciones de gasto del individuo.</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Spendee, YNAB, Mobills</w:t>
            </w:r>
          </w:p>
        </w:tc>
      </w:tr>
    </w:tbl>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5: Ecosistema Multiusuario Colaborativo, Seguridad Extrema y Multidivisa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finanzas personales modernas se caracterizan por ecosistemas domésticos complejos. La aplicación debe resolver los desafíos técnicos de acceso múltiple y operaciones internacionales asegurando inviolabilidad criptográfica.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 Crítica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Arquitectónica y Justificación Analítica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Plataformas de Referencia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Control de Acceso basado en Roles para Parejas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Infraestructura de base de datos diseñada para permitir la co-gestión y colaboración en un repositorio centralizado sin compartir secretos. Un suscriptor principal (Administrador) distribuye invitaciones encriptadas a socios familiares, quienes se autentican con credenciales independientes y otorgan un inicio de sesión seguro en sus propios dispositivos móviles para visualizar y editar el presupuesto unificado o los saldos en tiempo real.</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Monarch, YNAB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Repositorios de Gasto Fraccionado (Carteras Compartidas)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Segmentación contable diseñada para entidades convivientes independientes (compañeros de habitación, organizaciones de eventos). Facilita la contribución conjunta y la trazabilidad exhaustiva para gastos comunes. El algoritmo integrado asume la carga cognitiva de computar saldos compensatorios exactos, eliminando disputas monetarias sobre la asimetría en los pagos de facturas habitacionales.</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Spendee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Registro de Auditoría de Mutaciones (Audit Trail)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Herramienta de transparencia interna que previene misterios financieros colaborativos. Registra con marcas de tiempo (timestamps) inmutables todos los cambios de saldo, alteraciones de límites presupuestarios y modificaciones de transacciones, indicando inequívocamente la procedencia del cambio y el autor responsable del ajuste.</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YNAB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Contabilidad Nativa Multidivisa Algorítmica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Marco de operaciones global que supera los límites fiduciarios locales. Facilita la gestión fluida de transacciones durante viajes internacionales o para trabajadores con nóminas transfronterizas. Actualiza constantemente los tipos de cambio base, e integra transacciones denominadas de manera transparente en oro, plata, y criptografía para mantener un estado de balance consolidado holístico en la moneda pivote seleccionada.</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Bluecoins, Spendee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Muro de Seguridad Biométrico y PSD2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Autenticación robusta que exige integraciones profundas a nivel del kernel del SO móvil, forzando la solicitud de credenciales biométricas (FaceID de iOS, escaneo de huella dactilar de Android) o patrones criptográficos complejos al lanzar o reactivar la aplicación en memoria. Adherencia estricta en las capas de red a los marcos regulatorios de banca abierta (ej. directiva europea PSD2) garantizando la operación exclusiva sobre canales de red de solo lectura que imposibilitan transferencias fraudulentas de fondos.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Todas las plataformas</w:t>
            </w:r>
          </w:p>
        </w:tc>
      </w:tr>
    </w:tbl>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Conclusiones Directivas y Perspectiva del Modelado Arquitectónico</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ingeniería de desarrollo para una nueva plataforma integral de finanzas personales, tras la disección exhaustiva del mercado dominado por Quicken, Bluecoins y los innovadores contemporáneos, no puede basarse en la mera acumulación fragmentada de características aisladas. La evidencia analítica extraída de millones de iteraciones de usuarios a través de la industria revela que el éxito comercial reside en la ejecución holística y en dominar un equilibrio precario: reducir radicalmente la carga cognitiva y de fricción en la introducción de datos diarios (el campo de dominio de </w:t>
      </w:r>
      <w:r w:rsidDel="00000000" w:rsidR="00000000" w:rsidRPr="00000000">
        <w:rPr>
          <w:rFonts w:ascii="Google Sans" w:cs="Google Sans" w:eastAsia="Google Sans" w:hAnsi="Google Sans"/>
          <w:i w:val="1"/>
          <w:iCs w:val="1"/>
          <w:color w:val="1f1f1f"/>
          <w:rtl w:val="0"/>
        </w:rPr>
        <w:t xml:space="preserve">Spendee</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Simplifi</w:t>
      </w:r>
      <w:r w:rsidDel="00000000" w:rsidR="00000000" w:rsidRPr="00000000">
        <w:rPr>
          <w:rFonts w:ascii="Google Sans" w:cs="Google Sans" w:eastAsia="Google Sans" w:hAnsi="Google Sans"/>
          <w:color w:val="1f1f1f"/>
          <w:rtl w:val="0"/>
        </w:rPr>
        <w:t xml:space="preserve">), mientras se provee una arquitectura profunda e inquebrantable de análisis macro-patrimonial y contable de doble entrada en la capa posterior (la ventaja competitiva histórica de </w:t>
      </w:r>
      <w:r w:rsidDel="00000000" w:rsidR="00000000" w:rsidRPr="00000000">
        <w:rPr>
          <w:rFonts w:ascii="Google Sans" w:cs="Google Sans" w:eastAsia="Google Sans" w:hAnsi="Google Sans"/>
          <w:i w:val="1"/>
          <w:iCs w:val="1"/>
          <w:color w:val="1f1f1f"/>
          <w:rtl w:val="0"/>
        </w:rPr>
        <w:t xml:space="preserve">Bluecoins</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Quicken Classic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la nueva arquitectura de plataforma logre tracción en la coyuntura del mercado hacia 2026 y más allá, es imperativo establecer la infraestructura de base de datos desde el Día Cero para soportar el acceso multi-inquilino (multi-tenant access) de forma nativa. La economía colaborativa intrafamiliar, demostrada por las asombrosas tasas de adopción y retención de herramientas como las </w:t>
      </w:r>
      <w:r w:rsidDel="00000000" w:rsidR="00000000" w:rsidRPr="00000000">
        <w:rPr>
          <w:rFonts w:ascii="Google Sans" w:cs="Google Sans" w:eastAsia="Google Sans" w:hAnsi="Google Sans"/>
          <w:i w:val="1"/>
          <w:iCs w:val="1"/>
          <w:color w:val="1f1f1f"/>
          <w:rtl w:val="0"/>
        </w:rPr>
        <w:t xml:space="preserve">Carteras Compartidas de Spendee</w:t>
      </w:r>
      <w:r w:rsidDel="00000000" w:rsidR="00000000" w:rsidRPr="00000000">
        <w:rPr>
          <w:rFonts w:ascii="Google Sans" w:cs="Google Sans" w:eastAsia="Google Sans" w:hAnsi="Google Sans"/>
          <w:color w:val="1f1f1f"/>
          <w:rtl w:val="0"/>
        </w:rPr>
        <w:t xml:space="preserve"> y el modelo </w:t>
      </w:r>
      <w:r w:rsidDel="00000000" w:rsidR="00000000" w:rsidRPr="00000000">
        <w:rPr>
          <w:rFonts w:ascii="Google Sans" w:cs="Google Sans" w:eastAsia="Google Sans" w:hAnsi="Google Sans"/>
          <w:i w:val="1"/>
          <w:iCs w:val="1"/>
          <w:color w:val="1f1f1f"/>
          <w:rtl w:val="0"/>
        </w:rPr>
        <w:t xml:space="preserve">Monarch</w:t>
      </w:r>
      <w:r w:rsidDel="00000000" w:rsidR="00000000" w:rsidRPr="00000000">
        <w:rPr>
          <w:rFonts w:ascii="Google Sans" w:cs="Google Sans" w:eastAsia="Google Sans" w:hAnsi="Google Sans"/>
          <w:color w:val="1f1f1f"/>
          <w:rtl w:val="0"/>
        </w:rPr>
        <w:t xml:space="preserve">, evidencia que la gestión financiera monousuario es un paradigma rápidamente obsoleto.</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técnico, la viabilidad de la plataforma dependerá casi en su totalidad del grado de integración que logre con las pasarelas y APIs de </w:t>
      </w:r>
      <w:r w:rsidDel="00000000" w:rsidR="00000000" w:rsidRPr="00000000">
        <w:rPr>
          <w:rFonts w:ascii="Google Sans" w:cs="Google Sans" w:eastAsia="Google Sans" w:hAnsi="Google Sans"/>
          <w:i w:val="1"/>
          <w:iCs w:val="1"/>
          <w:color w:val="1f1f1f"/>
          <w:rtl w:val="0"/>
        </w:rPr>
        <w:t xml:space="preserve">Open Finance</w:t>
      </w:r>
      <w:r w:rsidDel="00000000" w:rsidR="00000000" w:rsidRPr="00000000">
        <w:rPr>
          <w:rFonts w:ascii="Google Sans" w:cs="Google Sans" w:eastAsia="Google Sans" w:hAnsi="Google Sans"/>
          <w:color w:val="1f1f1f"/>
          <w:rtl w:val="0"/>
        </w:rPr>
        <w:t xml:space="preserve"> regionales (como la red de </w:t>
      </w:r>
      <w:r w:rsidDel="00000000" w:rsidR="00000000" w:rsidRPr="00000000">
        <w:rPr>
          <w:rFonts w:ascii="Google Sans" w:cs="Google Sans" w:eastAsia="Google Sans" w:hAnsi="Google Sans"/>
          <w:i w:val="1"/>
          <w:iCs w:val="1"/>
          <w:color w:val="1f1f1f"/>
          <w:rtl w:val="0"/>
        </w:rPr>
        <w:t xml:space="preserve">Belvo</w:t>
      </w:r>
      <w:r w:rsidDel="00000000" w:rsidR="00000000" w:rsidRPr="00000000">
        <w:rPr>
          <w:rFonts w:ascii="Google Sans" w:cs="Google Sans" w:eastAsia="Google Sans" w:hAnsi="Google Sans"/>
          <w:color w:val="1f1f1f"/>
          <w:rtl w:val="0"/>
        </w:rPr>
        <w:t xml:space="preserve"> que transformó el mercado de </w:t>
      </w:r>
      <w:r w:rsidDel="00000000" w:rsidR="00000000" w:rsidRPr="00000000">
        <w:rPr>
          <w:rFonts w:ascii="Google Sans" w:cs="Google Sans" w:eastAsia="Google Sans" w:hAnsi="Google Sans"/>
          <w:i w:val="1"/>
          <w:iCs w:val="1"/>
          <w:color w:val="1f1f1f"/>
          <w:rtl w:val="0"/>
        </w:rPr>
        <w:t xml:space="preserve">Mobills</w:t>
      </w:r>
      <w:r w:rsidDel="00000000" w:rsidR="00000000" w:rsidRPr="00000000">
        <w:rPr>
          <w:rFonts w:ascii="Google Sans" w:cs="Google Sans" w:eastAsia="Google Sans" w:hAnsi="Google Sans"/>
          <w:color w:val="1f1f1f"/>
          <w:rtl w:val="0"/>
        </w:rPr>
        <w:t xml:space="preserve"> en América Latina). Un ecosistema de aplicaciones de este calibre debe construir un ducto de ingestión algorítmica omnicanal, capaz de extraer, homogeneizar, clasificar y enriquecer metadatos provenientes del caótico sistema de bancos mundiales en milisegundos.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el diseño de la interfaz de usuario debe trascender el seguimiento inactivo, transformando a la aplicación en una herramienta proactiva de modificación de la conducta humana, a imagen del riguroso método de presupuestación de base cero adoptado y defendido casi religiosamente por </w:t>
      </w:r>
      <w:r w:rsidDel="00000000" w:rsidR="00000000" w:rsidRPr="00000000">
        <w:rPr>
          <w:rFonts w:ascii="Google Sans" w:cs="Google Sans" w:eastAsia="Google Sans" w:hAnsi="Google Sans"/>
          <w:i w:val="1"/>
          <w:iCs w:val="1"/>
          <w:color w:val="1f1f1f"/>
          <w:rtl w:val="0"/>
        </w:rPr>
        <w:t xml:space="preserve">YNAB</w:t>
      </w:r>
      <w:r w:rsidDel="00000000" w:rsidR="00000000" w:rsidRPr="00000000">
        <w:rPr>
          <w:rFonts w:ascii="Google Sans" w:cs="Google Sans" w:eastAsia="Google Sans" w:hAnsi="Google Sans"/>
          <w:color w:val="1f1f1f"/>
          <w:rtl w:val="0"/>
        </w:rPr>
        <w:t xml:space="preserve">. La aplicación resultante de integrar rigurosamente los cinco módulos detallados en la matriz funcional superará las expectativas del mercado actual, amalgamando la agilidad predictiva de una plataforma moderna basada en Inteligencia Artificial, con el rigor algorítmico y de control patrimonial de grado bancario institucional, asegurando un dominio sostenible del ciclo de vida financiero del individuo a escala internacional.</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Finance Software Market Size, Share | Growth [2034] - Fortune Business Insights, fecha de acceso: febrero 24, 2026, </w:t>
      </w:r>
      <w:hyperlink r:id="rId8">
        <w:r w:rsidDel="00000000" w:rsidR="00000000" w:rsidRPr="00000000">
          <w:rPr>
            <w:rFonts w:ascii="Google Sans" w:cs="Google Sans" w:eastAsia="Google Sans" w:hAnsi="Google Sans"/>
            <w:color w:val="0000ee"/>
            <w:sz w:val="24"/>
            <w:szCs w:val="24"/>
            <w:u w:val="single"/>
            <w:rtl w:val="0"/>
          </w:rPr>
          <w:t xml:space="preserve">https://www.fortunebusinessinsights.com/personal-finance-software-market-112683</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Finance Mobile App Market Trend, Size, Industry -2035 - Market Research Future, fecha de acceso: febrero 24, 2026, </w:t>
      </w:r>
      <w:hyperlink r:id="rId9">
        <w:r w:rsidDel="00000000" w:rsidR="00000000" w:rsidRPr="00000000">
          <w:rPr>
            <w:rFonts w:ascii="Google Sans" w:cs="Google Sans" w:eastAsia="Google Sans" w:hAnsi="Google Sans"/>
            <w:color w:val="0000ee"/>
            <w:sz w:val="24"/>
            <w:szCs w:val="24"/>
            <w:u w:val="single"/>
            <w:rtl w:val="0"/>
          </w:rPr>
          <w:t xml:space="preserve">https://www.marketresearchfuture.com/reports/personal-finance-mobile-app-market-22409</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Finance Apps Market Size | Growth Trends 2035 - Research Nester, fecha de acceso: febrero 24, 2026, </w:t>
      </w:r>
      <w:hyperlink r:id="rId10">
        <w:r w:rsidDel="00000000" w:rsidR="00000000" w:rsidRPr="00000000">
          <w:rPr>
            <w:rFonts w:ascii="Google Sans" w:cs="Google Sans" w:eastAsia="Google Sans" w:hAnsi="Google Sans"/>
            <w:color w:val="0000ee"/>
            <w:sz w:val="24"/>
            <w:szCs w:val="24"/>
            <w:u w:val="single"/>
            <w:rtl w:val="0"/>
          </w:rPr>
          <w:t xml:space="preserve">https://www.researchnester.com/reports/personal-finance-apps-market/8243</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Shaping the Future of Finance: Lessons from 2025, Priorities for 2026 - itscredit, fecha de acceso: febrero 24, 2026, </w:t>
      </w:r>
      <w:hyperlink r:id="rId11">
        <w:r w:rsidDel="00000000" w:rsidR="00000000" w:rsidRPr="00000000">
          <w:rPr>
            <w:rFonts w:ascii="Google Sans" w:cs="Google Sans" w:eastAsia="Google Sans" w:hAnsi="Google Sans"/>
            <w:color w:val="0000ee"/>
            <w:sz w:val="24"/>
            <w:szCs w:val="24"/>
            <w:u w:val="single"/>
            <w:rtl w:val="0"/>
          </w:rPr>
          <w:t xml:space="preserve">https://www.itscredit.com/blog/shaping-the-future-of-finance-lessons-from-2025-priorities-for-2026?hsLang=en</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Finance Apps Market Size, Share &amp; Forecast to 2030, fecha de acceso: febrero 24, 2026, </w:t>
      </w:r>
      <w:hyperlink r:id="rId12">
        <w:r w:rsidDel="00000000" w:rsidR="00000000" w:rsidRPr="00000000">
          <w:rPr>
            <w:rFonts w:ascii="Google Sans" w:cs="Google Sans" w:eastAsia="Google Sans" w:hAnsi="Google Sans"/>
            <w:color w:val="0000ee"/>
            <w:sz w:val="24"/>
            <w:szCs w:val="24"/>
            <w:u w:val="single"/>
            <w:rtl w:val="0"/>
          </w:rPr>
          <w:t xml:space="preserve">https://www.researchandmarkets.com/report/personal-finance-app-market</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Personal Finance Apps in Latin America: Q4 2025 Performance - Sensor Tower, fecha de acceso: febrero 24, 2026, </w:t>
      </w:r>
      <w:hyperlink r:id="rId13">
        <w:r w:rsidDel="00000000" w:rsidR="00000000" w:rsidRPr="00000000">
          <w:rPr>
            <w:rFonts w:ascii="Google Sans" w:cs="Google Sans" w:eastAsia="Google Sans" w:hAnsi="Google Sans"/>
            <w:color w:val="0000ee"/>
            <w:sz w:val="24"/>
            <w:szCs w:val="24"/>
            <w:u w:val="single"/>
            <w:rtl w:val="0"/>
          </w:rPr>
          <w:t xml:space="preserve">https://sensortower.com/blog/2025-q4-unified-top-5-personal-finance-budgeting-and-planning-units-latin-am-63e363f0e1714cfff1979caa</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Personal Finance Apps on Android in Latin America, Q4 2025 - Sensor Tower, fecha de acceso: febrero 24, 2026, </w:t>
      </w:r>
      <w:hyperlink r:id="rId14">
        <w:r w:rsidDel="00000000" w:rsidR="00000000" w:rsidRPr="00000000">
          <w:rPr>
            <w:rFonts w:ascii="Google Sans" w:cs="Google Sans" w:eastAsia="Google Sans" w:hAnsi="Google Sans"/>
            <w:color w:val="0000ee"/>
            <w:sz w:val="24"/>
            <w:szCs w:val="24"/>
            <w:u w:val="single"/>
            <w:rtl w:val="0"/>
          </w:rPr>
          <w:t xml:space="preserve">https://sensortower.com/blog/2025-q4-android-top-5-personal-finance-budgeting-and-planning-revenue-latin-am-63e363f0e1714cfff1979caa</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Bluecoins Finance &amp; Budget – Apps on Google Play, fecha de acceso: febrero 24, 2026, </w:t>
      </w:r>
      <w:hyperlink r:id="rId15">
        <w:r w:rsidDel="00000000" w:rsidR="00000000" w:rsidRPr="00000000">
          <w:rPr>
            <w:rFonts w:ascii="Google Sans" w:cs="Google Sans" w:eastAsia="Google Sans" w:hAnsi="Google Sans"/>
            <w:color w:val="0000ee"/>
            <w:sz w:val="24"/>
            <w:szCs w:val="24"/>
            <w:u w:val="single"/>
            <w:rtl w:val="0"/>
          </w:rPr>
          <w:t xml:space="preserve">https://play.google.com/store/apps/details?id=com.rammigsoftware.bluecoins&amp;hl=en_IN</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Bluecoins – Best finance app on Android, fecha de acceso: febrero 24, 2026, </w:t>
      </w:r>
      <w:hyperlink r:id="rId16">
        <w:r w:rsidDel="00000000" w:rsidR="00000000" w:rsidRPr="00000000">
          <w:rPr>
            <w:rFonts w:ascii="Google Sans" w:cs="Google Sans" w:eastAsia="Google Sans" w:hAnsi="Google Sans"/>
            <w:color w:val="0000ee"/>
            <w:sz w:val="24"/>
            <w:szCs w:val="24"/>
            <w:u w:val="single"/>
            <w:rtl w:val="0"/>
          </w:rPr>
          <w:t xml:space="preserve">https://www.bluecoinsapp.com/</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Bluecoins Finance &amp; Budget - Apps on Google Play, fecha de acceso: febrero 24, 2026, </w:t>
      </w:r>
      <w:hyperlink r:id="rId17">
        <w:r w:rsidDel="00000000" w:rsidR="00000000" w:rsidRPr="00000000">
          <w:rPr>
            <w:rFonts w:ascii="Google Sans" w:cs="Google Sans" w:eastAsia="Google Sans" w:hAnsi="Google Sans"/>
            <w:color w:val="0000ee"/>
            <w:sz w:val="24"/>
            <w:szCs w:val="24"/>
            <w:u w:val="single"/>
            <w:rtl w:val="0"/>
          </w:rPr>
          <w:t xml:space="preserve">https://play.google.com/store/apps/details?id=com.rammigsoftware.bluecoins&amp;hl=en_US</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Guide - Bluecoins, fecha de acceso: febrero 24, 2026, </w:t>
      </w:r>
      <w:hyperlink r:id="rId18">
        <w:r w:rsidDel="00000000" w:rsidR="00000000" w:rsidRPr="00000000">
          <w:rPr>
            <w:rFonts w:ascii="Google Sans" w:cs="Google Sans" w:eastAsia="Google Sans" w:hAnsi="Google Sans"/>
            <w:color w:val="0000ee"/>
            <w:sz w:val="24"/>
            <w:szCs w:val="24"/>
            <w:u w:val="single"/>
            <w:rtl w:val="0"/>
          </w:rPr>
          <w:t xml:space="preserve">https://www.bluecoinsapp.com/guide/</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Guide – Page 2 - Bluecoins, fecha de acceso: febrero 24, 2026, </w:t>
      </w:r>
      <w:hyperlink r:id="rId19">
        <w:r w:rsidDel="00000000" w:rsidR="00000000" w:rsidRPr="00000000">
          <w:rPr>
            <w:rFonts w:ascii="Google Sans" w:cs="Google Sans" w:eastAsia="Google Sans" w:hAnsi="Google Sans"/>
            <w:color w:val="0000ee"/>
            <w:sz w:val="24"/>
            <w:szCs w:val="24"/>
            <w:u w:val="single"/>
            <w:rtl w:val="0"/>
          </w:rPr>
          <w:t xml:space="preserve">https://www.bluecoinsapp.com/category/user-guide/page/2/</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 User Guide - Bluecoins, fecha de acceso: febrero 24, 2026, </w:t>
      </w:r>
      <w:hyperlink r:id="rId20">
        <w:r w:rsidDel="00000000" w:rsidR="00000000" w:rsidRPr="00000000">
          <w:rPr>
            <w:rFonts w:ascii="Google Sans" w:cs="Google Sans" w:eastAsia="Google Sans" w:hAnsi="Google Sans"/>
            <w:color w:val="0000ee"/>
            <w:sz w:val="24"/>
            <w:szCs w:val="24"/>
            <w:u w:val="single"/>
            <w:rtl w:val="0"/>
          </w:rPr>
          <w:t xml:space="preserve">https://www.bluecoinsapp.com/category/user-guide/</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Balance Sheet – Bluecoins, fecha de acceso: febrero 24, 2026, </w:t>
      </w:r>
      <w:hyperlink r:id="rId21">
        <w:r w:rsidDel="00000000" w:rsidR="00000000" w:rsidRPr="00000000">
          <w:rPr>
            <w:rFonts w:ascii="Google Sans" w:cs="Google Sans" w:eastAsia="Google Sans" w:hAnsi="Google Sans"/>
            <w:color w:val="0000ee"/>
            <w:sz w:val="24"/>
            <w:szCs w:val="24"/>
            <w:u w:val="single"/>
            <w:rtl w:val="0"/>
          </w:rPr>
          <w:t xml:space="preserve">https://www.bluecoinsapp.com/balance-sheet/</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Bluecoins vs. FitFin in 2026, fecha de acceso: febrero 24, 2026, </w:t>
      </w:r>
      <w:hyperlink r:id="rId22">
        <w:r w:rsidDel="00000000" w:rsidR="00000000" w:rsidRPr="00000000">
          <w:rPr>
            <w:rFonts w:ascii="Google Sans" w:cs="Google Sans" w:eastAsia="Google Sans" w:hAnsi="Google Sans"/>
            <w:color w:val="0000ee"/>
            <w:sz w:val="24"/>
            <w:szCs w:val="24"/>
            <w:u w:val="single"/>
            <w:rtl w:val="0"/>
          </w:rPr>
          <w:t xml:space="preserve">https://slashdot.org/software/comparison/Bluecoins-vs-FitFin/</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Bluecoins vs. Business Planner in 2026 - Slashdot, fecha de acceso: febrero 24, 2026, </w:t>
      </w:r>
      <w:hyperlink r:id="rId23">
        <w:r w:rsidDel="00000000" w:rsidR="00000000" w:rsidRPr="00000000">
          <w:rPr>
            <w:rFonts w:ascii="Google Sans" w:cs="Google Sans" w:eastAsia="Google Sans" w:hAnsi="Google Sans"/>
            <w:color w:val="0000ee"/>
            <w:sz w:val="24"/>
            <w:szCs w:val="24"/>
            <w:u w:val="single"/>
            <w:rtl w:val="0"/>
          </w:rPr>
          <w:t xml:space="preserve">https://slashdot.org/software/comparison/Bluecoins-vs-Business-Planner/</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Bluecoins vs. Money Lover Comparison - SourceForge, fecha de acceso: febrero 24, 2026, </w:t>
      </w:r>
      <w:hyperlink r:id="rId24">
        <w:r w:rsidDel="00000000" w:rsidR="00000000" w:rsidRPr="00000000">
          <w:rPr>
            <w:rFonts w:ascii="Google Sans" w:cs="Google Sans" w:eastAsia="Google Sans" w:hAnsi="Google Sans"/>
            <w:color w:val="0000ee"/>
            <w:sz w:val="24"/>
            <w:szCs w:val="24"/>
            <w:u w:val="single"/>
            <w:rtl w:val="0"/>
          </w:rPr>
          <w:t xml:space="preserve">https://sourceforge.net/software/compare/Bluecoins-vs-Money-Lover/</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Bluecoins vs. Spendee in 2026 - Slashdot, fecha de acceso: febrero 24, 2026, </w:t>
      </w:r>
      <w:hyperlink r:id="rId25">
        <w:r w:rsidDel="00000000" w:rsidR="00000000" w:rsidRPr="00000000">
          <w:rPr>
            <w:rFonts w:ascii="Google Sans" w:cs="Google Sans" w:eastAsia="Google Sans" w:hAnsi="Google Sans"/>
            <w:color w:val="0000ee"/>
            <w:sz w:val="24"/>
            <w:szCs w:val="24"/>
            <w:u w:val="single"/>
            <w:rtl w:val="0"/>
          </w:rPr>
          <w:t xml:space="preserve">https://slashdot.org/software/comparison/Bluecoins-vs-Spendee/</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Quicken Is Best for You?, fecha de acceso: febrero 24, 2026, </w:t>
      </w:r>
      <w:hyperlink r:id="rId26">
        <w:r w:rsidDel="00000000" w:rsidR="00000000" w:rsidRPr="00000000">
          <w:rPr>
            <w:rFonts w:ascii="Google Sans" w:cs="Google Sans" w:eastAsia="Google Sans" w:hAnsi="Google Sans"/>
            <w:color w:val="0000ee"/>
            <w:sz w:val="24"/>
            <w:szCs w:val="24"/>
            <w:u w:val="single"/>
            <w:rtl w:val="0"/>
          </w:rPr>
          <w:t xml:space="preserve">https://www.quicken.com/blog/question-of-the-month-jan-2022/</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Plans &amp; Pricing | Quicken, fecha de acceso: febrero 24, 2026, </w:t>
      </w:r>
      <w:hyperlink r:id="rId27">
        <w:r w:rsidDel="00000000" w:rsidR="00000000" w:rsidRPr="00000000">
          <w:rPr>
            <w:rFonts w:ascii="Google Sans" w:cs="Google Sans" w:eastAsia="Google Sans" w:hAnsi="Google Sans"/>
            <w:color w:val="0000ee"/>
            <w:sz w:val="24"/>
            <w:szCs w:val="24"/>
            <w:u w:val="single"/>
            <w:rtl w:val="0"/>
          </w:rPr>
          <w:t xml:space="preserve">https://www.quicken.com/products/pricing-comparison/</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Quicken Simplifi and Quicken Classic?, fecha de acceso: febrero 24, 2026, </w:t>
      </w:r>
      <w:hyperlink r:id="rId28">
        <w:r w:rsidDel="00000000" w:rsidR="00000000" w:rsidRPr="00000000">
          <w:rPr>
            <w:rFonts w:ascii="Google Sans" w:cs="Google Sans" w:eastAsia="Google Sans" w:hAnsi="Google Sans"/>
            <w:color w:val="0000ee"/>
            <w:sz w:val="24"/>
            <w:szCs w:val="24"/>
            <w:u w:val="single"/>
            <w:rtl w:val="0"/>
          </w:rPr>
          <w:t xml:space="preserve">https://support.simplifi.quicken.com/en/articles/6380989-what-s-the-difference-between-quicken-simplifi-and-quicken-classic</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Quicken Classic vs. Simplifi: Which One Is Right for Managing Your Money? | PCMag, fecha de acceso: febrero 24, 2026, </w:t>
      </w:r>
      <w:hyperlink r:id="rId29">
        <w:r w:rsidDel="00000000" w:rsidR="00000000" w:rsidRPr="00000000">
          <w:rPr>
            <w:rFonts w:ascii="Google Sans" w:cs="Google Sans" w:eastAsia="Google Sans" w:hAnsi="Google Sans"/>
            <w:color w:val="0000ee"/>
            <w:sz w:val="24"/>
            <w:szCs w:val="24"/>
            <w:u w:val="single"/>
            <w:rtl w:val="0"/>
          </w:rPr>
          <w:t xml:space="preserve">https://www.pcmag.com/comparisons/quicken-classic-vs-simplifi</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Quicken Product for Managing Your Properties in 2025? - YouTube, fecha de acceso: febrero 24,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https://www.youtube.com/watch?v=upefvtzRya4</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Quicken Business &amp; Personal : r/simplifimoney - Reddit, fecha de acceso: febrero 24, 2026, </w:t>
      </w:r>
      <w:hyperlink r:id="rId31">
        <w:r w:rsidDel="00000000" w:rsidR="00000000" w:rsidRPr="00000000">
          <w:rPr>
            <w:rFonts w:ascii="Google Sans" w:cs="Google Sans" w:eastAsia="Google Sans" w:hAnsi="Google Sans"/>
            <w:color w:val="0000ee"/>
            <w:sz w:val="24"/>
            <w:szCs w:val="24"/>
            <w:u w:val="single"/>
            <w:rtl w:val="0"/>
          </w:rPr>
          <w:t xml:space="preserve">https://www.reddit.com/r/simplifimoney/comments/1i6rzgk/the_new_quicken_business_personal/</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Quicken Classic vs Simplifi OFFICIAL, fecha de acceso: febrero 24, 2026, </w:t>
      </w:r>
      <w:hyperlink r:id="rId32">
        <w:r w:rsidDel="00000000" w:rsidR="00000000" w:rsidRPr="00000000">
          <w:rPr>
            <w:rFonts w:ascii="Google Sans" w:cs="Google Sans" w:eastAsia="Google Sans" w:hAnsi="Google Sans"/>
            <w:color w:val="0000ee"/>
            <w:sz w:val="24"/>
            <w:szCs w:val="24"/>
            <w:u w:val="single"/>
            <w:rtl w:val="0"/>
          </w:rPr>
          <w:t xml:space="preserve">https://community.simplifimoney.com/discussion/11107/quicken-classic-vs-simplifi-official</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Monarch Money Budgeting App Review - Experian, fecha de acceso: febrero 24, 2026, </w:t>
      </w:r>
      <w:hyperlink r:id="rId33">
        <w:r w:rsidDel="00000000" w:rsidR="00000000" w:rsidRPr="00000000">
          <w:rPr>
            <w:rFonts w:ascii="Google Sans" w:cs="Google Sans" w:eastAsia="Google Sans" w:hAnsi="Google Sans"/>
            <w:color w:val="0000ee"/>
            <w:sz w:val="24"/>
            <w:szCs w:val="24"/>
            <w:u w:val="single"/>
            <w:rtl w:val="0"/>
          </w:rPr>
          <w:t xml:space="preserve">https://www.experian.com/blogs/ask-experian/monarch-money-review/</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Monarch Money Make Budgeting With Your Partner Easier? Here's My Honest Review, fecha de acceso: febrero 24, 2026, </w:t>
      </w:r>
      <w:hyperlink r:id="rId34">
        <w:r w:rsidDel="00000000" w:rsidR="00000000" w:rsidRPr="00000000">
          <w:rPr>
            <w:rFonts w:ascii="Google Sans" w:cs="Google Sans" w:eastAsia="Google Sans" w:hAnsi="Google Sans"/>
            <w:color w:val="0000ee"/>
            <w:sz w:val="24"/>
            <w:szCs w:val="24"/>
            <w:u w:val="single"/>
            <w:rtl w:val="0"/>
          </w:rPr>
          <w:t xml:space="preserve">https://www.nerdwallet.com/finance/learn/monarch-money-app-review</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Monarch Money Review 2025: Best Budgeting App for Couples - CNET, fecha de acceso: febrero 24, 2026, </w:t>
      </w:r>
      <w:hyperlink r:id="rId35">
        <w:r w:rsidDel="00000000" w:rsidR="00000000" w:rsidRPr="00000000">
          <w:rPr>
            <w:rFonts w:ascii="Google Sans" w:cs="Google Sans" w:eastAsia="Google Sans" w:hAnsi="Google Sans"/>
            <w:color w:val="0000ee"/>
            <w:sz w:val="24"/>
            <w:szCs w:val="24"/>
            <w:u w:val="single"/>
            <w:rtl w:val="0"/>
          </w:rPr>
          <w:t xml:space="preserve">https://www.cnet.com/personal-finance/banking/monarch-money/</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3 Personal Finance Apps in 2026 - John Marshall Bank, fecha de acceso: febrero 24, 2026, </w:t>
      </w:r>
      <w:hyperlink r:id="rId36">
        <w:r w:rsidDel="00000000" w:rsidR="00000000" w:rsidRPr="00000000">
          <w:rPr>
            <w:rFonts w:ascii="Google Sans" w:cs="Google Sans" w:eastAsia="Google Sans" w:hAnsi="Google Sans"/>
            <w:color w:val="0000ee"/>
            <w:sz w:val="24"/>
            <w:szCs w:val="24"/>
            <w:u w:val="single"/>
            <w:rtl w:val="0"/>
          </w:rPr>
          <w:t xml:space="preserve">https://www.johnmarshallbank.com/resources/personal-finance/personal-finance-apps/</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 YNAB, fecha de acceso: febrero 24, 2026, </w:t>
      </w:r>
      <w:hyperlink r:id="rId37">
        <w:r w:rsidDel="00000000" w:rsidR="00000000" w:rsidRPr="00000000">
          <w:rPr>
            <w:rFonts w:ascii="Google Sans" w:cs="Google Sans" w:eastAsia="Google Sans" w:hAnsi="Google Sans"/>
            <w:color w:val="0000ee"/>
            <w:sz w:val="24"/>
            <w:szCs w:val="24"/>
            <w:u w:val="single"/>
            <w:rtl w:val="0"/>
          </w:rPr>
          <w:t xml:space="preserve">https://www.ynab.com/features</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Money Tracker by Spendee - App Store - Apple, fecha de acceso: febrero 24, 2026, </w:t>
      </w:r>
      <w:hyperlink r:id="rId38">
        <w:r w:rsidDel="00000000" w:rsidR="00000000" w:rsidRPr="00000000">
          <w:rPr>
            <w:rFonts w:ascii="Google Sans" w:cs="Google Sans" w:eastAsia="Google Sans" w:hAnsi="Google Sans"/>
            <w:color w:val="0000ee"/>
            <w:sz w:val="24"/>
            <w:szCs w:val="24"/>
            <w:u w:val="single"/>
            <w:rtl w:val="0"/>
          </w:rPr>
          <w:t xml:space="preserve">https://apps.apple.com/ua/app/money-tracker-by-spendee/id635861140</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App &amp; Tracker: Spendee - Apps on Google Play, fecha de acceso: febrero 24, 2026, </w:t>
      </w:r>
      <w:hyperlink r:id="rId39">
        <w:r w:rsidDel="00000000" w:rsidR="00000000" w:rsidRPr="00000000">
          <w:rPr>
            <w:rFonts w:ascii="Google Sans" w:cs="Google Sans" w:eastAsia="Google Sans" w:hAnsi="Google Sans"/>
            <w:color w:val="0000ee"/>
            <w:sz w:val="24"/>
            <w:szCs w:val="24"/>
            <w:u w:val="single"/>
            <w:rtl w:val="0"/>
          </w:rPr>
          <w:t xml:space="preserve">https://play.google.com/store/apps/details?id=com.cleevio.spendee&amp;hl=en_US</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finally found the best expense tracker app on Android after years of ..., fecha de acceso: febrero 24, 2026, </w:t>
      </w:r>
      <w:hyperlink r:id="rId40">
        <w:r w:rsidDel="00000000" w:rsidR="00000000" w:rsidRPr="00000000">
          <w:rPr>
            <w:rFonts w:ascii="Google Sans" w:cs="Google Sans" w:eastAsia="Google Sans" w:hAnsi="Google Sans"/>
            <w:color w:val="0000ee"/>
            <w:sz w:val="24"/>
            <w:szCs w:val="24"/>
            <w:u w:val="single"/>
            <w:rtl w:val="0"/>
          </w:rPr>
          <w:t xml:space="preserve">https://www.androidpolice.com/best-expense-tracker-app-on-android/</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Spendee: Money Manager &amp; Budget Planner, fecha de acceso: febrero 24, 2026, </w:t>
      </w:r>
      <w:hyperlink r:id="rId41">
        <w:r w:rsidDel="00000000" w:rsidR="00000000" w:rsidRPr="00000000">
          <w:rPr>
            <w:rFonts w:ascii="Google Sans" w:cs="Google Sans" w:eastAsia="Google Sans" w:hAnsi="Google Sans"/>
            <w:color w:val="0000ee"/>
            <w:sz w:val="24"/>
            <w:szCs w:val="24"/>
            <w:u w:val="single"/>
            <w:rtl w:val="0"/>
          </w:rPr>
          <w:t xml:space="preserve">https://www.spendee.com/</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Shared Wallets - Spendee Help Center, fecha de acceso: febrero 24, 2026, </w:t>
      </w:r>
      <w:hyperlink r:id="rId42">
        <w:r w:rsidDel="00000000" w:rsidR="00000000" w:rsidRPr="00000000">
          <w:rPr>
            <w:rFonts w:ascii="Google Sans" w:cs="Google Sans" w:eastAsia="Google Sans" w:hAnsi="Google Sans"/>
            <w:color w:val="0000ee"/>
            <w:sz w:val="24"/>
            <w:szCs w:val="24"/>
            <w:u w:val="single"/>
            <w:rtl w:val="0"/>
          </w:rPr>
          <w:t xml:space="preserve">https://help.spendee.com/article/224-shared-wallets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Mobills an even more powerful PFM with Open Finance ..., fecha de acceso: febrero 24, 2026, </w:t>
      </w:r>
      <w:hyperlink r:id="rId43">
        <w:r w:rsidDel="00000000" w:rsidR="00000000" w:rsidRPr="00000000">
          <w:rPr>
            <w:rFonts w:ascii="Google Sans" w:cs="Google Sans" w:eastAsia="Google Sans" w:hAnsi="Google Sans"/>
            <w:color w:val="0000ee"/>
            <w:sz w:val="24"/>
            <w:szCs w:val="24"/>
            <w:u w:val="single"/>
            <w:rtl w:val="0"/>
          </w:rPr>
          <w:t xml:space="preserve">https://belvo.com/customer-stories/mobills/</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Mobills: Budget Planner - Apps on Google Play, fecha de acceso: febrero 24, 2026, </w:t>
      </w:r>
      <w:hyperlink r:id="rId44">
        <w:r w:rsidDel="00000000" w:rsidR="00000000" w:rsidRPr="00000000">
          <w:rPr>
            <w:rFonts w:ascii="Google Sans" w:cs="Google Sans" w:eastAsia="Google Sans" w:hAnsi="Google Sans"/>
            <w:color w:val="0000ee"/>
            <w:sz w:val="24"/>
            <w:szCs w:val="24"/>
            <w:u w:val="single"/>
            <w:rtl w:val="0"/>
          </w:rPr>
          <w:t xml:space="preserve">https://play.google.com/store/apps/details?id=br.com.gerenciadorfinanceiro.controller</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Mobills - Budget Planner - App Store - Apple, fecha de acceso: febrero 24, 2026, </w:t>
      </w:r>
      <w:hyperlink r:id="rId45">
        <w:r w:rsidDel="00000000" w:rsidR="00000000" w:rsidRPr="00000000">
          <w:rPr>
            <w:rFonts w:ascii="Google Sans" w:cs="Google Sans" w:eastAsia="Google Sans" w:hAnsi="Google Sans"/>
            <w:color w:val="0000ee"/>
            <w:sz w:val="24"/>
            <w:szCs w:val="24"/>
            <w:u w:val="single"/>
            <w:rtl w:val="0"/>
          </w:rPr>
          <w:t xml:space="preserve">https://apps.apple.com/us/app/mobills-budget-planner/id921838244</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Organiza tu Dinero y Ahorra con la App de Fintonic, fecha de acceso: febrero 24, 2026, </w:t>
      </w:r>
      <w:hyperlink r:id="rId46">
        <w:r w:rsidDel="00000000" w:rsidR="00000000" w:rsidRPr="00000000">
          <w:rPr>
            <w:rFonts w:ascii="Google Sans" w:cs="Google Sans" w:eastAsia="Google Sans" w:hAnsi="Google Sans"/>
            <w:color w:val="0000ee"/>
            <w:sz w:val="24"/>
            <w:szCs w:val="24"/>
            <w:u w:val="single"/>
            <w:rtl w:val="0"/>
          </w:rPr>
          <w:t xml:space="preserve">https://www.fintonic.com/es-ES/inicio/</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Start any Plan with a 7 day Free Trial | Spendee, fecha de acceso: febrero 24, 2026, </w:t>
      </w:r>
      <w:hyperlink r:id="rId47">
        <w:r w:rsidDel="00000000" w:rsidR="00000000" w:rsidRPr="00000000">
          <w:rPr>
            <w:rFonts w:ascii="Google Sans" w:cs="Google Sans" w:eastAsia="Google Sans" w:hAnsi="Google Sans"/>
            <w:color w:val="0000ee"/>
            <w:sz w:val="24"/>
            <w:szCs w:val="24"/>
            <w:u w:val="single"/>
            <w:rtl w:val="0"/>
          </w:rPr>
          <w:t xml:space="preserve">https://www.spendee.com/pricing</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Mobills - Budget Planner - App Store - Apple, fecha de acceso: febrero 24, 2026, </w:t>
      </w:r>
      <w:hyperlink r:id="rId48">
        <w:r w:rsidDel="00000000" w:rsidR="00000000" w:rsidRPr="00000000">
          <w:rPr>
            <w:rFonts w:ascii="Google Sans" w:cs="Google Sans" w:eastAsia="Google Sans" w:hAnsi="Google Sans"/>
            <w:color w:val="0000ee"/>
            <w:sz w:val="24"/>
            <w:szCs w:val="24"/>
            <w:u w:val="single"/>
            <w:rtl w:val="0"/>
          </w:rPr>
          <w:t xml:space="preserve">https://apps.apple.com/ca/app/mobills-budget-planner/id921838244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ndroidpolice.com/best-expense-tracker-app-on-android/" TargetMode="External"/><Relationship Id="rId20" Type="http://schemas.openxmlformats.org/officeDocument/2006/relationships/hyperlink" Target="https://www.bluecoinsapp.com/category/user-guide/" TargetMode="External"/><Relationship Id="rId42" Type="http://schemas.openxmlformats.org/officeDocument/2006/relationships/hyperlink" Target="https://help.spendee.com/article/224-shared-wallets" TargetMode="External"/><Relationship Id="rId41" Type="http://schemas.openxmlformats.org/officeDocument/2006/relationships/hyperlink" Target="https://www.spendee.com/" TargetMode="External"/><Relationship Id="rId22" Type="http://schemas.openxmlformats.org/officeDocument/2006/relationships/hyperlink" Target="https://slashdot.org/software/comparison/Bluecoins-vs-FitFin/" TargetMode="External"/><Relationship Id="rId44" Type="http://schemas.openxmlformats.org/officeDocument/2006/relationships/hyperlink" Target="https://play.google.com/store/apps/details?id=br.com.gerenciadorfinanceiro.controller" TargetMode="External"/><Relationship Id="rId21" Type="http://schemas.openxmlformats.org/officeDocument/2006/relationships/hyperlink" Target="https://www.bluecoinsapp.com/balance-sheet/" TargetMode="External"/><Relationship Id="rId43" Type="http://schemas.openxmlformats.org/officeDocument/2006/relationships/hyperlink" Target="https://belvo.com/customer-stories/mobills/" TargetMode="External"/><Relationship Id="rId24" Type="http://schemas.openxmlformats.org/officeDocument/2006/relationships/hyperlink" Target="https://sourceforge.net/software/compare/Bluecoins-vs-Money-Lover/" TargetMode="External"/><Relationship Id="rId46" Type="http://schemas.openxmlformats.org/officeDocument/2006/relationships/hyperlink" Target="https://www.fintonic.com/es-ES/inicio/" TargetMode="External"/><Relationship Id="rId23" Type="http://schemas.openxmlformats.org/officeDocument/2006/relationships/hyperlink" Target="https://slashdot.org/software/comparison/Bluecoins-vs-Business-Planner/" TargetMode="External"/><Relationship Id="rId45" Type="http://schemas.openxmlformats.org/officeDocument/2006/relationships/hyperlink" Target="https://apps.apple.com/us/app/mobills-budget-planner/id9218382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rketresearchfuture.com/reports/personal-finance-mobile-app-market-22409" TargetMode="External"/><Relationship Id="rId26" Type="http://schemas.openxmlformats.org/officeDocument/2006/relationships/hyperlink" Target="https://www.quicken.com/blog/question-of-the-month-jan-2022/" TargetMode="External"/><Relationship Id="rId48" Type="http://schemas.openxmlformats.org/officeDocument/2006/relationships/hyperlink" Target="https://apps.apple.com/ca/app/mobills-budget-planner/id921838244" TargetMode="External"/><Relationship Id="rId25" Type="http://schemas.openxmlformats.org/officeDocument/2006/relationships/hyperlink" Target="https://slashdot.org/software/comparison/Bluecoins-vs-Spendee/" TargetMode="External"/><Relationship Id="rId47" Type="http://schemas.openxmlformats.org/officeDocument/2006/relationships/hyperlink" Target="https://www.spendee.com/pricing" TargetMode="External"/><Relationship Id="rId28" Type="http://schemas.openxmlformats.org/officeDocument/2006/relationships/hyperlink" Target="https://support.simplifi.quicken.com/en/articles/6380989-what-s-the-difference-between-quicken-simplifi-and-quicken-classic" TargetMode="External"/><Relationship Id="rId27" Type="http://schemas.openxmlformats.org/officeDocument/2006/relationships/hyperlink" Target="https://www.quicken.com/products/pricing-comparison/"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pcmag.com/comparisons/quicken-classic-vs-simplifi" TargetMode="External"/><Relationship Id="rId7" Type="http://schemas.openxmlformats.org/officeDocument/2006/relationships/image" Target="media/image2.png"/><Relationship Id="rId8" Type="http://schemas.openxmlformats.org/officeDocument/2006/relationships/hyperlink" Target="https://www.fortunebusinessinsights.com/personal-finance-software-market-112683" TargetMode="External"/><Relationship Id="rId31" Type="http://schemas.openxmlformats.org/officeDocument/2006/relationships/hyperlink" Target="https://www.reddit.com/r/simplifimoney/comments/1i6rzgk/the_new_quicken_business_personal/" TargetMode="External"/><Relationship Id="rId30" Type="http://schemas.openxmlformats.org/officeDocument/2006/relationships/hyperlink" Target="https://www.youtube.com/watch?v=upefvtzRya4" TargetMode="External"/><Relationship Id="rId11" Type="http://schemas.openxmlformats.org/officeDocument/2006/relationships/hyperlink" Target="https://www.itscredit.com/blog/shaping-the-future-of-finance-lessons-from-2025-priorities-for-2026?hsLang=en" TargetMode="External"/><Relationship Id="rId33" Type="http://schemas.openxmlformats.org/officeDocument/2006/relationships/hyperlink" Target="https://www.experian.com/blogs/ask-experian/monarch-money-review/" TargetMode="External"/><Relationship Id="rId10" Type="http://schemas.openxmlformats.org/officeDocument/2006/relationships/hyperlink" Target="https://www.researchnester.com/reports/personal-finance-apps-market/8243" TargetMode="External"/><Relationship Id="rId32" Type="http://schemas.openxmlformats.org/officeDocument/2006/relationships/hyperlink" Target="https://community.simplifimoney.com/discussion/11107/quicken-classic-vs-simplifi-official" TargetMode="External"/><Relationship Id="rId13" Type="http://schemas.openxmlformats.org/officeDocument/2006/relationships/hyperlink" Target="https://sensortower.com/blog/2025-q4-unified-top-5-personal-finance-budgeting-and-planning-units-latin-am-63e363f0e1714cfff1979caa" TargetMode="External"/><Relationship Id="rId35" Type="http://schemas.openxmlformats.org/officeDocument/2006/relationships/hyperlink" Target="https://www.cnet.com/personal-finance/banking/monarch-money/" TargetMode="External"/><Relationship Id="rId12" Type="http://schemas.openxmlformats.org/officeDocument/2006/relationships/hyperlink" Target="https://www.researchandmarkets.com/report/personal-finance-app-market" TargetMode="External"/><Relationship Id="rId34" Type="http://schemas.openxmlformats.org/officeDocument/2006/relationships/hyperlink" Target="https://www.nerdwallet.com/finance/learn/monarch-money-app-review" TargetMode="External"/><Relationship Id="rId15" Type="http://schemas.openxmlformats.org/officeDocument/2006/relationships/hyperlink" Target="https://play.google.com/store/apps/details?id=com.rammigsoftware.bluecoins&amp;hl=en_IN" TargetMode="External"/><Relationship Id="rId37" Type="http://schemas.openxmlformats.org/officeDocument/2006/relationships/hyperlink" Target="https://www.ynab.com/features" TargetMode="External"/><Relationship Id="rId14" Type="http://schemas.openxmlformats.org/officeDocument/2006/relationships/hyperlink" Target="https://sensortower.com/blog/2025-q4-android-top-5-personal-finance-budgeting-and-planning-revenue-latin-am-63e363f0e1714cfff1979caa" TargetMode="External"/><Relationship Id="rId36" Type="http://schemas.openxmlformats.org/officeDocument/2006/relationships/hyperlink" Target="https://www.johnmarshallbank.com/resources/personal-finance/personal-finance-apps/" TargetMode="External"/><Relationship Id="rId17" Type="http://schemas.openxmlformats.org/officeDocument/2006/relationships/hyperlink" Target="https://play.google.com/store/apps/details?id=com.rammigsoftware.bluecoins&amp;hl=en_US" TargetMode="External"/><Relationship Id="rId39" Type="http://schemas.openxmlformats.org/officeDocument/2006/relationships/hyperlink" Target="https://play.google.com/store/apps/details?id=com.cleevio.spendee&amp;hl=en_US" TargetMode="External"/><Relationship Id="rId16" Type="http://schemas.openxmlformats.org/officeDocument/2006/relationships/hyperlink" Target="https://www.bluecoinsapp.com/" TargetMode="External"/><Relationship Id="rId38" Type="http://schemas.openxmlformats.org/officeDocument/2006/relationships/hyperlink" Target="https://apps.apple.com/ua/app/money-tracker-by-spendee/id635861140" TargetMode="External"/><Relationship Id="rId19" Type="http://schemas.openxmlformats.org/officeDocument/2006/relationships/hyperlink" Target="https://www.bluecoinsapp.com/category/user-guide/page/2/" TargetMode="External"/><Relationship Id="rId18" Type="http://schemas.openxmlformats.org/officeDocument/2006/relationships/hyperlink" Target="https://www.bluecoinsapp.com/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