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B6EA5"/>
          <w:sz w:val="20"/>
          <w:szCs w:val="20"/>
        </w:rPr>
        <w:t xml:space="preserve">CMPG 325 — COMPUTER NETWORKS</w:t>
      </w:r>
    </w:p>
    <w:p>
      <w:pPr>
        <w:spacing w:after="40"/>
      </w:pPr>
      <w:r>
        <w:rPr>
          <w:b/>
          <w:bCs/>
          <w:color w:val="0B2545"/>
          <w:sz w:val="44"/>
          <w:szCs w:val="44"/>
        </w:rPr>
        <w:t xml:space="preserve">INDIVIDUAL PROJECT · MILESTONE 1</w:t>
      </w:r>
    </w:p>
    <w:p>
      <w:pPr>
        <w:spacing w:after="260"/>
      </w:pPr>
      <w:r>
        <w:rPr>
          <w:b/>
          <w:bCs/>
          <w:color w:val="274472"/>
          <w:sz w:val="27"/>
          <w:szCs w:val="27"/>
        </w:rPr>
        <w:t xml:space="preserve">Client Design Review — Tshimo Agri Supplies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Student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Maluleke, Kurhula Success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Student Number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48277444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CMPG325-2026-042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Client ID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CLI-042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Assigned Organisation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Tshimo Agri Supplies (Potchefstroom)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Industry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Agriculture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Assigned Addressing Block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10.23.0.0/16</w:t>
            </w:r>
          </w:p>
        </w:tc>
      </w:tr>
      <w:tr>
        <w:tc>
          <w:tcPr>
            <w:tcW w:type="dxa" w:w="3000"/>
            <w:shd w:fill="EAF1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Assigned Networking Challenge</w:t>
            </w:r>
          </w:p>
        </w:tc>
        <w:tc>
          <w:tcPr>
            <w:tcW w:type="dxa" w:w="60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Network Troubleshooting (fault isolation scenario) — Advanced</w:t>
            </w:r>
          </w:p>
        </w:tc>
      </w:tr>
    </w:tbl>
    <w:p>
      <w:pPr>
        <w:spacing w:after="260"/>
      </w:pPr>
    </w:p>
    <w:p>
      <w:pPr>
        <w:jc w:val="center"/>
      </w:pPr>
      <w:r>
        <w:drawing>
          <wp:inline distT="0" distB="0" distL="0" distR="0">
            <wp:extent cx="59055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40"/>
      </w:pPr>
    </w:p>
    <w:p>
      <w:r>
        <w:br w:type="page"/>
      </w:r>
    </w:p>
    <w:p>
      <w:pPr>
        <w:pStyle w:val="Heading1"/>
        <w:spacing w:after="260"/>
      </w:pPr>
      <w:r>
        <w:rPr>
          <w:b/>
          <w:bCs/>
          <w:color w:val="0B2545"/>
        </w:rPr>
        <w:t xml:space="preserve">Contents</w:t>
      </w:r>
    </w:p>
    <w:p>
      <w:pPr>
        <w:tabs>
          <w:tab w:val="right" w:pos="9026" w:leader="dot"/>
        </w:tabs>
        <w:spacing w:after="130"/>
      </w:pPr>
      <w:r>
        <w:rPr>
          <w:b/>
          <w:bCs/>
          <w:color w:val="0B2545"/>
          <w:sz w:val="23"/>
          <w:szCs w:val="23"/>
        </w:rPr>
        <w:t xml:space="preserve">1.   Client Requirements</w:t>
      </w:r>
    </w:p>
    <w:p>
      <w:pPr>
        <w:tabs>
          <w:tab w:val="right" w:pos="9026" w:leader="dot"/>
        </w:tabs>
        <w:spacing w:after="130"/>
      </w:pPr>
      <w:r>
        <w:rPr>
          <w:b/>
          <w:bCs/>
          <w:color w:val="0B2545"/>
          <w:sz w:val="23"/>
          <w:szCs w:val="23"/>
        </w:rPr>
        <w:t xml:space="preserve">2.   Physical Topology</w:t>
      </w:r>
    </w:p>
    <w:p>
      <w:pPr>
        <w:tabs>
          <w:tab w:val="right" w:pos="9026" w:leader="dot"/>
        </w:tabs>
        <w:spacing w:after="130"/>
      </w:pPr>
      <w:r>
        <w:rPr>
          <w:b/>
          <w:bCs/>
          <w:color w:val="0B2545"/>
          <w:sz w:val="23"/>
          <w:szCs w:val="23"/>
        </w:rPr>
        <w:t xml:space="preserve">3.   Logical Topology</w:t>
      </w:r>
    </w:p>
    <w:p>
      <w:pPr>
        <w:tabs>
          <w:tab w:val="right" w:pos="9026" w:leader="dot"/>
        </w:tabs>
        <w:spacing w:after="130"/>
      </w:pPr>
      <w:r>
        <w:rPr>
          <w:b/>
          <w:bCs/>
          <w:color w:val="0B2545"/>
          <w:sz w:val="23"/>
          <w:szCs w:val="23"/>
        </w:rPr>
        <w:t xml:space="preserve">4.   IP Addressing Plan</w:t>
      </w:r>
    </w:p>
    <w:p>
      <w:pPr>
        <w:tabs>
          <w:tab w:val="right" w:pos="9026" w:leader="dot"/>
        </w:tabs>
        <w:spacing w:after="130"/>
      </w:pPr>
      <w:r>
        <w:rPr>
          <w:b/>
          <w:bCs/>
          <w:color w:val="0B2545"/>
          <w:sz w:val="23"/>
          <w:szCs w:val="23"/>
        </w:rPr>
        <w:t xml:space="preserve">5.   Initial GitHub Repository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2"/>
              <w:left w:val="single" w:color="3B6EA5" w:sz="24"/>
              <w:bottom w:val="single" w:color="EAF1FB" w:sz="2"/>
              <w:right w:val="single" w:color="EAF1FB" w:sz="2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Design Philosophy</w:t>
            </w:r>
          </w:p>
          <w:p>
            <w:pPr>
              <w:spacing w:after="55"/>
            </w:pPr>
            <w:r>
              <w:rPr>
                <w:color w:val="101828"/>
                <w:sz w:val="20"/>
                <w:szCs w:val="20"/>
              </w:rPr>
              <w:t xml:space="preserve">Every decision in this plan follows one rule: solve the requirement by allocation, not by re-architecture. Uniform subnet sizes, a single summarizable HQ route, and untouched reserved space mean the branch-office constraint and CR1 are both already solved before they happen.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0" w:space="6"/>
        </w:pBdr>
        <w:spacing w:after="180" w:before="420"/>
      </w:pPr>
      <w:r>
        <w:rPr>
          <w:b/>
          <w:bCs/>
          <w:color w:val="0B2545"/>
        </w:rPr>
        <w:t xml:space="preserve">1.  Client Requirements</w:t>
      </w:r>
    </w:p>
    <w:p>
      <w:pPr>
        <w:pStyle w:val="Heading2"/>
        <w:spacing w:after="120" w:before="260"/>
      </w:pPr>
      <w:r>
        <w:rPr>
          <w:color w:val="274472"/>
        </w:rPr>
        <w:t xml:space="preserve">1.1  Stated Requirements (from project brief)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Assigned organisation: Tshimo Agri Supplies (Potchefstroom); Industry: Agriculture.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Assigned addressing block: 10.23.0.0/16 — must form the basis of the entire IP addressing plan.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Provide appropriate connectivity and network services for the assigned scenario.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Design Constraint: a branch office may be opened within 18 months — the addressing plan must allow for it without redesign.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Client Change Request (CR1): the client signs 8 additional staff in one department — capacity must be added without redesigning the network.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Produce a working, testable Cisco Packet Tracer implementation, and demonstrate the assigned challenge: Network Troubleshooting (fault isolation scenario).</w:t>
      </w:r>
    </w:p>
    <w:p>
      <w:pPr>
        <w:pStyle w:val="Heading2"/>
        <w:spacing w:after="120" w:before="260"/>
      </w:pPr>
      <w:r>
        <w:rPr>
          <w:color w:val="274472"/>
        </w:rPr>
        <w:t xml:space="preserve">1.2  Interpreted Organisational Requirements (design assumption)</w:t>
      </w: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The brief does not specify Tshimo Agri Supplies' internal department structure, so the following breakdown was adopted for a small-to-medium agricultural supply business. This assumption drives the topology and addressing plan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226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Staff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Administration / Management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HR, finance, general management</w:t>
            </w:r>
          </w:p>
        </w:tc>
        <w:tc>
          <w:tcPr>
            <w:tcW w:type="dxa" w:w="32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Customer-facing sales &amp; orders</w:t>
            </w:r>
          </w:p>
        </w:tc>
        <w:tc>
          <w:tcPr>
            <w:tcW w:type="dxa" w:w="32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Warehouse / Logistics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Stock, dispatch, delivery (CR1 department)</w:t>
            </w:r>
          </w:p>
        </w:tc>
        <w:tc>
          <w:tcPr>
            <w:tcW w:type="dxa" w:w="32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 (+8 via CR1 = 20)</w:t>
            </w:r>
          </w:p>
        </w:tc>
      </w:tr>
      <w:tr>
        <w:tc>
          <w:tcPr>
            <w:tcW w:type="dxa" w:w="2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IT / Server Room</w:t>
            </w:r>
          </w:p>
        </w:tc>
        <w:tc>
          <w:tcPr>
            <w:tcW w:type="dxa" w:w="32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DHCP, DNS and File/ERP services</w:t>
            </w:r>
          </w:p>
        </w:tc>
        <w:tc>
          <w:tcPr>
            <w:tcW w:type="dxa" w:w="32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servers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CR1 is applied to the Warehouse / Logistics department, since staffing growth in an agricultural supply business most plausibly occurs in stock handling and dispatch as client volume grows.</w:t>
      </w:r>
    </w:p>
    <w:p>
      <w:r>
        <w:br w:type="page"/>
      </w:r>
    </w:p>
    <w:p>
      <w:pPr>
        <w:pStyle w:val="Heading1"/>
        <w:pBdr>
          <w:bottom w:val="single" w:color="C8952A" w:sz="10" w:space="6"/>
        </w:pBdr>
        <w:spacing w:after="180" w:before="420"/>
      </w:pPr>
      <w:r>
        <w:rPr>
          <w:b/>
          <w:bCs/>
          <w:color w:val="0B2545"/>
        </w:rPr>
        <w:t xml:space="preserve">2.  Physical Topology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physical topology shows the devices, device roles and cabling for the Tshimo Agri Supplies head office in Potchefstroom. A single edge router provides the WAN connection; a core switch distributes 802.1Q trunks down to one access switch per department, keeping every department electrically and logically separate while sharing a single router for inter-department routing.</w:t>
      </w:r>
    </w:p>
    <w:p>
      <w:pPr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10"/>
        <w:jc w:val="center"/>
      </w:pPr>
      <w:r>
        <w:rPr>
          <w:i/>
          <w:iCs/>
          <w:color w:val="555555"/>
          <w:sz w:val="18"/>
          <w:szCs w:val="18"/>
        </w:rPr>
        <w:t xml:space="preserve">Figure 1 — Physical Topology, Tshimo Agri Supplies HQ (Potchefstroom)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826"/>
      </w:tblGrid>
      <w:tr>
        <w:tc>
          <w:tcPr>
            <w:tcW w:type="dxa" w:w="14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24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PT Model</w:t>
            </w:r>
          </w:p>
        </w:tc>
        <w:tc>
          <w:tcPr>
            <w:tcW w:type="dxa" w:w="2826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Interfaces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Edge router — WAN uplink, inter-VLAN routing (router-on-a-stick), NAT/PAT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Cisco 4321 / 2911</w:t>
            </w:r>
          </w:p>
        </w:tc>
        <w:tc>
          <w:tcPr>
            <w:tcW w:type="dxa" w:w="2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Gi0/0 (trunk to SW-CORE), Gi0/1 (WAN to ISP)</w:t>
            </w:r>
          </w:p>
        </w:tc>
      </w:tr>
      <w:tr>
        <w:tc>
          <w:tcPr>
            <w:tcW w:type="dxa" w:w="14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SW-CORE</w:t>
            </w:r>
          </w:p>
        </w:tc>
        <w:tc>
          <w:tcPr>
            <w:tcW w:type="dxa" w:w="24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Distribution switch — trunks VLANs between R1 and access layer</w:t>
            </w:r>
          </w:p>
        </w:tc>
        <w:tc>
          <w:tcPr>
            <w:tcW w:type="dxa" w:w="24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Cisco 2960</w:t>
            </w:r>
          </w:p>
        </w:tc>
        <w:tc>
          <w:tcPr>
            <w:tcW w:type="dxa" w:w="28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Trunk ports to R1 and each access switch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SW-ADM / SW-SAL / SW-WH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Access switches — one per department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Cisco 2960 (24-port)</w:t>
            </w:r>
          </w:p>
        </w:tc>
        <w:tc>
          <w:tcPr>
            <w:tcW w:type="dxa" w:w="2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Access ports to PCs, uplink trunk to core</w:t>
            </w:r>
          </w:p>
        </w:tc>
      </w:tr>
      <w:tr>
        <w:tc>
          <w:tcPr>
            <w:tcW w:type="dxa" w:w="14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SW-SRV</w:t>
            </w:r>
          </w:p>
        </w:tc>
        <w:tc>
          <w:tcPr>
            <w:tcW w:type="dxa" w:w="24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Access switch — server segment</w:t>
            </w:r>
          </w:p>
        </w:tc>
        <w:tc>
          <w:tcPr>
            <w:tcW w:type="dxa" w:w="24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Cisco 2960</w:t>
            </w:r>
          </w:p>
        </w:tc>
        <w:tc>
          <w:tcPr>
            <w:tcW w:type="dxa" w:w="28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Access ports to DHCP/DNS/File servers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End devices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Department PCs + 3 servers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PC-PT / Server-PT</w:t>
            </w:r>
          </w:p>
        </w:tc>
        <w:tc>
          <w:tcPr>
            <w:tcW w:type="dxa" w:w="28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FastEthernet to access switch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Note: access switches are specified as 24-port models even where current headcount is lower (e.g. Admin at 8 PCs), so CR1-style headcount growth is absorbed at the physical layer as well as the addressing layer — see Section 4.</w:t>
      </w:r>
    </w:p>
    <w:p>
      <w:r>
        <w:br w:type="page"/>
      </w:r>
    </w:p>
    <w:p>
      <w:pPr>
        <w:pStyle w:val="Heading1"/>
        <w:pBdr>
          <w:bottom w:val="single" w:color="C8952A" w:sz="10" w:space="6"/>
        </w:pBdr>
        <w:spacing w:after="180" w:before="420"/>
      </w:pPr>
      <w:r>
        <w:rPr>
          <w:b/>
          <w:bCs/>
          <w:color w:val="0B2545"/>
        </w:rPr>
        <w:t xml:space="preserve">3.  Logical Topology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Logically, each department is a separate VLAN. R1 performs inter-VLAN routing using a router-on-a-stick design (one sub-interface per VLAN on Gi0/0), and provides the default route out to the ISP on Gi0/1 with NAT/PAT for internet-bound traffic. DHCP is served from a dedicated DHCP server in the Server VLAN rather than the router, to reflect realistic enterprise practice.</w:t>
      </w:r>
    </w:p>
    <w:p>
      <w:pPr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10"/>
        <w:jc w:val="center"/>
      </w:pPr>
      <w:r>
        <w:rPr>
          <w:i/>
          <w:iCs/>
          <w:color w:val="555555"/>
          <w:sz w:val="18"/>
          <w:szCs w:val="18"/>
        </w:rPr>
        <w:t xml:space="preserve">Figure 2 — Logical Topology: VLANs, subnets and default gateways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600"/>
        <w:gridCol w:w="2726"/>
      </w:tblGrid>
      <w:tr>
        <w:tc>
          <w:tcPr>
            <w:tcW w:type="dxa" w:w="9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726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Administration / Management</w:t>
            </w:r>
          </w:p>
        </w:tc>
        <w:tc>
          <w:tcPr>
            <w:tcW w:type="dxa" w:w="27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10.23.0.0/26</w:t>
            </w:r>
          </w:p>
        </w:tc>
      </w:tr>
      <w:tr>
        <w:tc>
          <w:tcPr>
            <w:tcW w:type="dxa" w:w="9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3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27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10.23.0.64/26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WAREHOUSE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Warehouse / Logistics (CR1 department)</w:t>
            </w:r>
          </w:p>
        </w:tc>
        <w:tc>
          <w:tcPr>
            <w:tcW w:type="dxa" w:w="27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10.23.0.128/26</w:t>
            </w:r>
          </w:p>
        </w:tc>
      </w:tr>
      <w:tr>
        <w:tc>
          <w:tcPr>
            <w:tcW w:type="dxa" w:w="9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SERVERS</w:t>
            </w:r>
          </w:p>
        </w:tc>
        <w:tc>
          <w:tcPr>
            <w:tcW w:type="dxa" w:w="3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DHCP, DNS, File/ERP servers</w:t>
            </w:r>
          </w:p>
        </w:tc>
        <w:tc>
          <w:tcPr>
            <w:tcW w:type="dxa" w:w="27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10.23.0.192/26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MGMT-NATIVE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Switch management / native VLAN (no user traffic)</w:t>
            </w:r>
          </w:p>
        </w:tc>
        <w:tc>
          <w:tcPr>
            <w:tcW w:type="dxa" w:w="27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10.23.1.16/28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0" w:space="6"/>
        </w:pBdr>
        <w:spacing w:after="180" w:before="420"/>
      </w:pPr>
      <w:r>
        <w:rPr>
          <w:b/>
          <w:bCs/>
          <w:color w:val="0B2545"/>
        </w:rPr>
        <w:t xml:space="preserve">4.  IP Addressing Plan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assigned block 10.23.0.0/16 is split first at the /17 level: the lower half is allocated to the Potchefstroom HQ site now, and the upper half is reserved, untouched, for the branch office constraint. Inside HQ, the plan uses exactly two /24 networks today — one for business VLANs, one for infrastructure — chosen so the whole HQ site collapses into a single summary route upstream.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B" w:sz="2"/>
              <w:left w:val="single" w:color="C8952A" w:sz="24"/>
              <w:bottom w:val="single" w:color="FFF8EB" w:sz="2"/>
              <w:right w:val="single" w:color="FFF8EB" w:sz="2"/>
            </w:tcBorders>
            <w:shd w:fill="FFF8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8A5A12"/>
                <w:sz w:val="21"/>
                <w:szCs w:val="21"/>
              </w:rPr>
              <w:t xml:space="preserve">Why this is the smart solution, not the hard one</w:t>
            </w:r>
          </w:p>
          <w:p>
            <w:pPr>
              <w:spacing w:after="55"/>
            </w:pPr>
            <w:r>
              <w:rPr>
                <w:color w:val="101828"/>
                <w:sz w:val="20"/>
                <w:szCs w:val="20"/>
              </w:rPr>
              <w:t xml:space="preserve">1. Uniform block sizing — every department VLAN is the same size (/26 = 62 hosts), so the whole plan fits in one sentence: 'VLAN N lives at offset (N/10 − 1) × 64 in 10.23.0.0/24.' Nothing to memorise per-department.</w:t>
            </w:r>
          </w:p>
          <w:p>
            <w:pPr>
              <w:spacing w:after="55"/>
            </w:pPr>
            <w:r>
              <w:rPr>
                <w:color w:val="101828"/>
                <w:sz w:val="20"/>
                <w:szCs w:val="20"/>
              </w:rPr>
              <w:t xml:space="preserve">2. One summary route — 10.23.0.0/24 (business) and 10.23.1.0/24 (infrastructure) are contiguous, so R1 can summarise the entire HQ site as a single 10.23.0.0/23 route upstream instead of advertising every subnet individually.</w:t>
            </w:r>
          </w:p>
          <w:p>
            <w:pPr>
              <w:spacing w:after="55"/>
            </w:pPr>
            <w:r>
              <w:rPr>
                <w:color w:val="101828"/>
                <w:sz w:val="20"/>
                <w:szCs w:val="20"/>
              </w:rPr>
              <w:t xml:space="preserve">3. Separation of concerns — user traffic (business VLANs) and infrastructure (WAN, management, guest) live in different /24s, a real enterprise security practice, not just a numbering trick.</w:t>
            </w:r>
          </w:p>
          <w:p>
            <w:pPr>
              <w:spacing w:after="55"/>
            </w:pPr>
            <w:r>
              <w:rPr>
                <w:color w:val="101828"/>
                <w:sz w:val="20"/>
                <w:szCs w:val="20"/>
              </w:rPr>
              <w:t xml:space="preserve">4. Growth by allocation, not redesign — CR1 and the branch-office constraint are both solved by handing out already-reserved space, never by re-cabling, re-VLANing or re-IP-addressing anything already deployed.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color w:val="274472"/>
        </w:rPr>
        <w:t xml:space="preserve">4.1  Top-level split — Design Constraint (branch office)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26"/>
        <w:gridCol w:w="2900"/>
      </w:tblGrid>
      <w:tr>
        <w:tc>
          <w:tcPr>
            <w:tcW w:type="dxa" w:w="32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2926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9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HQ — Potchefstroom</w:t>
            </w:r>
          </w:p>
        </w:tc>
        <w:tc>
          <w:tcPr>
            <w:tcW w:type="dxa" w:w="29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10.23.0.0/17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 use — 2 of 128 possible /24s (see 4.2 / 4.3)</w:t>
            </w:r>
          </w:p>
        </w:tc>
      </w:tr>
      <w:tr>
        <w:tc>
          <w:tcPr>
            <w:tcW w:type="dxa" w:w="32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Reserved — future Branch Office</w:t>
            </w:r>
          </w:p>
        </w:tc>
        <w:tc>
          <w:tcPr>
            <w:tcW w:type="dxa" w:w="29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10.23.128.0/17</w:t>
            </w:r>
          </w:p>
        </w:tc>
        <w:tc>
          <w:tcPr>
            <w:tcW w:type="dxa" w:w="29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Untouched — available on demand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color w:val="274472"/>
        </w:rPr>
        <w:t xml:space="preserve">4.2  Business VLANs — 10.23.0.0/24 (uniform /26 blocks)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000"/>
        <w:gridCol w:w="1300"/>
        <w:gridCol w:w="1300"/>
        <w:gridCol w:w="1326"/>
      </w:tblGrid>
      <w:tr>
        <w:tc>
          <w:tcPr>
            <w:tcW w:type="dxa" w:w="16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Subnet (VLAN)</w:t>
            </w:r>
          </w:p>
        </w:tc>
        <w:tc>
          <w:tcPr>
            <w:tcW w:type="dxa" w:w="15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Network / CIDR</w:t>
            </w:r>
          </w:p>
        </w:tc>
        <w:tc>
          <w:tcPr>
            <w:tcW w:type="dxa" w:w="20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Usable Range</w:t>
            </w:r>
          </w:p>
        </w:tc>
        <w:tc>
          <w:tcPr>
            <w:tcW w:type="dxa" w:w="13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Broadcast</w:t>
            </w:r>
          </w:p>
        </w:tc>
        <w:tc>
          <w:tcPr>
            <w:tcW w:type="dxa" w:w="13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326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Usable Hosts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VLAN 10 — Admin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10.23.0.0/26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 – .62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.63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62 (8 used)</w:t>
            </w:r>
          </w:p>
        </w:tc>
      </w:tr>
      <w:tr>
        <w:tc>
          <w:tcPr>
            <w:tcW w:type="dxa" w:w="1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VLAN 20 — Sales</w:t>
            </w:r>
          </w:p>
        </w:tc>
        <w:tc>
          <w:tcPr>
            <w:tcW w:type="dxa" w:w="15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10.23.0.64/26</w:t>
            </w:r>
          </w:p>
        </w:tc>
        <w:tc>
          <w:tcPr>
            <w:tcW w:type="dxa" w:w="20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.65 – .126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.127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.65</w:t>
            </w:r>
          </w:p>
        </w:tc>
        <w:tc>
          <w:tcPr>
            <w:tcW w:type="dxa" w:w="13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62 (12 used)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VLAN 30 — Warehouse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10.23.0.128/26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.129 – .190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.191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.129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62 (20 used)</w:t>
            </w:r>
          </w:p>
        </w:tc>
      </w:tr>
      <w:tr>
        <w:tc>
          <w:tcPr>
            <w:tcW w:type="dxa" w:w="1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VLAN 40 — Servers</w:t>
            </w:r>
          </w:p>
        </w:tc>
        <w:tc>
          <w:tcPr>
            <w:tcW w:type="dxa" w:w="15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10.23.0.192/26</w:t>
            </w:r>
          </w:p>
        </w:tc>
        <w:tc>
          <w:tcPr>
            <w:tcW w:type="dxa" w:w="20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.193 – .254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.255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.193</w:t>
            </w:r>
          </w:p>
        </w:tc>
        <w:tc>
          <w:tcPr>
            <w:tcW w:type="dxa" w:w="13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62 (3 used)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color w:val="274472"/>
        </w:rPr>
        <w:t xml:space="preserve">4.3  Infrastructure — 10.23.1.0/24 (kept separate from user VLANs)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000"/>
        <w:gridCol w:w="1300"/>
        <w:gridCol w:w="1300"/>
        <w:gridCol w:w="1326"/>
      </w:tblGrid>
      <w:tr>
        <w:tc>
          <w:tcPr>
            <w:tcW w:type="dxa" w:w="16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Network / CIDR</w:t>
            </w:r>
          </w:p>
        </w:tc>
        <w:tc>
          <w:tcPr>
            <w:tcW w:type="dxa" w:w="20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Usable Range</w:t>
            </w:r>
          </w:p>
        </w:tc>
        <w:tc>
          <w:tcPr>
            <w:tcW w:type="dxa" w:w="13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Broadcast</w:t>
            </w:r>
          </w:p>
        </w:tc>
        <w:tc>
          <w:tcPr>
            <w:tcW w:type="dxa" w:w="1300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326"/>
            <w:shd w:fill="0B254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Usable Hosts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R1 – ISP WAN link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10.23.1.0/30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 – .2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.3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n/a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 (point-to-point)</w:t>
            </w:r>
          </w:p>
        </w:tc>
      </w:tr>
      <w:tr>
        <w:tc>
          <w:tcPr>
            <w:tcW w:type="dxa" w:w="1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VLAN 99 Mgmt/Native</w:t>
            </w:r>
          </w:p>
        </w:tc>
        <w:tc>
          <w:tcPr>
            <w:tcW w:type="dxa" w:w="15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10.23.1.16/28</w:t>
            </w:r>
          </w:p>
        </w:tc>
        <w:tc>
          <w:tcPr>
            <w:tcW w:type="dxa" w:w="20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.17 – .30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.31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.17</w:t>
            </w:r>
          </w:p>
        </w:tc>
        <w:tc>
          <w:tcPr>
            <w:tcW w:type="dxa" w:w="13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14 (switches only)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Guest Wi-Fi (future)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10.23.1.32/28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.33 – .46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.47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.33</w:t>
            </w:r>
          </w:p>
        </w:tc>
        <w:tc>
          <w:tcPr>
            <w:tcW w:type="dxa" w:w="13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14 (reserved)</w:t>
            </w:r>
          </w:p>
        </w:tc>
      </w:tr>
      <w:tr>
        <w:tc>
          <w:tcPr>
            <w:tcW w:type="dxa" w:w="16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Free / future infra</w:t>
            </w:r>
          </w:p>
        </w:tc>
        <w:tc>
          <w:tcPr>
            <w:tcW w:type="dxa" w:w="15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10.23.1.48 – .255</w:t>
            </w:r>
          </w:p>
        </w:tc>
        <w:tc>
          <w:tcPr>
            <w:tcW w:type="dxa" w:w="20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shd w:fill="F4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208 addresses spare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color w:val="274472"/>
        </w:rPr>
        <w:t xml:space="preserve">4.4  How this plan satisfies the constraint and CR1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Branch office constraint: the entire 10.23.128.0/17 (32,768 addresses) is reserved and untouched. Opening a branch requires only allocating from this pool — no re-addressing of the HQ site.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CR1 (+8 staff, no redesign): Warehouse/Logistics (VLAN 30) is sized at /26 (62 usable addresses) against a current headcount of 12. Adding 8 staff brings usage to 20/62 — well inside the existing subnet, so no VLSM change, no re-cabling, and no re-IP-addressing is required.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General headroom: 126 further /24 networks remain free inside the HQ /17 alone, before any branch-office space is touched — this design will not need revisiting for the foreseeable life of the business.</w:t>
      </w:r>
    </w:p>
    <w:p>
      <w:r>
        <w:br w:type="page"/>
      </w:r>
    </w:p>
    <w:p>
      <w:pPr>
        <w:pStyle w:val="Heading1"/>
        <w:pBdr>
          <w:bottom w:val="single" w:color="C8952A" w:sz="10" w:space="6"/>
        </w:pBdr>
        <w:spacing w:after="180" w:before="420"/>
      </w:pPr>
      <w:r>
        <w:rPr>
          <w:b/>
          <w:bCs/>
          <w:color w:val="0B2545"/>
        </w:rPr>
        <w:t xml:space="preserve">5.  Initial GitHub Repository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Repository name: tshimo-agri-network-cmpg325   (suggested — public or private per module instructions)</w:t>
      </w:r>
    </w:p>
    <w:p>
      <w:pPr>
        <w:pStyle w:val="Heading2"/>
        <w:spacing w:after="120" w:before="260"/>
      </w:pPr>
      <w:r>
        <w:rPr>
          <w:color w:val="274472"/>
        </w:rPr>
        <w:t xml:space="preserve">5.1  Folder structure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README.md — project overview, client summary, milestone tracker, links to each section below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docs/01-client-requirements.md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docs/02-physical-topology.md  (+ physical_topology_pro.png)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docs/03-logical-topology.md  (+ logical_topology_pro.png)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docs/04-ip-addressing-plan.md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docs/05-change-requests.md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packet-tracer/  — final .pkt file goes here in later milestones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screenshots/  — connectivity and configuration 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troubleshooting/  — fault isolation documentation (assigned challenge)</w:t>
      </w:r>
    </w:p>
    <w:p>
      <w:pPr>
        <w:pStyle w:val="Heading2"/>
        <w:spacing w:after="120" w:before="260"/>
      </w:pPr>
      <w:r>
        <w:rPr>
          <w:color w:val="274472"/>
        </w:rPr>
        <w:t xml:space="preserve">5.2  README skeleton</w:t>
      </w: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# Tshimo Agri Supplies — Network Design (CMPG325-2026-042)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Individual semester project for CMPG 325 Computer Networks, NWU. Client: Tshimo Agri Supplies (Potchefstroom, Agriculture). Assigned challenge: Network Troubleshooting (fault isolation scenario).</w:t>
      </w: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## Milestones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Milestone 1 — Client Design Review (28 Aug 2026): requirements, topology, addressing plan — this repository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Milestone 2 — 2 Oct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Final submission — 16 Oct 2026</w:t>
      </w:r>
    </w:p>
    <w:p>
      <w:pPr>
        <w:spacing w:after="140"/>
      </w:pPr>
      <w:r>
        <w:rPr>
          <w:b/>
          <w:bCs/>
          <w:i w:val="false"/>
          <w:iCs w:val="false"/>
          <w:sz w:val="21"/>
          <w:szCs w:val="21"/>
        </w:rPr>
        <w:t xml:space="preserve">## Contents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See /docs for the full design documentation.</w:t>
      </w:r>
    </w:p>
    <w:p>
      <w:pPr>
        <w:pStyle w:val="Heading2"/>
        <w:spacing w:after="120" w:before="260"/>
      </w:pPr>
      <w:r>
        <w:rPr>
          <w:color w:val="274472"/>
        </w:rPr>
        <w:t xml:space="preserve">5.3  Initial commit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git init in project folder, add README.md and /docs skeleton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Commit 1: "Add client requirements and project brief summary"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Commit 2: "Add physical and logical topology diagrams"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Commit 3: "Add IP addressing / VLSM plan"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sz w:val="21"/>
          <w:szCs w:val="21"/>
        </w:rPr>
        <w:t xml:space="preserve">Push to GitHub and paste the repository link into the eFundi text box alongside this document</w:t>
      </w:r>
    </w:p>
    <w:sectPr>
      <w:headerReference w:type="default" r:id="rId7"/>
      <w:footerReference w:type="default" r:id="rId8"/>
      <w:pgSz w:w="11906" w:h="16838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99"/>
        <w:sz w:val="15"/>
        <w:szCs w:val="15"/>
      </w:rPr>
      <w:t xml:space="preserve">Page </w:t>
    </w:r>
    <w:r>
      <w:rPr>
        <w:color w:val="8A8F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A8F99"/>
        <w:sz w:val="15"/>
        <w:szCs w:val="15"/>
      </w:rPr>
      <w:t xml:space="preserve"> of </w:t>
    </w:r>
    <w:r>
      <w:rPr>
        <w:color w:val="8A8F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BE2" w:sz="4" w:space="4"/>
      </w:pBdr>
      <w:tabs>
        <w:tab w:val="right" w:pos="9026"/>
      </w:tabs>
    </w:pPr>
    <w:r>
      <w:rPr>
        <w:color w:val="8A8F99"/>
        <w:sz w:val="15"/>
        <w:szCs w:val="15"/>
      </w:rPr>
      <w:t xml:space="preserve">CMPG325-2026-042  ·  Tshimo Agri Supplies</w:t>
    </w:r>
    <w:r>
      <w:rPr>
        <w:color w:val="8A8F99"/>
        <w:sz w:val="15"/>
        <w:szCs w:val="15"/>
      </w:rPr>
      <w:t xml:space="preserve">	Milestone 1 — Client Design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05ce62c1232560b4cf1e99c37bc9b03cb1cfc6.png"/><Relationship Id="rId10" Type="http://schemas.openxmlformats.org/officeDocument/2006/relationships/image" Target="media/73158b7ba310faf1e10af1f28938b2e568e729b5.png"/><Relationship Id="rId11" Type="http://schemas.openxmlformats.org/officeDocument/2006/relationships/image" Target="media/e17e01ffc124f1149d7a7be936f5a42342f5f75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2026-08-28T17:15:59.855Z</dcterms:created>
  <dcterms:modified xsi:type="dcterms:W3CDTF">2026-08-28T17:15:59.855Z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