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70AF" w:rsidRDefault="00CD5D6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E370AF" w:rsidRDefault="00CD5D62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E370AF">
        <w:tc>
          <w:tcPr>
            <w:tcW w:w="4508" w:type="dxa"/>
          </w:tcPr>
          <w:p w:rsidR="00E370AF" w:rsidRDefault="00CD5D62">
            <w:r>
              <w:t>Date</w:t>
            </w:r>
          </w:p>
        </w:tc>
        <w:tc>
          <w:tcPr>
            <w:tcW w:w="4508" w:type="dxa"/>
          </w:tcPr>
          <w:p w:rsidR="00E370AF" w:rsidRDefault="00CD5D62">
            <w:r>
              <w:t>18</w:t>
            </w:r>
            <w:r w:rsidR="005770D5" w:rsidRPr="005770D5">
              <w:t xml:space="preserve"> February 2026</w:t>
            </w:r>
          </w:p>
        </w:tc>
      </w:tr>
      <w:tr w:rsidR="00E370AF">
        <w:tc>
          <w:tcPr>
            <w:tcW w:w="4508" w:type="dxa"/>
          </w:tcPr>
          <w:p w:rsidR="00E370AF" w:rsidRDefault="00CD5D62">
            <w:r>
              <w:t>Team ID</w:t>
            </w:r>
          </w:p>
        </w:tc>
        <w:tc>
          <w:tcPr>
            <w:tcW w:w="4508" w:type="dxa"/>
          </w:tcPr>
          <w:p w:rsidR="00E370AF" w:rsidRDefault="005770D5">
            <w:r w:rsidRPr="005770D5">
              <w:t>LTVIP2026TMIDS</w:t>
            </w:r>
            <w:r w:rsidR="00CD5D62">
              <w:t>79458</w:t>
            </w:r>
          </w:p>
        </w:tc>
      </w:tr>
      <w:tr w:rsidR="00E370AF">
        <w:tc>
          <w:tcPr>
            <w:tcW w:w="4508" w:type="dxa"/>
          </w:tcPr>
          <w:p w:rsidR="00E370AF" w:rsidRDefault="00CD5D62">
            <w:r>
              <w:t>Project Name</w:t>
            </w:r>
          </w:p>
        </w:tc>
        <w:tc>
          <w:tcPr>
            <w:tcW w:w="4508" w:type="dxa"/>
          </w:tcPr>
          <w:p w:rsidR="00E370AF" w:rsidRDefault="005770D5">
            <w:r w:rsidRPr="005770D5">
              <w:t>Weather-Based Prediction of Wind Turbine Energy</w:t>
            </w:r>
          </w:p>
        </w:tc>
      </w:tr>
      <w:tr w:rsidR="00E370AF">
        <w:tc>
          <w:tcPr>
            <w:tcW w:w="4508" w:type="dxa"/>
          </w:tcPr>
          <w:p w:rsidR="00E370AF" w:rsidRDefault="00CD5D62">
            <w:r>
              <w:t>Maximum Marks</w:t>
            </w:r>
          </w:p>
        </w:tc>
        <w:tc>
          <w:tcPr>
            <w:tcW w:w="4508" w:type="dxa"/>
          </w:tcPr>
          <w:p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:rsidR="00E370AF" w:rsidRDefault="00E370AF">
      <w:pPr>
        <w:rPr>
          <w:b/>
        </w:rPr>
      </w:pPr>
    </w:p>
    <w:p w:rsidR="00E370AF" w:rsidRDefault="00CD5D62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:rsidR="00E370AF" w:rsidRDefault="00CD5D62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Solution architecture is a complex process – with </w:t>
      </w:r>
      <w:r>
        <w:rPr>
          <w:rFonts w:ascii="Arial" w:eastAsia="Arial" w:hAnsi="Arial" w:cs="Arial"/>
          <w:color w:val="000000"/>
          <w:sz w:val="24"/>
          <w:szCs w:val="24"/>
        </w:rPr>
        <w:t>many sub-processes – that bridges the gap between business problems and technology solutions. Its goals are to:</w:t>
      </w:r>
    </w:p>
    <w:p w:rsidR="00E370AF" w:rsidRDefault="00CD5D62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:rsidR="00E370AF" w:rsidRDefault="00CD5D6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behavior, and other aspects of the </w:t>
      </w:r>
      <w:r>
        <w:rPr>
          <w:rFonts w:ascii="Arial" w:eastAsia="Arial" w:hAnsi="Arial" w:cs="Arial"/>
          <w:color w:val="000000"/>
          <w:sz w:val="24"/>
          <w:szCs w:val="24"/>
        </w:rPr>
        <w:t>software to project stakeholders.</w:t>
      </w:r>
    </w:p>
    <w:p w:rsidR="00E370AF" w:rsidRDefault="00CD5D6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:rsidR="00E370AF" w:rsidRDefault="00CD5D62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:rsidR="00E370AF" w:rsidRDefault="00E370AF">
      <w:pPr>
        <w:rPr>
          <w:b/>
        </w:rPr>
      </w:pPr>
    </w:p>
    <w:p w:rsidR="00E370AF" w:rsidRDefault="00CD5D62">
      <w:pPr>
        <w:rPr>
          <w:b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 w:rsidR="00E370AF" w:rsidRDefault="00E370AF">
      <w:pPr>
        <w:rPr>
          <w:b/>
        </w:rPr>
      </w:pPr>
    </w:p>
    <w:p w:rsidR="00E370AF" w:rsidRDefault="00CD5D62">
      <w:pPr>
        <w:tabs>
          <w:tab w:val="left" w:pos="5529"/>
        </w:tabs>
        <w:rPr>
          <w:b/>
        </w:rPr>
      </w:pPr>
      <w:r>
        <w:rPr>
          <w:noProof/>
          <w:lang w:val="en-US" w:eastAsia="en-US"/>
        </w:rPr>
        <w:drawing>
          <wp:inline distT="0" distB="0" distL="0" distR="0">
            <wp:extent cx="5731510" cy="2564765"/>
            <wp:effectExtent l="0" t="0" r="0" b="0"/>
            <wp:docPr id="3" name="image1.jpg" descr="Voice applications in clinical research powered by AI on AWS – Part 1:  Architecture and design considerations | AWS for Indust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Voice applications in clinical research powered by AI on AWS – Part 1:  Architecture and design considerations | AWS for Industries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4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370AF" w:rsidRDefault="00CD5D62">
      <w:pPr>
        <w:rPr>
          <w:b/>
        </w:rPr>
      </w:pP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Figure 1: Architectur</w:t>
      </w:r>
      <w:r>
        <w:rPr>
          <w:rFonts w:ascii="Helvetica Neue" w:eastAsia="Helvetica Neue" w:hAnsi="Helvetica Neue" w:cs="Helvetica Neue"/>
          <w:i/>
          <w:color w:val="333333"/>
          <w:sz w:val="21"/>
          <w:szCs w:val="21"/>
        </w:rPr>
        <w:t>e and data flow of the voice patient diary sample application</w:t>
      </w:r>
    </w:p>
    <w:p w:rsidR="00E370AF" w:rsidRDefault="00CD5D62">
      <w:pPr>
        <w:rPr>
          <w:b/>
        </w:rPr>
      </w:pPr>
      <w:r>
        <w:rPr>
          <w:b/>
        </w:rPr>
        <w:t xml:space="preserve">Reference: </w:t>
      </w:r>
      <w:hyperlink r:id="rId7">
        <w:r w:rsidR="00E370AF"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:rsidR="00E370AF" w:rsidRDefault="00E370AF">
      <w:pPr>
        <w:rPr>
          <w:b/>
        </w:rPr>
      </w:pPr>
    </w:p>
    <w:p w:rsidR="00E370AF" w:rsidRDefault="00E370AF">
      <w:pPr>
        <w:rPr>
          <w:b/>
        </w:rPr>
      </w:pPr>
    </w:p>
    <w:sectPr w:rsidR="00E370AF" w:rsidSect="00452D84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Noto Sans Symbols">
    <w:charset w:val="00"/>
    <w:family w:val="auto"/>
    <w:pitch w:val="default"/>
    <w:sig w:usb0="00000000" w:usb1="00000000" w:usb2="00000000" w:usb3="00000000" w:csb0="00000000" w:csb1="00000000"/>
    <w:embedRegular r:id="rId1" w:fontKey="{234F5FB3-2DE7-4163-93F2-42BCC4704E8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C3B5E84E-AA3D-4BD5-B05F-A1269FFBDB82}"/>
    <w:embedBold r:id="rId3" w:fontKey="{3AF34A68-6BF8-4AB5-B8BA-C583558E7C8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D56508C3-50FE-42E1-9B7F-561CE71DC432}"/>
    <w:embedItalic r:id="rId5" w:fontKey="{224F9386-1A55-4A17-B290-9B8407F8D940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3DA00CAE-E025-4A34-BCC8-E1DBFC866DB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sig w:usb0="00000000" w:usb1="00000000" w:usb2="00000000" w:usb3="00000000" w:csb0="00000000" w:csb1="00000000"/>
    <w:embedRegular r:id="rId7" w:fontKey="{7F852CA1-D444-41AA-AF50-9AFB69489055}"/>
    <w:embedItalic r:id="rId8" w:fontKey="{F76D42E8-713B-49C5-ACDC-96029ABA18B1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9" w:fontKey="{F18A9831-8DF9-4F1B-90D6-1D64AF62D1E4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E370AF"/>
    <w:rsid w:val="000F6536"/>
    <w:rsid w:val="00267921"/>
    <w:rsid w:val="00452D84"/>
    <w:rsid w:val="005770D5"/>
    <w:rsid w:val="00862077"/>
    <w:rsid w:val="00CD5D62"/>
    <w:rsid w:val="00E370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52D84"/>
  </w:style>
  <w:style w:type="paragraph" w:styleId="Heading1">
    <w:name w:val="heading 1"/>
    <w:basedOn w:val="Normal"/>
    <w:next w:val="Normal"/>
    <w:uiPriority w:val="9"/>
    <w:qFormat/>
    <w:rsid w:val="00452D84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452D8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452D8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452D8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452D8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452D8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452D84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rsid w:val="00452D8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452D84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D5D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D5D6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171</Words>
  <Characters>981</Characters>
  <Application>Microsoft Office Word</Application>
  <DocSecurity>0</DocSecurity>
  <Lines>8</Lines>
  <Paragraphs>2</Paragraphs>
  <ScaleCrop>false</ScaleCrop>
  <Company/>
  <LinksUpToDate>false</LinksUpToDate>
  <CharactersWithSpaces>1150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4</cp:revision>
  <dcterms:created xsi:type="dcterms:W3CDTF">2022-10-03T08:27:00Z</dcterms:created>
  <dcterms:modified xsi:type="dcterms:W3CDTF">2026-02-18T09:57:00Z</dcterms:modified>
</cp:coreProperties>
</file>