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final Entrega 2 Grupo 25</w:t>
      </w:r>
    </w:p>
    <w:p>
      <w:r>
        <w:t>Estadística Computacional INF280 · UTFSM · 7 de octubre de 2026</w:t>
      </w:r>
    </w:p>
    <w:p>
      <w:r>
        <w:t>José Flores, Sebastian Alcaide, Pedro Ortiz y Miguel Primera</w:t>
      </w:r>
    </w:p>
    <w:p>
      <w:r>
        <w:t>La entrega actualizada estima una diferencia pequeña entre las calificaciones medias de Manhattan y Brooklyn. El notebook ejecutó sus 18 celdas de código sin errores. La presentación de 13 diapositivas y el guion usan los resultados de esta ejecución.</w:t>
      </w:r>
    </w:p>
    <w:p>
      <w:pPr>
        <w:pStyle w:val="Heading1"/>
      </w:pPr>
      <w:r>
        <w:t>Resultados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309"/>
      </w:tblGrid>
      <w:tr>
        <w:trPr>
          <w:cantSplit/>
        </w:trPr>
        <w:tc>
          <w:tcPr>
            <w:tcW w:type="dxa" w:w="4706"/>
            <w:shd w:fill="F0F2F4"/>
          </w:tcPr>
          <w:p>
            <w:pPr>
              <w:spacing w:after="60" w:before="60"/>
            </w:pPr>
            <w:r>
              <w:rPr>
                <w:b/>
              </w:rPr>
              <w:t>Medida</w:t>
            </w:r>
          </w:p>
        </w:tc>
        <w:tc>
          <w:tcPr>
            <w:tcW w:type="dxa" w:w="4706"/>
            <w:shd w:fill="F0F2F4"/>
          </w:tcPr>
          <w:p>
            <w:pPr>
              <w:spacing w:after="60" w:before="60"/>
            </w:pPr>
            <w:r>
              <w:rPr>
                <w:b/>
              </w:rPr>
              <w:t>Resultado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/>
            </w:pPr>
            <w:r>
              <w:t>Diferencia estimada</w:t>
            </w:r>
          </w:p>
        </w:tc>
        <w:tc>
          <w:tcPr>
            <w:tcW w:type="dxa" w:w="4309"/>
          </w:tcPr>
          <w:p>
            <w:pPr>
              <w:spacing w:after="60" w:before="60"/>
            </w:pPr>
            <w:r>
              <w:t>0,018060 puntos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/>
            </w:pPr>
            <w:r>
              <w:t>IC clásico 95%</w:t>
            </w:r>
          </w:p>
        </w:tc>
        <w:tc>
          <w:tcPr>
            <w:tcW w:type="dxa" w:w="4309"/>
          </w:tcPr>
          <w:p>
            <w:pPr>
              <w:spacing w:after="60" w:before="60"/>
            </w:pPr>
            <w:r>
              <w:t>[0,000665; 0,035455]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/>
            </w:pPr>
            <w:r>
              <w:t>IC bootstrap percentil 95%</w:t>
            </w:r>
          </w:p>
        </w:tc>
        <w:tc>
          <w:tcPr>
            <w:tcW w:type="dxa" w:w="4309"/>
          </w:tcPr>
          <w:p>
            <w:pPr>
              <w:spacing w:after="60" w:before="60"/>
            </w:pPr>
            <w:r>
              <w:t>[0,000550; 0,035416]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/>
            </w:pPr>
            <w:r>
              <w:t>Potencia original del modelo ajustado</w:t>
            </w:r>
          </w:p>
        </w:tc>
        <w:tc>
          <w:tcPr>
            <w:tcW w:type="dxa" w:w="4309"/>
          </w:tcPr>
          <w:p>
            <w:pPr>
              <w:spacing w:after="60" w:before="60"/>
            </w:pPr>
            <w:r>
              <w:t>52,83% (aproximadamente 53%)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/>
            </w:pPr>
            <w:r>
              <w:t>IC Monte Carlo de la potencia</w:t>
            </w:r>
          </w:p>
        </w:tc>
        <w:tc>
          <w:tcPr>
            <w:tcW w:type="dxa" w:w="4309"/>
          </w:tcPr>
          <w:p>
            <w:pPr>
              <w:spacing w:after="60" w:before="60"/>
            </w:pPr>
            <w:r>
              <w:t>[52,14%; 53,52%]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/>
            </w:pPr>
            <w:r>
              <w:t>Cotas descriptivas con faltantes</w:t>
            </w:r>
          </w:p>
        </w:tc>
        <w:tc>
          <w:tcPr>
            <w:tcW w:type="dxa" w:w="4309"/>
          </w:tcPr>
          <w:p>
            <w:pPr>
              <w:spacing w:after="60" w:before="60"/>
            </w:pPr>
            <w:r>
              <w:t>[0,005891; 0,029893] puntos</w:t>
            </w:r>
          </w:p>
        </w:tc>
      </w:tr>
    </w:tbl>
    <w:p>
      <w:pPr>
        <w:pStyle w:val="Heading1"/>
      </w:pPr>
      <w:r>
        <w:t>Cambios incorporados</w:t>
      </w:r>
    </w:p>
    <w:p>
      <w:pPr>
        <w:pStyle w:val="ListBullet"/>
      </w:pPr>
      <w:r>
        <w:t>Identificación corregida a grupo 25 en nombres, portada, notas y paquete.</w:t>
      </w:r>
    </w:p>
    <w:p>
      <w:pPr>
        <w:pStyle w:val="ListBullet"/>
      </w:pPr>
      <w:r>
        <w:t>Conexión con la Entrega 1: hipótesis de igualdad de cinco medias, ANOVA F=11,3048 (p&lt;0,001) y V de Cramér=0,0200 como medida de asociación categórica separada.</w:t>
      </w:r>
    </w:p>
    <w:p>
      <w:pPr>
        <w:pStyle w:val="ListBullet"/>
      </w:pPr>
      <w:r>
        <w:t>Bootstrap: origen, motivación y relevancia moderna. Leyenda del histograma fuera de las barras y gráficos actualizados desde las réplicas.</w:t>
      </w:r>
    </w:p>
    <w:p>
      <w:pPr>
        <w:pStyle w:val="ListBullet"/>
      </w:pPr>
      <w:r>
        <w:t>Propiedades de los estimadores y potencia condicionadas al modelo. El 100% de éxitos simulados se expresa como 20.000/20.000, con límite Wilson inferior de 99,98%.</w:t>
      </w:r>
    </w:p>
    <w:p>
      <w:pPr>
        <w:pStyle w:val="ListBullet"/>
      </w:pPr>
      <w:r>
        <w:t>Cotas de calificaciones faltantes, fórmula de Wilson y comprobaciones independientes frente a SciPy. CSV identificado mediante SHA-256.</w:t>
      </w:r>
    </w:p>
    <w:p>
      <w:pPr>
        <w:pStyle w:val="ListBullet"/>
      </w:pPr>
      <w:r>
        <w:t>Versiones y semillas documentadas. Las diferencias pequeñas entre entornos se interpretan con el error Monte Carlo. La potencia de esta ejecución es 52,83%.</w:t>
      </w:r>
    </w:p>
    <w:p>
      <w:r>
        <w:br w:type="page"/>
      </w:r>
    </w:p>
    <w:p>
      <w:pPr>
        <w:pStyle w:val="Heading1"/>
      </w:pPr>
      <w:r>
        <w:t>Guion de exposición</w:t>
      </w:r>
    </w:p>
    <w:p>
      <w:r>
        <w:t>Reparto sugerido para unos 12 minutos, además de preguntas. Las notas de las diapositivas y GUIA_EXPOSICION_Grupo25.md amplían estas indicaciones.</w:t>
      </w:r>
    </w:p>
    <w:p>
      <w:pPr>
        <w:pStyle w:val="Heading2"/>
      </w:pPr>
      <w:r>
        <w:t>José Flores diapositivas 1–3</w:t>
      </w:r>
    </w:p>
    <w:p>
      <w:r>
        <w:t>3 minutos. Explica la pregunta global del EDA y sus resultados. Distingue igualdad de medias de independencia. Introduce μM, μB y Δ, y justifica el par por tamaño muestral. Describe la limpieza, la unidad por anuncio, los tamaños y los faltantes. Señala el alcance de la fuente.</w:t>
      </w:r>
    </w:p>
    <w:p>
      <w:pPr>
        <w:pStyle w:val="Heading2"/>
      </w:pPr>
      <w:r>
        <w:t>Sebastian Alcaide diapositivas 4–8</w:t>
      </w:r>
    </w:p>
    <w:p>
      <w:r>
        <w:t>4 minutos. Explica parámetro, estimador y estimación, y las condiciones de insesgamiento, consistencia y eficiencia lineal. Describe el bootstrap propio con reemplazo y B=20.000, su origen y relevancia moderna. Interpreta las distribuciones y compara los EE y los IC clásicos y bootstrap.</w:t>
      </w:r>
    </w:p>
    <w:p>
      <w:pPr>
        <w:pStyle w:val="Heading2"/>
      </w:pPr>
      <w:r>
        <w:t>Pedro Ortiz diapositivas 9–10</w:t>
      </w:r>
    </w:p>
    <w:p>
      <w:r>
        <w:t>2 minutos. Presenta el modelo categórico y los conteos multinomiales. Distingue el modelo ajustado del nulo, con R=20.000 por condición y escenario. Explica Welch bilateral al 5% y cómo el tamaño muestral cambia la potencia. La potencia original es aproximadamente 53%, condicionada al modelo ajustado con estos datos.</w:t>
      </w:r>
    </w:p>
    <w:p>
      <w:pPr>
        <w:pStyle w:val="Heading2"/>
      </w:pPr>
      <w:r>
        <w:t>Miguel Primera diapositivas 11–13</w:t>
      </w:r>
    </w:p>
    <w:p>
      <w:r>
        <w:t>3 minutos. Define el evento de error de hasta 0,05 puntos. Explica los 20.000/20.000 éxitos y el límite Wilson inferior. Distingue n de R. Concluye sobre magnitud y precisión. Presenta las cotas de faltantes, los límites de generalización y causalidad, y la declaración de IA.</w:t>
      </w:r>
    </w:p>
    <w:p>
      <w:pPr>
        <w:pStyle w:val="Heading1"/>
      </w:pPr>
      <w:r>
        <w:t>Preguntas centrales</w:t>
      </w:r>
    </w:p>
    <w:p>
      <w:r>
        <w:rPr>
          <w:b/>
        </w:rPr>
        <w:t xml:space="preserve">¿Por qué hay precisión alta y potencia moderada? </w:t>
      </w:r>
      <w:r>
        <w:t>El error tolerado de 0,05 puntos es mayor que la diferencia del modelo, 0,0181. Estimar cerca del valor verdadero y rechazar Δ=0 son eventos distintos.</w:t>
      </w:r>
    </w:p>
    <w:p>
      <w:r>
        <w:rPr>
          <w:b/>
        </w:rPr>
        <w:t xml:space="preserve">¿Son intervalos de confianza las cotas de faltantes? </w:t>
      </w:r>
      <w:r>
        <w:t>No. Son extremos descriptivos al asignar 1 o 5 a calificaciones ausentes de anuncios con distrito conocido. Amplían el conjunto de anuncios y no corrigen selección ni anuncios no registrados.</w:t>
      </w:r>
    </w:p>
    <w:p>
      <w:r>
        <w:rPr>
          <w:b/>
        </w:rPr>
        <w:t xml:space="preserve">¿Por qué cambia alguna cifra al ejecutar en otro equipo? </w:t>
      </w:r>
      <w:r>
        <w:t>Las secuencias de Generator no se garantizan entre todas las versiones y plataformas de NumPy. El paquete incluye las versiones de esta ejecución. Los resultados de simulación se interpretan junto con su error Monte Carlo.</w:t>
      </w:r>
    </w:p>
    <w:p>
      <w:pPr>
        <w:pStyle w:val="Heading1"/>
      </w:pPr>
      <w:r>
        <w:t>Reproducibilidad y uso de IA</w:t>
      </w:r>
    </w:p>
    <w:p>
      <w:r>
        <w:t>Ejecución comprobada: Python 3.12.14, NumPy 2.3.5, pandas 2.2.3, SciPy 1.17.0 y Matplotlib 3.10.8. El ZIP incluye el CSV y requirements.txt. Claude apoyó la revisión y la presentación inicial. ChatGPT/Codex apoyó el análisis, el código y la actualización. El grupo responde por el contenido.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2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2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final Entrega 2 Grupo 25</dc:title>
  <dc:subject>Airbnb NYC — Estadística Computacional</dc:subject>
  <dc:creator>Grupo 25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