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6A763" w14:textId="77777777" w:rsidR="005A2A42" w:rsidRDefault="00000000">
      <w:pPr>
        <w:spacing w:after="957" w:line="259" w:lineRule="auto"/>
        <w:ind w:left="0" w:firstLine="0"/>
      </w:pPr>
      <w:r>
        <w:rPr>
          <w:b/>
          <w:i/>
          <w:sz w:val="26"/>
        </w:rPr>
        <w:t>JUST DO IT.</w:t>
      </w:r>
    </w:p>
    <w:p w14:paraId="04556F0D" w14:textId="77777777" w:rsidR="009269C3" w:rsidRDefault="00000000">
      <w:pPr>
        <w:spacing w:after="0" w:line="259" w:lineRule="auto"/>
        <w:ind w:left="0" w:firstLine="0"/>
        <w:rPr>
          <w:b/>
          <w:color w:val="FA5400"/>
          <w:sz w:val="24"/>
        </w:rPr>
      </w:pPr>
      <w:r>
        <w:rPr>
          <w:b/>
          <w:color w:val="FA5400"/>
          <w:sz w:val="24"/>
        </w:rPr>
        <w:t>Exploratory Data Analysis &amp; Viral Content Prediction Model</w:t>
      </w:r>
    </w:p>
    <w:p w14:paraId="7C149DC9" w14:textId="77777777" w:rsidR="009269C3" w:rsidRDefault="009269C3">
      <w:pPr>
        <w:spacing w:after="0" w:line="259" w:lineRule="auto"/>
        <w:ind w:left="0" w:firstLine="0"/>
        <w:rPr>
          <w:b/>
          <w:color w:val="FA5400"/>
          <w:sz w:val="24"/>
        </w:rPr>
      </w:pPr>
    </w:p>
    <w:p w14:paraId="50306B5D" w14:textId="08674026" w:rsidR="005A2A42" w:rsidRDefault="00000000">
      <w:pPr>
        <w:spacing w:after="0" w:line="259" w:lineRule="auto"/>
        <w:ind w:left="0" w:firstLine="0"/>
      </w:pPr>
      <w:r>
        <w:rPr>
          <w:b/>
          <w:sz w:val="52"/>
        </w:rPr>
        <w:t>Nike Social Media Analytics</w:t>
      </w:r>
    </w:p>
    <w:p w14:paraId="6C93A5ED" w14:textId="77777777" w:rsidR="005A2A42" w:rsidRDefault="00000000">
      <w:pPr>
        <w:spacing w:after="455" w:line="259" w:lineRule="auto"/>
        <w:ind w:left="0" w:firstLine="0"/>
      </w:pPr>
      <w:r>
        <w:rPr>
          <w:rFonts w:ascii="Calibri" w:eastAsia="Calibri" w:hAnsi="Calibri" w:cs="Calibri"/>
          <w:noProof/>
          <w:color w:val="000000"/>
          <w:sz w:val="22"/>
        </w:rPr>
        <mc:AlternateContent>
          <mc:Choice Requires="wpg">
            <w:drawing>
              <wp:inline distT="0" distB="0" distL="0" distR="0" wp14:anchorId="4C0877E8" wp14:editId="7BECE628">
                <wp:extent cx="6339841" cy="25400"/>
                <wp:effectExtent l="0" t="0" r="0" b="0"/>
                <wp:docPr id="4138" name="Group 4138"/>
                <wp:cNvGraphicFramePr/>
                <a:graphic xmlns:a="http://schemas.openxmlformats.org/drawingml/2006/main">
                  <a:graphicData uri="http://schemas.microsoft.com/office/word/2010/wordprocessingGroup">
                    <wpg:wgp>
                      <wpg:cNvGrpSpPr/>
                      <wpg:grpSpPr>
                        <a:xfrm>
                          <a:off x="0" y="0"/>
                          <a:ext cx="6339841" cy="25400"/>
                          <a:chOff x="0" y="0"/>
                          <a:chExt cx="6339841" cy="25400"/>
                        </a:xfrm>
                      </wpg:grpSpPr>
                      <wps:wsp>
                        <wps:cNvPr id="9" name="Shape 9"/>
                        <wps:cNvSpPr/>
                        <wps:spPr>
                          <a:xfrm>
                            <a:off x="0" y="0"/>
                            <a:ext cx="6339841" cy="0"/>
                          </a:xfrm>
                          <a:custGeom>
                            <a:avLst/>
                            <a:gdLst/>
                            <a:ahLst/>
                            <a:cxnLst/>
                            <a:rect l="0" t="0" r="0" b="0"/>
                            <a:pathLst>
                              <a:path w="6339841">
                                <a:moveTo>
                                  <a:pt x="0" y="0"/>
                                </a:moveTo>
                                <a:lnTo>
                                  <a:pt x="6339841" y="0"/>
                                </a:lnTo>
                              </a:path>
                            </a:pathLst>
                          </a:custGeom>
                          <a:ln w="25400" cap="rnd">
                            <a:miter lim="127000"/>
                          </a:ln>
                        </wps:spPr>
                        <wps:style>
                          <a:lnRef idx="1">
                            <a:srgbClr val="FA54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38" style="width:499.2pt;height:2pt;mso-position-horizontal-relative:char;mso-position-vertical-relative:line" coordsize="63398,254">
                <v:shape id="Shape 9" style="position:absolute;width:63398;height:0;left:0;top:0;" coordsize="6339841,0" path="m0,0l6339841,0">
                  <v:stroke weight="2pt" endcap="round" joinstyle="miter" miterlimit="10" on="true" color="#fa5400"/>
                  <v:fill on="false" color="#000000" opacity="0"/>
                </v:shape>
              </v:group>
            </w:pict>
          </mc:Fallback>
        </mc:AlternateContent>
      </w:r>
    </w:p>
    <w:p w14:paraId="77515873" w14:textId="77777777" w:rsidR="005A2A42" w:rsidRDefault="00000000">
      <w:pPr>
        <w:spacing w:after="162"/>
      </w:pPr>
      <w:r>
        <w:t>Dataset: youtube_shorts_tiktok_trends_2025.csv   |   48,079 records   |   58 columns</w:t>
      </w:r>
    </w:p>
    <w:p w14:paraId="06BB2E97" w14:textId="77777777" w:rsidR="005A2A42" w:rsidRDefault="00000000">
      <w:r>
        <w:t>Prepared as Phase 2/3 deliverable — Business Insights &amp; Machine Learning</w:t>
      </w:r>
      <w:r>
        <w:br w:type="page"/>
      </w:r>
    </w:p>
    <w:p w14:paraId="55F6FF3E" w14:textId="77777777" w:rsidR="005A2A42" w:rsidRDefault="00000000">
      <w:pPr>
        <w:pStyle w:val="Heading1"/>
        <w:ind w:left="341" w:hanging="356"/>
      </w:pPr>
      <w:r>
        <w:lastRenderedPageBreak/>
        <w:t>Executive Summary</w:t>
      </w:r>
    </w:p>
    <w:p w14:paraId="7FAAC3B0" w14:textId="77777777" w:rsidR="005A2A42" w:rsidRDefault="00000000">
      <w:pPr>
        <w:spacing w:after="157"/>
      </w:pPr>
      <w:r>
        <w:t xml:space="preserve">This report </w:t>
      </w:r>
      <w:proofErr w:type="spellStart"/>
      <w:r>
        <w:t>analyzes</w:t>
      </w:r>
      <w:proofErr w:type="spellEnd"/>
      <w:r>
        <w:t xml:space="preserve"> 48,079 short-form video records across TikTok and YouTube Shorts to understand what drives reach and engagement, and to test whether pre-publication content characteristics can predict viral performance. The analysis is data-quality checked, free of missing values and duplicates, and covers platform, content, creator, timing, market, and engagement dimensions.</w:t>
      </w:r>
    </w:p>
    <w:p w14:paraId="552232CB" w14:textId="77777777" w:rsidR="005A2A42" w:rsidRDefault="00000000">
      <w:pPr>
        <w:shd w:val="clear" w:color="auto" w:fill="F0F0F0"/>
        <w:spacing w:after="494" w:line="269" w:lineRule="auto"/>
        <w:ind w:left="75"/>
      </w:pPr>
      <w:r>
        <w:rPr>
          <w:i/>
        </w:rPr>
        <w:t>A key honest finding: a Random Forest classifier trained to predict viral content (top 15% by views) using only pre-publication signals achieved an AUC of 0.56 — barely above random chance (0.50). This means views in this dataset are largely independent of the content attributes available before publishing. This is itself a valuable business finding and is discussed in Section 4.</w:t>
      </w:r>
    </w:p>
    <w:p w14:paraId="1C037954" w14:textId="77777777" w:rsidR="005A2A42" w:rsidRDefault="00000000">
      <w:pPr>
        <w:pStyle w:val="Heading1"/>
        <w:ind w:left="341" w:hanging="356"/>
      </w:pPr>
      <w:r>
        <w:t>Data Quality Check</w:t>
      </w:r>
    </w:p>
    <w:p w14:paraId="4C524E5A" w14:textId="77777777" w:rsidR="005A2A42" w:rsidRDefault="00000000">
      <w:pPr>
        <w:spacing w:after="162"/>
      </w:pPr>
      <w:r>
        <w:t>Rows: 48,079   |   Columns: 58   |   Missing values: 0   |   Duplicate rows: 0</w:t>
      </w:r>
    </w:p>
    <w:p w14:paraId="0C94AD70" w14:textId="77777777" w:rsidR="005A2A42" w:rsidRDefault="00000000">
      <w:pPr>
        <w:spacing w:after="488"/>
      </w:pPr>
      <w:r>
        <w:t>The dataset is clean — no missing values and no duplicate records were found.</w:t>
      </w:r>
    </w:p>
    <w:p w14:paraId="3ECE53E4" w14:textId="77777777" w:rsidR="005A2A42" w:rsidRDefault="00000000">
      <w:pPr>
        <w:pStyle w:val="Heading1"/>
        <w:ind w:left="341" w:hanging="356"/>
      </w:pPr>
      <w:r>
        <w:t>Distribution of Views</w:t>
      </w:r>
    </w:p>
    <w:p w14:paraId="0C752022" w14:textId="77777777" w:rsidR="005A2A42" w:rsidRDefault="00000000">
      <w:pPr>
        <w:spacing w:after="47" w:line="259" w:lineRule="auto"/>
        <w:ind w:left="384" w:firstLine="0"/>
      </w:pPr>
      <w:r>
        <w:rPr>
          <w:noProof/>
        </w:rPr>
        <w:drawing>
          <wp:inline distT="0" distB="0" distL="0" distR="0" wp14:anchorId="4A46756E" wp14:editId="0C13E231">
            <wp:extent cx="5852160" cy="237744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5852160" cy="2377440"/>
                    </a:xfrm>
                    <a:prstGeom prst="rect">
                      <a:avLst/>
                    </a:prstGeom>
                  </pic:spPr>
                </pic:pic>
              </a:graphicData>
            </a:graphic>
          </wp:inline>
        </w:drawing>
      </w:r>
    </w:p>
    <w:p w14:paraId="045E64B7" w14:textId="77777777" w:rsidR="005A2A42" w:rsidRDefault="00000000">
      <w:pPr>
        <w:spacing w:after="337" w:line="265" w:lineRule="auto"/>
        <w:jc w:val="center"/>
      </w:pPr>
      <w:r>
        <w:rPr>
          <w:i/>
          <w:color w:val="6E6E6E"/>
          <w:sz w:val="17"/>
        </w:rPr>
        <w:t>Figure 1. Raw and log-transformed view distributions.</w:t>
      </w:r>
    </w:p>
    <w:p w14:paraId="344A61F9" w14:textId="77777777" w:rsidR="005A2A42" w:rsidRDefault="00000000">
      <w:r>
        <w:t>Mean views: 99,293   |   Median views: 59,620. Views are strongly right-skewed — a small number of videos drive disproportionately high reach. Median values should be used when comparing groups, since averages are pulled upward by outliers.</w:t>
      </w:r>
    </w:p>
    <w:p w14:paraId="249D6EB7" w14:textId="77777777" w:rsidR="005A2A42" w:rsidRDefault="00000000">
      <w:pPr>
        <w:pStyle w:val="Heading1"/>
        <w:ind w:left="341" w:hanging="356"/>
      </w:pPr>
      <w:r>
        <w:lastRenderedPageBreak/>
        <w:t>Platform Performance</w:t>
      </w:r>
    </w:p>
    <w:p w14:paraId="46AD337A" w14:textId="77777777" w:rsidR="005A2A42" w:rsidRDefault="00000000">
      <w:pPr>
        <w:spacing w:after="47" w:line="259" w:lineRule="auto"/>
        <w:ind w:left="384" w:firstLine="0"/>
      </w:pPr>
      <w:r>
        <w:rPr>
          <w:noProof/>
        </w:rPr>
        <w:drawing>
          <wp:inline distT="0" distB="0" distL="0" distR="0" wp14:anchorId="71D9347C" wp14:editId="34BF6C36">
            <wp:extent cx="5852160" cy="228600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6"/>
                    <a:stretch>
                      <a:fillRect/>
                    </a:stretch>
                  </pic:blipFill>
                  <pic:spPr>
                    <a:xfrm>
                      <a:off x="0" y="0"/>
                      <a:ext cx="5852160" cy="2286000"/>
                    </a:xfrm>
                    <a:prstGeom prst="rect">
                      <a:avLst/>
                    </a:prstGeom>
                  </pic:spPr>
                </pic:pic>
              </a:graphicData>
            </a:graphic>
          </wp:inline>
        </w:drawing>
      </w:r>
    </w:p>
    <w:p w14:paraId="7D9CB6B8" w14:textId="77777777" w:rsidR="005A2A42" w:rsidRDefault="00000000">
      <w:pPr>
        <w:spacing w:after="111" w:line="259" w:lineRule="auto"/>
        <w:ind w:right="2833"/>
        <w:jc w:val="right"/>
      </w:pPr>
      <w:r>
        <w:rPr>
          <w:i/>
          <w:color w:val="6E6E6E"/>
          <w:sz w:val="17"/>
        </w:rPr>
        <w:t>Figure 2. Average views and engagement rate by platform.</w:t>
      </w:r>
    </w:p>
    <w:tbl>
      <w:tblPr>
        <w:tblStyle w:val="TableGrid"/>
        <w:tblW w:w="8640" w:type="dxa"/>
        <w:tblInd w:w="0" w:type="dxa"/>
        <w:tblCellMar>
          <w:top w:w="0" w:type="dxa"/>
          <w:left w:w="120" w:type="dxa"/>
          <w:bottom w:w="0" w:type="dxa"/>
          <w:right w:w="115" w:type="dxa"/>
        </w:tblCellMar>
        <w:tblLook w:val="04A0" w:firstRow="1" w:lastRow="0" w:firstColumn="1" w:lastColumn="0" w:noHBand="0" w:noVBand="1"/>
      </w:tblPr>
      <w:tblGrid>
        <w:gridCol w:w="1584"/>
        <w:gridCol w:w="1440"/>
        <w:gridCol w:w="1872"/>
        <w:gridCol w:w="1872"/>
        <w:gridCol w:w="1872"/>
      </w:tblGrid>
      <w:tr w:rsidR="005A2A42" w14:paraId="6D691913" w14:textId="77777777">
        <w:trPr>
          <w:trHeight w:val="440"/>
        </w:trPr>
        <w:tc>
          <w:tcPr>
            <w:tcW w:w="1584" w:type="dxa"/>
            <w:tcBorders>
              <w:top w:val="single" w:sz="4" w:space="0" w:color="DDDDDD"/>
              <w:left w:val="single" w:sz="4" w:space="0" w:color="DDDDDD"/>
              <w:bottom w:val="single" w:sz="4" w:space="0" w:color="DDDDDD"/>
              <w:right w:val="single" w:sz="4" w:space="0" w:color="DDDDDD"/>
            </w:tcBorders>
            <w:shd w:val="clear" w:color="auto" w:fill="111111"/>
            <w:vAlign w:val="center"/>
          </w:tcPr>
          <w:p w14:paraId="001AA42A" w14:textId="77777777" w:rsidR="005A2A42" w:rsidRDefault="00000000">
            <w:pPr>
              <w:spacing w:after="0" w:line="259" w:lineRule="auto"/>
              <w:ind w:left="0" w:firstLine="0"/>
            </w:pPr>
            <w:r>
              <w:rPr>
                <w:b/>
                <w:color w:val="FFFFFF"/>
                <w:sz w:val="18"/>
              </w:rPr>
              <w:t>Platform</w:t>
            </w:r>
          </w:p>
        </w:tc>
        <w:tc>
          <w:tcPr>
            <w:tcW w:w="1440" w:type="dxa"/>
            <w:tcBorders>
              <w:top w:val="single" w:sz="4" w:space="0" w:color="DDDDDD"/>
              <w:left w:val="single" w:sz="4" w:space="0" w:color="DDDDDD"/>
              <w:bottom w:val="single" w:sz="4" w:space="0" w:color="DDDDDD"/>
              <w:right w:val="single" w:sz="4" w:space="0" w:color="DDDDDD"/>
            </w:tcBorders>
            <w:shd w:val="clear" w:color="auto" w:fill="111111"/>
            <w:vAlign w:val="center"/>
          </w:tcPr>
          <w:p w14:paraId="1918815A" w14:textId="77777777" w:rsidR="005A2A42" w:rsidRDefault="00000000">
            <w:pPr>
              <w:spacing w:after="0" w:line="259" w:lineRule="auto"/>
              <w:ind w:left="0" w:firstLine="0"/>
            </w:pPr>
            <w:r>
              <w:rPr>
                <w:b/>
                <w:color w:val="FFFFFF"/>
                <w:sz w:val="18"/>
              </w:rPr>
              <w:t>Videos</w:t>
            </w:r>
          </w:p>
        </w:tc>
        <w:tc>
          <w:tcPr>
            <w:tcW w:w="1872" w:type="dxa"/>
            <w:tcBorders>
              <w:top w:val="single" w:sz="4" w:space="0" w:color="DDDDDD"/>
              <w:left w:val="single" w:sz="4" w:space="0" w:color="DDDDDD"/>
              <w:bottom w:val="single" w:sz="4" w:space="0" w:color="DDDDDD"/>
              <w:right w:val="single" w:sz="4" w:space="0" w:color="DDDDDD"/>
            </w:tcBorders>
            <w:shd w:val="clear" w:color="auto" w:fill="111111"/>
            <w:vAlign w:val="center"/>
          </w:tcPr>
          <w:p w14:paraId="5C2725F9" w14:textId="77777777" w:rsidR="005A2A42" w:rsidRDefault="00000000">
            <w:pPr>
              <w:spacing w:after="0" w:line="259" w:lineRule="auto"/>
              <w:ind w:left="0" w:firstLine="0"/>
            </w:pPr>
            <w:proofErr w:type="spellStart"/>
            <w:r>
              <w:rPr>
                <w:b/>
                <w:color w:val="FFFFFF"/>
                <w:sz w:val="18"/>
              </w:rPr>
              <w:t>Avg</w:t>
            </w:r>
            <w:proofErr w:type="spellEnd"/>
            <w:r>
              <w:rPr>
                <w:b/>
                <w:color w:val="FFFFFF"/>
                <w:sz w:val="18"/>
              </w:rPr>
              <w:t xml:space="preserve"> Views</w:t>
            </w:r>
          </w:p>
        </w:tc>
        <w:tc>
          <w:tcPr>
            <w:tcW w:w="1872" w:type="dxa"/>
            <w:tcBorders>
              <w:top w:val="single" w:sz="4" w:space="0" w:color="DDDDDD"/>
              <w:left w:val="single" w:sz="4" w:space="0" w:color="DDDDDD"/>
              <w:bottom w:val="single" w:sz="4" w:space="0" w:color="DDDDDD"/>
              <w:right w:val="single" w:sz="4" w:space="0" w:color="DDDDDD"/>
            </w:tcBorders>
            <w:shd w:val="clear" w:color="auto" w:fill="111111"/>
            <w:vAlign w:val="center"/>
          </w:tcPr>
          <w:p w14:paraId="64E8A637" w14:textId="77777777" w:rsidR="005A2A42" w:rsidRDefault="00000000">
            <w:pPr>
              <w:spacing w:after="0" w:line="259" w:lineRule="auto"/>
              <w:ind w:left="0" w:firstLine="0"/>
            </w:pPr>
            <w:r>
              <w:rPr>
                <w:b/>
                <w:color w:val="FFFFFF"/>
                <w:sz w:val="18"/>
              </w:rPr>
              <w:t>Median Views</w:t>
            </w:r>
          </w:p>
        </w:tc>
        <w:tc>
          <w:tcPr>
            <w:tcW w:w="1872" w:type="dxa"/>
            <w:tcBorders>
              <w:top w:val="single" w:sz="4" w:space="0" w:color="DDDDDD"/>
              <w:left w:val="single" w:sz="4" w:space="0" w:color="DDDDDD"/>
              <w:bottom w:val="single" w:sz="4" w:space="0" w:color="DDDDDD"/>
              <w:right w:val="single" w:sz="4" w:space="0" w:color="DDDDDD"/>
            </w:tcBorders>
            <w:shd w:val="clear" w:color="auto" w:fill="111111"/>
            <w:vAlign w:val="center"/>
          </w:tcPr>
          <w:p w14:paraId="4C3D7973" w14:textId="77777777" w:rsidR="005A2A42" w:rsidRDefault="00000000">
            <w:pPr>
              <w:spacing w:after="0" w:line="259" w:lineRule="auto"/>
              <w:ind w:left="0" w:firstLine="0"/>
            </w:pPr>
            <w:proofErr w:type="spellStart"/>
            <w:r>
              <w:rPr>
                <w:b/>
                <w:color w:val="FFFFFF"/>
                <w:sz w:val="18"/>
              </w:rPr>
              <w:t>Avg</w:t>
            </w:r>
            <w:proofErr w:type="spellEnd"/>
            <w:r>
              <w:rPr>
                <w:b/>
                <w:color w:val="FFFFFF"/>
                <w:sz w:val="18"/>
              </w:rPr>
              <w:t xml:space="preserve"> Engagement</w:t>
            </w:r>
          </w:p>
        </w:tc>
      </w:tr>
      <w:tr w:rsidR="005A2A42" w14:paraId="62A3E0F2" w14:textId="77777777">
        <w:trPr>
          <w:trHeight w:val="440"/>
        </w:trPr>
        <w:tc>
          <w:tcPr>
            <w:tcW w:w="158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3F3E81C" w14:textId="77777777" w:rsidR="005A2A42" w:rsidRDefault="00000000">
            <w:pPr>
              <w:spacing w:after="0" w:line="259" w:lineRule="auto"/>
              <w:ind w:left="0" w:firstLine="0"/>
            </w:pPr>
            <w:r>
              <w:rPr>
                <w:color w:val="000000"/>
                <w:sz w:val="18"/>
              </w:rPr>
              <w:t>TikTok</w:t>
            </w:r>
          </w:p>
        </w:tc>
        <w:tc>
          <w:tcPr>
            <w:tcW w:w="144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F1C5DE6" w14:textId="77777777" w:rsidR="005A2A42" w:rsidRDefault="00000000">
            <w:pPr>
              <w:spacing w:after="0" w:line="259" w:lineRule="auto"/>
              <w:ind w:left="0" w:firstLine="0"/>
            </w:pPr>
            <w:r>
              <w:rPr>
                <w:color w:val="000000"/>
                <w:sz w:val="18"/>
              </w:rPr>
              <w:t>28,844</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E4B37C4" w14:textId="77777777" w:rsidR="005A2A42" w:rsidRDefault="00000000">
            <w:pPr>
              <w:spacing w:after="0" w:line="259" w:lineRule="auto"/>
              <w:ind w:left="0" w:firstLine="0"/>
            </w:pPr>
            <w:r>
              <w:rPr>
                <w:color w:val="000000"/>
                <w:sz w:val="18"/>
              </w:rPr>
              <w:t>99,800</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6A733BF" w14:textId="77777777" w:rsidR="005A2A42" w:rsidRDefault="00000000">
            <w:pPr>
              <w:spacing w:after="0" w:line="259" w:lineRule="auto"/>
              <w:ind w:left="0" w:firstLine="0"/>
            </w:pPr>
            <w:r>
              <w:rPr>
                <w:color w:val="000000"/>
                <w:sz w:val="18"/>
              </w:rPr>
              <w:t>59,564</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778DC30" w14:textId="77777777" w:rsidR="005A2A42" w:rsidRDefault="00000000">
            <w:pPr>
              <w:spacing w:after="0" w:line="259" w:lineRule="auto"/>
              <w:ind w:left="0" w:firstLine="0"/>
            </w:pPr>
            <w:r>
              <w:rPr>
                <w:color w:val="000000"/>
                <w:sz w:val="18"/>
              </w:rPr>
              <w:t>9.2%</w:t>
            </w:r>
          </w:p>
        </w:tc>
      </w:tr>
      <w:tr w:rsidR="005A2A42" w14:paraId="4C7B3027" w14:textId="77777777">
        <w:trPr>
          <w:trHeight w:val="440"/>
        </w:trPr>
        <w:tc>
          <w:tcPr>
            <w:tcW w:w="1584" w:type="dxa"/>
            <w:tcBorders>
              <w:top w:val="single" w:sz="4" w:space="0" w:color="DDDDDD"/>
              <w:left w:val="single" w:sz="4" w:space="0" w:color="DDDDDD"/>
              <w:bottom w:val="single" w:sz="4" w:space="0" w:color="DDDDDD"/>
              <w:right w:val="single" w:sz="4" w:space="0" w:color="DDDDDD"/>
            </w:tcBorders>
            <w:shd w:val="clear" w:color="auto" w:fill="F0F0F0"/>
            <w:vAlign w:val="center"/>
          </w:tcPr>
          <w:p w14:paraId="43F99701" w14:textId="77777777" w:rsidR="005A2A42" w:rsidRDefault="00000000">
            <w:pPr>
              <w:spacing w:after="0" w:line="259" w:lineRule="auto"/>
              <w:ind w:left="0" w:firstLine="0"/>
            </w:pPr>
            <w:r>
              <w:rPr>
                <w:color w:val="000000"/>
                <w:sz w:val="18"/>
              </w:rPr>
              <w:t>YouTube</w:t>
            </w:r>
          </w:p>
        </w:tc>
        <w:tc>
          <w:tcPr>
            <w:tcW w:w="1440" w:type="dxa"/>
            <w:tcBorders>
              <w:top w:val="single" w:sz="4" w:space="0" w:color="DDDDDD"/>
              <w:left w:val="single" w:sz="4" w:space="0" w:color="DDDDDD"/>
              <w:bottom w:val="single" w:sz="4" w:space="0" w:color="DDDDDD"/>
              <w:right w:val="single" w:sz="4" w:space="0" w:color="DDDDDD"/>
            </w:tcBorders>
            <w:shd w:val="clear" w:color="auto" w:fill="F0F0F0"/>
            <w:vAlign w:val="center"/>
          </w:tcPr>
          <w:p w14:paraId="5922DB33" w14:textId="77777777" w:rsidR="005A2A42" w:rsidRDefault="00000000">
            <w:pPr>
              <w:spacing w:after="0" w:line="259" w:lineRule="auto"/>
              <w:ind w:left="0" w:firstLine="0"/>
            </w:pPr>
            <w:r>
              <w:rPr>
                <w:color w:val="000000"/>
                <w:sz w:val="18"/>
              </w:rPr>
              <w:t>19,235</w:t>
            </w:r>
          </w:p>
        </w:tc>
        <w:tc>
          <w:tcPr>
            <w:tcW w:w="1872" w:type="dxa"/>
            <w:tcBorders>
              <w:top w:val="single" w:sz="4" w:space="0" w:color="DDDDDD"/>
              <w:left w:val="single" w:sz="4" w:space="0" w:color="DDDDDD"/>
              <w:bottom w:val="single" w:sz="4" w:space="0" w:color="DDDDDD"/>
              <w:right w:val="single" w:sz="4" w:space="0" w:color="DDDDDD"/>
            </w:tcBorders>
            <w:shd w:val="clear" w:color="auto" w:fill="F0F0F0"/>
            <w:vAlign w:val="center"/>
          </w:tcPr>
          <w:p w14:paraId="29402B90" w14:textId="77777777" w:rsidR="005A2A42" w:rsidRDefault="00000000">
            <w:pPr>
              <w:spacing w:after="0" w:line="259" w:lineRule="auto"/>
              <w:ind w:left="0" w:firstLine="0"/>
            </w:pPr>
            <w:r>
              <w:rPr>
                <w:color w:val="000000"/>
                <w:sz w:val="18"/>
              </w:rPr>
              <w:t>98,532</w:t>
            </w:r>
          </w:p>
        </w:tc>
        <w:tc>
          <w:tcPr>
            <w:tcW w:w="1872" w:type="dxa"/>
            <w:tcBorders>
              <w:top w:val="single" w:sz="4" w:space="0" w:color="DDDDDD"/>
              <w:left w:val="single" w:sz="4" w:space="0" w:color="DDDDDD"/>
              <w:bottom w:val="single" w:sz="4" w:space="0" w:color="DDDDDD"/>
              <w:right w:val="single" w:sz="4" w:space="0" w:color="DDDDDD"/>
            </w:tcBorders>
            <w:shd w:val="clear" w:color="auto" w:fill="F0F0F0"/>
            <w:vAlign w:val="center"/>
          </w:tcPr>
          <w:p w14:paraId="1DD40CB4" w14:textId="77777777" w:rsidR="005A2A42" w:rsidRDefault="00000000">
            <w:pPr>
              <w:spacing w:after="0" w:line="259" w:lineRule="auto"/>
              <w:ind w:left="0" w:firstLine="0"/>
            </w:pPr>
            <w:r>
              <w:rPr>
                <w:color w:val="000000"/>
                <w:sz w:val="18"/>
              </w:rPr>
              <w:t>59,718</w:t>
            </w:r>
          </w:p>
        </w:tc>
        <w:tc>
          <w:tcPr>
            <w:tcW w:w="1872" w:type="dxa"/>
            <w:tcBorders>
              <w:top w:val="single" w:sz="4" w:space="0" w:color="DDDDDD"/>
              <w:left w:val="single" w:sz="4" w:space="0" w:color="DDDDDD"/>
              <w:bottom w:val="single" w:sz="4" w:space="0" w:color="DDDDDD"/>
              <w:right w:val="single" w:sz="4" w:space="0" w:color="DDDDDD"/>
            </w:tcBorders>
            <w:shd w:val="clear" w:color="auto" w:fill="F0F0F0"/>
            <w:vAlign w:val="center"/>
          </w:tcPr>
          <w:p w14:paraId="6AF8239D" w14:textId="77777777" w:rsidR="005A2A42" w:rsidRDefault="00000000">
            <w:pPr>
              <w:spacing w:after="0" w:line="259" w:lineRule="auto"/>
              <w:ind w:left="0" w:firstLine="0"/>
            </w:pPr>
            <w:r>
              <w:rPr>
                <w:color w:val="000000"/>
                <w:sz w:val="18"/>
              </w:rPr>
              <w:t>5.1%</w:t>
            </w:r>
          </w:p>
        </w:tc>
      </w:tr>
    </w:tbl>
    <w:p w14:paraId="2CF31439" w14:textId="77777777" w:rsidR="005A2A42" w:rsidRDefault="00000000">
      <w:pPr>
        <w:pStyle w:val="Heading1"/>
        <w:ind w:left="341" w:hanging="356"/>
      </w:pPr>
      <w:r>
        <w:t>Content Category Performance</w:t>
      </w:r>
    </w:p>
    <w:p w14:paraId="045B9033" w14:textId="77777777" w:rsidR="005A2A42" w:rsidRDefault="00000000">
      <w:pPr>
        <w:spacing w:after="47" w:line="259" w:lineRule="auto"/>
        <w:ind w:left="672" w:firstLine="0"/>
      </w:pPr>
      <w:r>
        <w:rPr>
          <w:noProof/>
        </w:rPr>
        <w:drawing>
          <wp:inline distT="0" distB="0" distL="0" distR="0" wp14:anchorId="2EA73480" wp14:editId="5F95E704">
            <wp:extent cx="5486400" cy="338328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5486400" cy="3383280"/>
                    </a:xfrm>
                    <a:prstGeom prst="rect">
                      <a:avLst/>
                    </a:prstGeom>
                  </pic:spPr>
                </pic:pic>
              </a:graphicData>
            </a:graphic>
          </wp:inline>
        </w:drawing>
      </w:r>
    </w:p>
    <w:p w14:paraId="47B79E90" w14:textId="77777777" w:rsidR="005A2A42" w:rsidRDefault="00000000">
      <w:pPr>
        <w:spacing w:after="111" w:line="259" w:lineRule="auto"/>
        <w:ind w:right="3013"/>
        <w:jc w:val="right"/>
      </w:pPr>
      <w:r>
        <w:rPr>
          <w:i/>
          <w:color w:val="6E6E6E"/>
          <w:sz w:val="17"/>
        </w:rPr>
        <w:t>Figure 3. Top 10 categories ranked by average views.</w:t>
      </w:r>
    </w:p>
    <w:p w14:paraId="6A4AD054" w14:textId="77777777" w:rsidR="005A2A42" w:rsidRDefault="00000000">
      <w:pPr>
        <w:pStyle w:val="Heading1"/>
        <w:ind w:left="341" w:hanging="356"/>
      </w:pPr>
      <w:r>
        <w:lastRenderedPageBreak/>
        <w:t>Creator Tier Analysis</w:t>
      </w:r>
    </w:p>
    <w:p w14:paraId="5327146F" w14:textId="77777777" w:rsidR="005A2A42" w:rsidRDefault="00000000">
      <w:pPr>
        <w:spacing w:after="47" w:line="259" w:lineRule="auto"/>
        <w:ind w:left="1392" w:firstLine="0"/>
      </w:pPr>
      <w:r>
        <w:rPr>
          <w:noProof/>
        </w:rPr>
        <w:drawing>
          <wp:inline distT="0" distB="0" distL="0" distR="0" wp14:anchorId="14CC8076" wp14:editId="0468F9F3">
            <wp:extent cx="4572000" cy="2834640"/>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8"/>
                    <a:stretch>
                      <a:fillRect/>
                    </a:stretch>
                  </pic:blipFill>
                  <pic:spPr>
                    <a:xfrm>
                      <a:off x="0" y="0"/>
                      <a:ext cx="4572000" cy="2834640"/>
                    </a:xfrm>
                    <a:prstGeom prst="rect">
                      <a:avLst/>
                    </a:prstGeom>
                  </pic:spPr>
                </pic:pic>
              </a:graphicData>
            </a:graphic>
          </wp:inline>
        </w:drawing>
      </w:r>
    </w:p>
    <w:p w14:paraId="1D47D213" w14:textId="77777777" w:rsidR="005A2A42" w:rsidRDefault="00000000">
      <w:pPr>
        <w:spacing w:after="337" w:line="265" w:lineRule="auto"/>
        <w:jc w:val="center"/>
      </w:pPr>
      <w:r>
        <w:rPr>
          <w:i/>
          <w:color w:val="6E6E6E"/>
          <w:sz w:val="17"/>
        </w:rPr>
        <w:t>Figure 4. Average views by creator tier.</w:t>
      </w:r>
    </w:p>
    <w:p w14:paraId="6752DE05" w14:textId="77777777" w:rsidR="005A2A42" w:rsidRDefault="00000000">
      <w:pPr>
        <w:shd w:val="clear" w:color="auto" w:fill="F0F0F0"/>
        <w:spacing w:after="494" w:line="269" w:lineRule="auto"/>
        <w:ind w:left="75"/>
      </w:pPr>
      <w:r>
        <w:rPr>
          <w:i/>
        </w:rPr>
        <w:t>Note: 48,046 of 48,079 records (99.9%) are classified as 'Mid' tier creators, with only 33 records as 'Micro' tier and no 'Macro' or 'Mega' tier creators present in this dataset. Creator tier segmentation should be treated as a limited signal in this dataset rather than a primary driver of strategy.</w:t>
      </w:r>
    </w:p>
    <w:p w14:paraId="711C4BB7" w14:textId="77777777" w:rsidR="005A2A42" w:rsidRDefault="00000000">
      <w:pPr>
        <w:pStyle w:val="Heading1"/>
        <w:ind w:left="341" w:hanging="356"/>
      </w:pPr>
      <w:r>
        <w:t>Upload Timing Analysis</w:t>
      </w:r>
    </w:p>
    <w:p w14:paraId="6591ACE1" w14:textId="77777777" w:rsidR="005A2A42" w:rsidRDefault="00000000">
      <w:pPr>
        <w:spacing w:after="47" w:line="259" w:lineRule="auto"/>
        <w:ind w:left="384" w:firstLine="0"/>
      </w:pPr>
      <w:r>
        <w:rPr>
          <w:noProof/>
        </w:rPr>
        <w:drawing>
          <wp:inline distT="0" distB="0" distL="0" distR="0" wp14:anchorId="4A4992E7" wp14:editId="03958788">
            <wp:extent cx="5852160" cy="246888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9"/>
                    <a:stretch>
                      <a:fillRect/>
                    </a:stretch>
                  </pic:blipFill>
                  <pic:spPr>
                    <a:xfrm>
                      <a:off x="0" y="0"/>
                      <a:ext cx="5852160" cy="2468880"/>
                    </a:xfrm>
                    <a:prstGeom prst="rect">
                      <a:avLst/>
                    </a:prstGeom>
                  </pic:spPr>
                </pic:pic>
              </a:graphicData>
            </a:graphic>
          </wp:inline>
        </w:drawing>
      </w:r>
    </w:p>
    <w:p w14:paraId="20A22841" w14:textId="77777777" w:rsidR="005A2A42" w:rsidRDefault="00000000">
      <w:pPr>
        <w:spacing w:after="109" w:line="265" w:lineRule="auto"/>
        <w:jc w:val="center"/>
      </w:pPr>
      <w:r>
        <w:rPr>
          <w:i/>
          <w:color w:val="6E6E6E"/>
          <w:sz w:val="17"/>
        </w:rPr>
        <w:t>Figure 5. Average engagement rate by publish day and upload hour.</w:t>
      </w:r>
    </w:p>
    <w:tbl>
      <w:tblPr>
        <w:tblStyle w:val="TableGrid"/>
        <w:tblW w:w="7200" w:type="dxa"/>
        <w:tblInd w:w="0" w:type="dxa"/>
        <w:tblCellMar>
          <w:top w:w="0" w:type="dxa"/>
          <w:left w:w="120" w:type="dxa"/>
          <w:bottom w:w="0" w:type="dxa"/>
          <w:right w:w="115" w:type="dxa"/>
        </w:tblCellMar>
        <w:tblLook w:val="04A0" w:firstRow="1" w:lastRow="0" w:firstColumn="1" w:lastColumn="0" w:noHBand="0" w:noVBand="1"/>
      </w:tblPr>
      <w:tblGrid>
        <w:gridCol w:w="864"/>
        <w:gridCol w:w="2304"/>
        <w:gridCol w:w="1440"/>
        <w:gridCol w:w="2592"/>
      </w:tblGrid>
      <w:tr w:rsidR="005A2A42" w14:paraId="122841B7"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111111"/>
            <w:vAlign w:val="center"/>
          </w:tcPr>
          <w:p w14:paraId="07EF0A67" w14:textId="77777777" w:rsidR="005A2A42" w:rsidRDefault="00000000">
            <w:pPr>
              <w:spacing w:after="0" w:line="259" w:lineRule="auto"/>
              <w:ind w:left="0" w:firstLine="0"/>
            </w:pPr>
            <w:r>
              <w:rPr>
                <w:b/>
                <w:color w:val="FFFFFF"/>
                <w:sz w:val="18"/>
              </w:rPr>
              <w:t>Rank</w:t>
            </w:r>
          </w:p>
        </w:tc>
        <w:tc>
          <w:tcPr>
            <w:tcW w:w="2304" w:type="dxa"/>
            <w:tcBorders>
              <w:top w:val="single" w:sz="4" w:space="0" w:color="DDDDDD"/>
              <w:left w:val="single" w:sz="4" w:space="0" w:color="DDDDDD"/>
              <w:bottom w:val="single" w:sz="4" w:space="0" w:color="DDDDDD"/>
              <w:right w:val="single" w:sz="4" w:space="0" w:color="DDDDDD"/>
            </w:tcBorders>
            <w:shd w:val="clear" w:color="auto" w:fill="111111"/>
            <w:vAlign w:val="center"/>
          </w:tcPr>
          <w:p w14:paraId="786EBB26" w14:textId="77777777" w:rsidR="005A2A42" w:rsidRDefault="00000000">
            <w:pPr>
              <w:spacing w:after="0" w:line="259" w:lineRule="auto"/>
              <w:ind w:left="0" w:firstLine="0"/>
            </w:pPr>
            <w:r>
              <w:rPr>
                <w:b/>
                <w:color w:val="FFFFFF"/>
                <w:sz w:val="18"/>
              </w:rPr>
              <w:t>Day</w:t>
            </w:r>
          </w:p>
        </w:tc>
        <w:tc>
          <w:tcPr>
            <w:tcW w:w="1440" w:type="dxa"/>
            <w:tcBorders>
              <w:top w:val="single" w:sz="4" w:space="0" w:color="DDDDDD"/>
              <w:left w:val="single" w:sz="4" w:space="0" w:color="DDDDDD"/>
              <w:bottom w:val="single" w:sz="4" w:space="0" w:color="DDDDDD"/>
              <w:right w:val="single" w:sz="4" w:space="0" w:color="DDDDDD"/>
            </w:tcBorders>
            <w:shd w:val="clear" w:color="auto" w:fill="111111"/>
            <w:vAlign w:val="center"/>
          </w:tcPr>
          <w:p w14:paraId="4B0EA7AD" w14:textId="77777777" w:rsidR="005A2A42" w:rsidRDefault="00000000">
            <w:pPr>
              <w:spacing w:after="0" w:line="259" w:lineRule="auto"/>
              <w:ind w:left="0" w:firstLine="0"/>
            </w:pPr>
            <w:r>
              <w:rPr>
                <w:b/>
                <w:color w:val="FFFFFF"/>
                <w:sz w:val="18"/>
              </w:rPr>
              <w:t>Hour</w:t>
            </w:r>
          </w:p>
        </w:tc>
        <w:tc>
          <w:tcPr>
            <w:tcW w:w="2592" w:type="dxa"/>
            <w:tcBorders>
              <w:top w:val="single" w:sz="4" w:space="0" w:color="DDDDDD"/>
              <w:left w:val="single" w:sz="4" w:space="0" w:color="DDDDDD"/>
              <w:bottom w:val="single" w:sz="4" w:space="0" w:color="DDDDDD"/>
              <w:right w:val="single" w:sz="4" w:space="0" w:color="DDDDDD"/>
            </w:tcBorders>
            <w:shd w:val="clear" w:color="auto" w:fill="111111"/>
            <w:vAlign w:val="center"/>
          </w:tcPr>
          <w:p w14:paraId="0C436FE4" w14:textId="77777777" w:rsidR="005A2A42" w:rsidRDefault="00000000">
            <w:pPr>
              <w:spacing w:after="0" w:line="259" w:lineRule="auto"/>
              <w:ind w:left="0" w:firstLine="0"/>
            </w:pPr>
            <w:proofErr w:type="spellStart"/>
            <w:r>
              <w:rPr>
                <w:b/>
                <w:color w:val="FFFFFF"/>
                <w:sz w:val="18"/>
              </w:rPr>
              <w:t>Avg</w:t>
            </w:r>
            <w:proofErr w:type="spellEnd"/>
            <w:r>
              <w:rPr>
                <w:b/>
                <w:color w:val="FFFFFF"/>
                <w:sz w:val="18"/>
              </w:rPr>
              <w:t xml:space="preserve"> Engagement Rate</w:t>
            </w:r>
          </w:p>
        </w:tc>
      </w:tr>
      <w:tr w:rsidR="005A2A42" w14:paraId="71461EB9"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FDE4D6"/>
            <w:vAlign w:val="center"/>
          </w:tcPr>
          <w:p w14:paraId="2D6DD2B0" w14:textId="77777777" w:rsidR="005A2A42" w:rsidRDefault="00000000">
            <w:pPr>
              <w:spacing w:after="0" w:line="259" w:lineRule="auto"/>
              <w:ind w:left="0" w:firstLine="0"/>
            </w:pPr>
            <w:r>
              <w:rPr>
                <w:color w:val="000000"/>
                <w:sz w:val="18"/>
              </w:rPr>
              <w:t>1</w:t>
            </w:r>
          </w:p>
        </w:tc>
        <w:tc>
          <w:tcPr>
            <w:tcW w:w="2304" w:type="dxa"/>
            <w:tcBorders>
              <w:top w:val="single" w:sz="4" w:space="0" w:color="DDDDDD"/>
              <w:left w:val="single" w:sz="4" w:space="0" w:color="DDDDDD"/>
              <w:bottom w:val="single" w:sz="4" w:space="0" w:color="DDDDDD"/>
              <w:right w:val="single" w:sz="4" w:space="0" w:color="DDDDDD"/>
            </w:tcBorders>
            <w:shd w:val="clear" w:color="auto" w:fill="FDE4D6"/>
            <w:vAlign w:val="center"/>
          </w:tcPr>
          <w:p w14:paraId="69386F2B" w14:textId="77777777" w:rsidR="005A2A42" w:rsidRDefault="00000000">
            <w:pPr>
              <w:spacing w:after="0" w:line="259" w:lineRule="auto"/>
              <w:ind w:left="0" w:firstLine="0"/>
            </w:pPr>
            <w:r>
              <w:rPr>
                <w:color w:val="000000"/>
                <w:sz w:val="18"/>
              </w:rPr>
              <w:t>Wednesday</w:t>
            </w:r>
          </w:p>
        </w:tc>
        <w:tc>
          <w:tcPr>
            <w:tcW w:w="1440" w:type="dxa"/>
            <w:tcBorders>
              <w:top w:val="single" w:sz="4" w:space="0" w:color="DDDDDD"/>
              <w:left w:val="single" w:sz="4" w:space="0" w:color="DDDDDD"/>
              <w:bottom w:val="single" w:sz="4" w:space="0" w:color="DDDDDD"/>
              <w:right w:val="single" w:sz="4" w:space="0" w:color="DDDDDD"/>
            </w:tcBorders>
            <w:shd w:val="clear" w:color="auto" w:fill="FDE4D6"/>
            <w:vAlign w:val="center"/>
          </w:tcPr>
          <w:p w14:paraId="350DBE88" w14:textId="77777777" w:rsidR="005A2A42" w:rsidRDefault="00000000">
            <w:pPr>
              <w:spacing w:after="0" w:line="259" w:lineRule="auto"/>
              <w:ind w:left="0" w:firstLine="0"/>
            </w:pPr>
            <w:r>
              <w:rPr>
                <w:color w:val="000000"/>
                <w:sz w:val="18"/>
              </w:rPr>
              <w:t>5:00</w:t>
            </w:r>
          </w:p>
        </w:tc>
        <w:tc>
          <w:tcPr>
            <w:tcW w:w="2592" w:type="dxa"/>
            <w:tcBorders>
              <w:top w:val="single" w:sz="4" w:space="0" w:color="DDDDDD"/>
              <w:left w:val="single" w:sz="4" w:space="0" w:color="DDDDDD"/>
              <w:bottom w:val="single" w:sz="4" w:space="0" w:color="DDDDDD"/>
              <w:right w:val="single" w:sz="4" w:space="0" w:color="DDDDDD"/>
            </w:tcBorders>
            <w:shd w:val="clear" w:color="auto" w:fill="FDE4D6"/>
            <w:vAlign w:val="center"/>
          </w:tcPr>
          <w:p w14:paraId="6B532F2F" w14:textId="77777777" w:rsidR="005A2A42" w:rsidRDefault="00000000">
            <w:pPr>
              <w:spacing w:after="0" w:line="259" w:lineRule="auto"/>
              <w:ind w:left="0" w:firstLine="0"/>
            </w:pPr>
            <w:r>
              <w:rPr>
                <w:color w:val="000000"/>
                <w:sz w:val="18"/>
              </w:rPr>
              <w:t>8.43%</w:t>
            </w:r>
          </w:p>
        </w:tc>
      </w:tr>
      <w:tr w:rsidR="005A2A42" w14:paraId="1116D9C0" w14:textId="77777777">
        <w:trPr>
          <w:trHeight w:val="440"/>
        </w:trPr>
        <w:tc>
          <w:tcPr>
            <w:tcW w:w="864" w:type="dxa"/>
            <w:tcBorders>
              <w:top w:val="single" w:sz="4" w:space="0" w:color="DDDDDD"/>
              <w:left w:val="single" w:sz="4" w:space="0" w:color="DDDDDD"/>
              <w:bottom w:val="single" w:sz="4" w:space="0" w:color="DDDDDD"/>
              <w:right w:val="single" w:sz="4" w:space="0" w:color="DDDDDD"/>
            </w:tcBorders>
            <w:vAlign w:val="center"/>
          </w:tcPr>
          <w:p w14:paraId="2A159AC4" w14:textId="77777777" w:rsidR="005A2A42" w:rsidRDefault="00000000">
            <w:pPr>
              <w:spacing w:after="0" w:line="259" w:lineRule="auto"/>
              <w:ind w:left="0" w:firstLine="0"/>
            </w:pPr>
            <w:r>
              <w:rPr>
                <w:color w:val="000000"/>
                <w:sz w:val="18"/>
              </w:rPr>
              <w:t>2</w:t>
            </w:r>
          </w:p>
        </w:tc>
        <w:tc>
          <w:tcPr>
            <w:tcW w:w="2304" w:type="dxa"/>
            <w:tcBorders>
              <w:top w:val="single" w:sz="4" w:space="0" w:color="DDDDDD"/>
              <w:left w:val="single" w:sz="4" w:space="0" w:color="DDDDDD"/>
              <w:bottom w:val="single" w:sz="4" w:space="0" w:color="DDDDDD"/>
              <w:right w:val="single" w:sz="4" w:space="0" w:color="DDDDDD"/>
            </w:tcBorders>
            <w:vAlign w:val="center"/>
          </w:tcPr>
          <w:p w14:paraId="19DF18EA" w14:textId="77777777" w:rsidR="005A2A42" w:rsidRDefault="00000000">
            <w:pPr>
              <w:spacing w:after="0" w:line="259" w:lineRule="auto"/>
              <w:ind w:left="0" w:firstLine="0"/>
            </w:pPr>
            <w:r>
              <w:rPr>
                <w:color w:val="000000"/>
                <w:sz w:val="18"/>
              </w:rPr>
              <w:t>Monday</w:t>
            </w:r>
          </w:p>
        </w:tc>
        <w:tc>
          <w:tcPr>
            <w:tcW w:w="1440" w:type="dxa"/>
            <w:tcBorders>
              <w:top w:val="single" w:sz="4" w:space="0" w:color="DDDDDD"/>
              <w:left w:val="single" w:sz="4" w:space="0" w:color="DDDDDD"/>
              <w:bottom w:val="single" w:sz="4" w:space="0" w:color="DDDDDD"/>
              <w:right w:val="single" w:sz="4" w:space="0" w:color="DDDDDD"/>
            </w:tcBorders>
            <w:vAlign w:val="center"/>
          </w:tcPr>
          <w:p w14:paraId="1ECB75F8" w14:textId="77777777" w:rsidR="005A2A42" w:rsidRDefault="00000000">
            <w:pPr>
              <w:spacing w:after="0" w:line="259" w:lineRule="auto"/>
              <w:ind w:left="0" w:firstLine="0"/>
            </w:pPr>
            <w:r>
              <w:rPr>
                <w:color w:val="000000"/>
                <w:sz w:val="18"/>
              </w:rPr>
              <w:t>7:00</w:t>
            </w:r>
          </w:p>
        </w:tc>
        <w:tc>
          <w:tcPr>
            <w:tcW w:w="2592" w:type="dxa"/>
            <w:tcBorders>
              <w:top w:val="single" w:sz="4" w:space="0" w:color="DDDDDD"/>
              <w:left w:val="single" w:sz="4" w:space="0" w:color="DDDDDD"/>
              <w:bottom w:val="single" w:sz="4" w:space="0" w:color="DDDDDD"/>
              <w:right w:val="single" w:sz="4" w:space="0" w:color="DDDDDD"/>
            </w:tcBorders>
            <w:vAlign w:val="center"/>
          </w:tcPr>
          <w:p w14:paraId="7E795DF7" w14:textId="77777777" w:rsidR="005A2A42" w:rsidRDefault="00000000">
            <w:pPr>
              <w:spacing w:after="0" w:line="259" w:lineRule="auto"/>
              <w:ind w:left="0" w:firstLine="0"/>
            </w:pPr>
            <w:r>
              <w:rPr>
                <w:color w:val="000000"/>
                <w:sz w:val="18"/>
              </w:rPr>
              <w:t>8.28%</w:t>
            </w:r>
          </w:p>
        </w:tc>
      </w:tr>
      <w:tr w:rsidR="005A2A42" w14:paraId="50F99201" w14:textId="77777777">
        <w:trPr>
          <w:trHeight w:val="440"/>
        </w:trPr>
        <w:tc>
          <w:tcPr>
            <w:tcW w:w="864" w:type="dxa"/>
            <w:tcBorders>
              <w:top w:val="single" w:sz="4" w:space="0" w:color="DDDDDD"/>
              <w:left w:val="single" w:sz="4" w:space="0" w:color="DDDDDD"/>
              <w:bottom w:val="single" w:sz="4" w:space="0" w:color="DDDDDD"/>
              <w:right w:val="single" w:sz="4" w:space="0" w:color="DDDDDD"/>
            </w:tcBorders>
            <w:vAlign w:val="center"/>
          </w:tcPr>
          <w:p w14:paraId="34AC4888" w14:textId="77777777" w:rsidR="005A2A42" w:rsidRDefault="00000000">
            <w:pPr>
              <w:spacing w:after="0" w:line="259" w:lineRule="auto"/>
              <w:ind w:left="0" w:firstLine="0"/>
            </w:pPr>
            <w:r>
              <w:rPr>
                <w:color w:val="000000"/>
                <w:sz w:val="18"/>
              </w:rPr>
              <w:t>3</w:t>
            </w:r>
          </w:p>
        </w:tc>
        <w:tc>
          <w:tcPr>
            <w:tcW w:w="2304" w:type="dxa"/>
            <w:tcBorders>
              <w:top w:val="single" w:sz="4" w:space="0" w:color="DDDDDD"/>
              <w:left w:val="single" w:sz="4" w:space="0" w:color="DDDDDD"/>
              <w:bottom w:val="single" w:sz="4" w:space="0" w:color="DDDDDD"/>
              <w:right w:val="single" w:sz="4" w:space="0" w:color="DDDDDD"/>
            </w:tcBorders>
            <w:vAlign w:val="center"/>
          </w:tcPr>
          <w:p w14:paraId="50676292" w14:textId="77777777" w:rsidR="005A2A42" w:rsidRDefault="00000000">
            <w:pPr>
              <w:spacing w:after="0" w:line="259" w:lineRule="auto"/>
              <w:ind w:left="0" w:firstLine="0"/>
            </w:pPr>
            <w:r>
              <w:rPr>
                <w:color w:val="000000"/>
                <w:sz w:val="18"/>
              </w:rPr>
              <w:t>Saturday</w:t>
            </w:r>
          </w:p>
        </w:tc>
        <w:tc>
          <w:tcPr>
            <w:tcW w:w="1440" w:type="dxa"/>
            <w:tcBorders>
              <w:top w:val="single" w:sz="4" w:space="0" w:color="DDDDDD"/>
              <w:left w:val="single" w:sz="4" w:space="0" w:color="DDDDDD"/>
              <w:bottom w:val="single" w:sz="4" w:space="0" w:color="DDDDDD"/>
              <w:right w:val="single" w:sz="4" w:space="0" w:color="DDDDDD"/>
            </w:tcBorders>
            <w:vAlign w:val="center"/>
          </w:tcPr>
          <w:p w14:paraId="293D5AB9" w14:textId="77777777" w:rsidR="005A2A42" w:rsidRDefault="00000000">
            <w:pPr>
              <w:spacing w:after="0" w:line="259" w:lineRule="auto"/>
              <w:ind w:left="0" w:firstLine="0"/>
            </w:pPr>
            <w:r>
              <w:rPr>
                <w:color w:val="000000"/>
                <w:sz w:val="18"/>
              </w:rPr>
              <w:t>1:00</w:t>
            </w:r>
          </w:p>
        </w:tc>
        <w:tc>
          <w:tcPr>
            <w:tcW w:w="2592" w:type="dxa"/>
            <w:tcBorders>
              <w:top w:val="single" w:sz="4" w:space="0" w:color="DDDDDD"/>
              <w:left w:val="single" w:sz="4" w:space="0" w:color="DDDDDD"/>
              <w:bottom w:val="single" w:sz="4" w:space="0" w:color="DDDDDD"/>
              <w:right w:val="single" w:sz="4" w:space="0" w:color="DDDDDD"/>
            </w:tcBorders>
            <w:vAlign w:val="center"/>
          </w:tcPr>
          <w:p w14:paraId="31CE4353" w14:textId="77777777" w:rsidR="005A2A42" w:rsidRDefault="00000000">
            <w:pPr>
              <w:spacing w:after="0" w:line="259" w:lineRule="auto"/>
              <w:ind w:left="0" w:firstLine="0"/>
            </w:pPr>
            <w:r>
              <w:rPr>
                <w:color w:val="000000"/>
                <w:sz w:val="18"/>
              </w:rPr>
              <w:t>8.26%</w:t>
            </w:r>
          </w:p>
        </w:tc>
      </w:tr>
      <w:tr w:rsidR="005A2A42" w14:paraId="017042F2" w14:textId="77777777">
        <w:trPr>
          <w:trHeight w:val="440"/>
        </w:trPr>
        <w:tc>
          <w:tcPr>
            <w:tcW w:w="864" w:type="dxa"/>
            <w:tcBorders>
              <w:top w:val="single" w:sz="4" w:space="0" w:color="DDDDDD"/>
              <w:left w:val="single" w:sz="4" w:space="0" w:color="DDDDDD"/>
              <w:bottom w:val="single" w:sz="4" w:space="0" w:color="DDDDDD"/>
              <w:right w:val="single" w:sz="4" w:space="0" w:color="DDDDDD"/>
            </w:tcBorders>
            <w:vAlign w:val="center"/>
          </w:tcPr>
          <w:p w14:paraId="11631BD0" w14:textId="77777777" w:rsidR="005A2A42" w:rsidRDefault="00000000">
            <w:pPr>
              <w:spacing w:after="0" w:line="259" w:lineRule="auto"/>
              <w:ind w:left="0" w:firstLine="0"/>
            </w:pPr>
            <w:r>
              <w:rPr>
                <w:color w:val="000000"/>
                <w:sz w:val="18"/>
              </w:rPr>
              <w:lastRenderedPageBreak/>
              <w:t>4</w:t>
            </w:r>
          </w:p>
        </w:tc>
        <w:tc>
          <w:tcPr>
            <w:tcW w:w="2304" w:type="dxa"/>
            <w:tcBorders>
              <w:top w:val="single" w:sz="4" w:space="0" w:color="DDDDDD"/>
              <w:left w:val="single" w:sz="4" w:space="0" w:color="DDDDDD"/>
              <w:bottom w:val="single" w:sz="4" w:space="0" w:color="DDDDDD"/>
              <w:right w:val="single" w:sz="4" w:space="0" w:color="DDDDDD"/>
            </w:tcBorders>
            <w:vAlign w:val="center"/>
          </w:tcPr>
          <w:p w14:paraId="222EC02C" w14:textId="77777777" w:rsidR="005A2A42" w:rsidRDefault="00000000">
            <w:pPr>
              <w:spacing w:after="0" w:line="259" w:lineRule="auto"/>
              <w:ind w:left="0" w:firstLine="0"/>
            </w:pPr>
            <w:r>
              <w:rPr>
                <w:color w:val="000000"/>
                <w:sz w:val="18"/>
              </w:rPr>
              <w:t>Saturday</w:t>
            </w:r>
          </w:p>
        </w:tc>
        <w:tc>
          <w:tcPr>
            <w:tcW w:w="1440" w:type="dxa"/>
            <w:tcBorders>
              <w:top w:val="single" w:sz="4" w:space="0" w:color="DDDDDD"/>
              <w:left w:val="single" w:sz="4" w:space="0" w:color="DDDDDD"/>
              <w:bottom w:val="single" w:sz="4" w:space="0" w:color="DDDDDD"/>
              <w:right w:val="single" w:sz="4" w:space="0" w:color="DDDDDD"/>
            </w:tcBorders>
            <w:vAlign w:val="center"/>
          </w:tcPr>
          <w:p w14:paraId="768F2801" w14:textId="77777777" w:rsidR="005A2A42" w:rsidRDefault="00000000">
            <w:pPr>
              <w:spacing w:after="0" w:line="259" w:lineRule="auto"/>
              <w:ind w:left="0" w:firstLine="0"/>
            </w:pPr>
            <w:r>
              <w:rPr>
                <w:color w:val="000000"/>
                <w:sz w:val="18"/>
              </w:rPr>
              <w:t>3:00</w:t>
            </w:r>
          </w:p>
        </w:tc>
        <w:tc>
          <w:tcPr>
            <w:tcW w:w="2592" w:type="dxa"/>
            <w:tcBorders>
              <w:top w:val="single" w:sz="4" w:space="0" w:color="DDDDDD"/>
              <w:left w:val="single" w:sz="4" w:space="0" w:color="DDDDDD"/>
              <w:bottom w:val="single" w:sz="4" w:space="0" w:color="DDDDDD"/>
              <w:right w:val="single" w:sz="4" w:space="0" w:color="DDDDDD"/>
            </w:tcBorders>
            <w:vAlign w:val="center"/>
          </w:tcPr>
          <w:p w14:paraId="6CFEAE43" w14:textId="77777777" w:rsidR="005A2A42" w:rsidRDefault="00000000">
            <w:pPr>
              <w:spacing w:after="0" w:line="259" w:lineRule="auto"/>
              <w:ind w:left="0" w:firstLine="0"/>
            </w:pPr>
            <w:r>
              <w:rPr>
                <w:color w:val="000000"/>
                <w:sz w:val="18"/>
              </w:rPr>
              <w:t>8.21%</w:t>
            </w:r>
          </w:p>
        </w:tc>
      </w:tr>
      <w:tr w:rsidR="005A2A42" w14:paraId="46AC0713" w14:textId="77777777">
        <w:trPr>
          <w:trHeight w:val="440"/>
        </w:trPr>
        <w:tc>
          <w:tcPr>
            <w:tcW w:w="864" w:type="dxa"/>
            <w:tcBorders>
              <w:top w:val="single" w:sz="4" w:space="0" w:color="DDDDDD"/>
              <w:left w:val="single" w:sz="4" w:space="0" w:color="DDDDDD"/>
              <w:bottom w:val="single" w:sz="4" w:space="0" w:color="DDDDDD"/>
              <w:right w:val="single" w:sz="4" w:space="0" w:color="DDDDDD"/>
            </w:tcBorders>
            <w:vAlign w:val="center"/>
          </w:tcPr>
          <w:p w14:paraId="4AC4E21B" w14:textId="77777777" w:rsidR="005A2A42" w:rsidRDefault="00000000">
            <w:pPr>
              <w:spacing w:after="0" w:line="259" w:lineRule="auto"/>
              <w:ind w:left="0" w:firstLine="0"/>
            </w:pPr>
            <w:r>
              <w:rPr>
                <w:color w:val="000000"/>
                <w:sz w:val="18"/>
              </w:rPr>
              <w:t>5</w:t>
            </w:r>
          </w:p>
        </w:tc>
        <w:tc>
          <w:tcPr>
            <w:tcW w:w="2304" w:type="dxa"/>
            <w:tcBorders>
              <w:top w:val="single" w:sz="4" w:space="0" w:color="DDDDDD"/>
              <w:left w:val="single" w:sz="4" w:space="0" w:color="DDDDDD"/>
              <w:bottom w:val="single" w:sz="4" w:space="0" w:color="DDDDDD"/>
              <w:right w:val="single" w:sz="4" w:space="0" w:color="DDDDDD"/>
            </w:tcBorders>
            <w:vAlign w:val="center"/>
          </w:tcPr>
          <w:p w14:paraId="7E22F561" w14:textId="77777777" w:rsidR="005A2A42" w:rsidRDefault="00000000">
            <w:pPr>
              <w:spacing w:after="0" w:line="259" w:lineRule="auto"/>
              <w:ind w:left="0" w:firstLine="0"/>
            </w:pPr>
            <w:r>
              <w:rPr>
                <w:color w:val="000000"/>
                <w:sz w:val="18"/>
              </w:rPr>
              <w:t>Monday</w:t>
            </w:r>
          </w:p>
        </w:tc>
        <w:tc>
          <w:tcPr>
            <w:tcW w:w="1440" w:type="dxa"/>
            <w:tcBorders>
              <w:top w:val="single" w:sz="4" w:space="0" w:color="DDDDDD"/>
              <w:left w:val="single" w:sz="4" w:space="0" w:color="DDDDDD"/>
              <w:bottom w:val="single" w:sz="4" w:space="0" w:color="DDDDDD"/>
              <w:right w:val="single" w:sz="4" w:space="0" w:color="DDDDDD"/>
            </w:tcBorders>
            <w:vAlign w:val="center"/>
          </w:tcPr>
          <w:p w14:paraId="1E2C9229" w14:textId="77777777" w:rsidR="005A2A42" w:rsidRDefault="00000000">
            <w:pPr>
              <w:spacing w:after="0" w:line="259" w:lineRule="auto"/>
              <w:ind w:left="0" w:firstLine="0"/>
            </w:pPr>
            <w:r>
              <w:rPr>
                <w:color w:val="000000"/>
                <w:sz w:val="18"/>
              </w:rPr>
              <w:t>5:00</w:t>
            </w:r>
          </w:p>
        </w:tc>
        <w:tc>
          <w:tcPr>
            <w:tcW w:w="2592" w:type="dxa"/>
            <w:tcBorders>
              <w:top w:val="single" w:sz="4" w:space="0" w:color="DDDDDD"/>
              <w:left w:val="single" w:sz="4" w:space="0" w:color="DDDDDD"/>
              <w:bottom w:val="single" w:sz="4" w:space="0" w:color="DDDDDD"/>
              <w:right w:val="single" w:sz="4" w:space="0" w:color="DDDDDD"/>
            </w:tcBorders>
            <w:vAlign w:val="center"/>
          </w:tcPr>
          <w:p w14:paraId="2EEFF58E" w14:textId="77777777" w:rsidR="005A2A42" w:rsidRDefault="00000000">
            <w:pPr>
              <w:spacing w:after="0" w:line="259" w:lineRule="auto"/>
              <w:ind w:left="0" w:firstLine="0"/>
            </w:pPr>
            <w:r>
              <w:rPr>
                <w:color w:val="000000"/>
                <w:sz w:val="18"/>
              </w:rPr>
              <w:t>8.17%</w:t>
            </w:r>
          </w:p>
        </w:tc>
      </w:tr>
    </w:tbl>
    <w:p w14:paraId="50985079" w14:textId="77777777" w:rsidR="005A2A42" w:rsidRDefault="00000000">
      <w:pPr>
        <w:spacing w:after="243" w:line="265" w:lineRule="auto"/>
        <w:ind w:left="2791"/>
      </w:pPr>
      <w:r>
        <w:rPr>
          <w:i/>
          <w:color w:val="6E6E6E"/>
          <w:sz w:val="17"/>
        </w:rPr>
        <w:t>Table 1. Top 5 highest-engagement day/hour combinations.</w:t>
      </w:r>
      <w:r>
        <w:br w:type="page"/>
      </w:r>
    </w:p>
    <w:p w14:paraId="7E54135C" w14:textId="77777777" w:rsidR="005A2A42" w:rsidRDefault="00000000">
      <w:pPr>
        <w:pStyle w:val="Heading1"/>
        <w:ind w:left="341" w:hanging="356"/>
      </w:pPr>
      <w:r>
        <w:lastRenderedPageBreak/>
        <w:t>Regional Market Performance</w:t>
      </w:r>
    </w:p>
    <w:p w14:paraId="7A77B5B7" w14:textId="77777777" w:rsidR="005A2A42" w:rsidRDefault="00000000">
      <w:pPr>
        <w:spacing w:after="47" w:line="259" w:lineRule="auto"/>
        <w:ind w:left="816" w:firstLine="0"/>
      </w:pPr>
      <w:r>
        <w:rPr>
          <w:noProof/>
        </w:rPr>
        <w:drawing>
          <wp:inline distT="0" distB="0" distL="0" distR="0" wp14:anchorId="1A7D1731" wp14:editId="4BEF81C6">
            <wp:extent cx="5303520" cy="2926080"/>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0"/>
                    <a:stretch>
                      <a:fillRect/>
                    </a:stretch>
                  </pic:blipFill>
                  <pic:spPr>
                    <a:xfrm>
                      <a:off x="0" y="0"/>
                      <a:ext cx="5303520" cy="2926080"/>
                    </a:xfrm>
                    <a:prstGeom prst="rect">
                      <a:avLst/>
                    </a:prstGeom>
                  </pic:spPr>
                </pic:pic>
              </a:graphicData>
            </a:graphic>
          </wp:inline>
        </w:drawing>
      </w:r>
    </w:p>
    <w:p w14:paraId="5D833313" w14:textId="77777777" w:rsidR="005A2A42" w:rsidRDefault="00000000">
      <w:pPr>
        <w:spacing w:after="337" w:line="265" w:lineRule="auto"/>
        <w:jc w:val="center"/>
      </w:pPr>
      <w:r>
        <w:rPr>
          <w:i/>
          <w:color w:val="6E6E6E"/>
          <w:sz w:val="17"/>
        </w:rPr>
        <w:t>Figure 6. Average views by region.</w:t>
      </w:r>
    </w:p>
    <w:p w14:paraId="0D4B5B03" w14:textId="77777777" w:rsidR="005A2A42" w:rsidRDefault="00000000">
      <w:pPr>
        <w:spacing w:after="483"/>
      </w:pPr>
      <w:r>
        <w:t>Regional differences in average views are modest (roughly 98K–100K across all six regions), suggesting reach is fairly evenly distributed globally in this dataset, without one dominant market.</w:t>
      </w:r>
    </w:p>
    <w:p w14:paraId="1EEF4647" w14:textId="77777777" w:rsidR="005A2A42" w:rsidRDefault="00000000">
      <w:pPr>
        <w:pStyle w:val="Heading1"/>
        <w:ind w:left="341" w:hanging="356"/>
      </w:pPr>
      <w:r>
        <w:t>Emoji Usage &amp; Engagement</w:t>
      </w:r>
    </w:p>
    <w:p w14:paraId="5C67D082" w14:textId="77777777" w:rsidR="005A2A42" w:rsidRDefault="00000000">
      <w:pPr>
        <w:spacing w:after="47" w:line="259" w:lineRule="auto"/>
        <w:ind w:left="2112" w:firstLine="0"/>
      </w:pPr>
      <w:r>
        <w:rPr>
          <w:noProof/>
        </w:rPr>
        <w:drawing>
          <wp:inline distT="0" distB="0" distL="0" distR="0" wp14:anchorId="3E527401" wp14:editId="7C39137D">
            <wp:extent cx="3657600" cy="3017520"/>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11"/>
                    <a:stretch>
                      <a:fillRect/>
                    </a:stretch>
                  </pic:blipFill>
                  <pic:spPr>
                    <a:xfrm>
                      <a:off x="0" y="0"/>
                      <a:ext cx="3657600" cy="3017520"/>
                    </a:xfrm>
                    <a:prstGeom prst="rect">
                      <a:avLst/>
                    </a:prstGeom>
                  </pic:spPr>
                </pic:pic>
              </a:graphicData>
            </a:graphic>
          </wp:inline>
        </w:drawing>
      </w:r>
    </w:p>
    <w:p w14:paraId="15B6E658" w14:textId="77777777" w:rsidR="005A2A42" w:rsidRDefault="00000000">
      <w:pPr>
        <w:spacing w:after="337" w:line="265" w:lineRule="auto"/>
        <w:jc w:val="center"/>
      </w:pPr>
      <w:r>
        <w:rPr>
          <w:i/>
          <w:color w:val="6E6E6E"/>
          <w:sz w:val="17"/>
        </w:rPr>
        <w:t>Figure 7. Engagement rate by emoji usage in titles.</w:t>
      </w:r>
    </w:p>
    <w:p w14:paraId="24AF6CA7" w14:textId="77777777" w:rsidR="005A2A42" w:rsidRDefault="00000000">
      <w:r>
        <w:t>Videos with emoji in the title show a higher average engagement rate (8.1%) than those without (7.0%), despite having slightly lower average views — suggesting emoji usage correlates with audience interaction quality rather than pure reach.</w:t>
      </w:r>
    </w:p>
    <w:p w14:paraId="78E7FC5C" w14:textId="77777777" w:rsidR="005A2A42" w:rsidRDefault="00000000">
      <w:pPr>
        <w:pStyle w:val="Heading1"/>
        <w:ind w:left="519" w:hanging="534"/>
      </w:pPr>
      <w:r>
        <w:lastRenderedPageBreak/>
        <w:t>Video Duration &amp; Watch Behaviour</w:t>
      </w:r>
    </w:p>
    <w:p w14:paraId="76C95060" w14:textId="77777777" w:rsidR="005A2A42" w:rsidRDefault="00000000">
      <w:pPr>
        <w:spacing w:after="47" w:line="259" w:lineRule="auto"/>
        <w:ind w:left="384" w:firstLine="0"/>
      </w:pPr>
      <w:r>
        <w:rPr>
          <w:noProof/>
        </w:rPr>
        <w:drawing>
          <wp:inline distT="0" distB="0" distL="0" distR="0" wp14:anchorId="34ADAD67" wp14:editId="05E2202A">
            <wp:extent cx="5852160" cy="2651760"/>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2"/>
                    <a:stretch>
                      <a:fillRect/>
                    </a:stretch>
                  </pic:blipFill>
                  <pic:spPr>
                    <a:xfrm>
                      <a:off x="0" y="0"/>
                      <a:ext cx="5852160" cy="2651760"/>
                    </a:xfrm>
                    <a:prstGeom prst="rect">
                      <a:avLst/>
                    </a:prstGeom>
                  </pic:spPr>
                </pic:pic>
              </a:graphicData>
            </a:graphic>
          </wp:inline>
        </w:drawing>
      </w:r>
    </w:p>
    <w:p w14:paraId="241D75ED" w14:textId="77777777" w:rsidR="005A2A42" w:rsidRDefault="00000000">
      <w:pPr>
        <w:spacing w:after="337" w:line="265" w:lineRule="auto"/>
        <w:jc w:val="center"/>
      </w:pPr>
      <w:r>
        <w:rPr>
          <w:i/>
          <w:color w:val="6E6E6E"/>
          <w:sz w:val="17"/>
        </w:rPr>
        <w:t>Figure 8. Duration vs watch time and completion rate.</w:t>
      </w:r>
    </w:p>
    <w:p w14:paraId="1941D31A" w14:textId="77777777" w:rsidR="005A2A42" w:rsidRDefault="00000000">
      <w:pPr>
        <w:spacing w:after="483"/>
      </w:pPr>
      <w:r>
        <w:t>Duration correlates strongly with watch time (r = 0.92) — longer videos are watched longer in absolute terms. However, duration has a weak negative correlation with completion rate (r = -0.13), meaning longer videos are proportionally less likely to be watched to the end. Duration should be optimized for completion, not just watch time.</w:t>
      </w:r>
    </w:p>
    <w:p w14:paraId="0D4C434C" w14:textId="77777777" w:rsidR="005A2A42" w:rsidRDefault="00000000">
      <w:pPr>
        <w:pStyle w:val="Heading1"/>
        <w:ind w:left="519" w:hanging="534"/>
      </w:pPr>
      <w:r>
        <w:t>Traffic Source &amp; Device Analysis</w:t>
      </w:r>
    </w:p>
    <w:p w14:paraId="41BE6C96" w14:textId="77777777" w:rsidR="005A2A42" w:rsidRDefault="00000000">
      <w:pPr>
        <w:spacing w:after="47" w:line="259" w:lineRule="auto"/>
        <w:ind w:left="384" w:firstLine="0"/>
      </w:pPr>
      <w:r>
        <w:rPr>
          <w:noProof/>
        </w:rPr>
        <w:drawing>
          <wp:inline distT="0" distB="0" distL="0" distR="0" wp14:anchorId="4EF89345" wp14:editId="313697C2">
            <wp:extent cx="5852160" cy="228600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3"/>
                    <a:stretch>
                      <a:fillRect/>
                    </a:stretch>
                  </pic:blipFill>
                  <pic:spPr>
                    <a:xfrm>
                      <a:off x="0" y="0"/>
                      <a:ext cx="5852160" cy="2286000"/>
                    </a:xfrm>
                    <a:prstGeom prst="rect">
                      <a:avLst/>
                    </a:prstGeom>
                  </pic:spPr>
                </pic:pic>
              </a:graphicData>
            </a:graphic>
          </wp:inline>
        </w:drawing>
      </w:r>
    </w:p>
    <w:p w14:paraId="41589640" w14:textId="77777777" w:rsidR="005A2A42" w:rsidRDefault="00000000">
      <w:pPr>
        <w:spacing w:after="337" w:line="265" w:lineRule="auto"/>
        <w:jc w:val="center"/>
      </w:pPr>
      <w:r>
        <w:rPr>
          <w:i/>
          <w:color w:val="6E6E6E"/>
          <w:sz w:val="17"/>
        </w:rPr>
        <w:t>Figure 9. Average views by traffic source and device type.</w:t>
      </w:r>
    </w:p>
    <w:p w14:paraId="7E88F455" w14:textId="77777777" w:rsidR="005A2A42" w:rsidRDefault="00000000">
      <w:pPr>
        <w:pStyle w:val="Heading1"/>
        <w:ind w:left="519" w:hanging="534"/>
      </w:pPr>
      <w:r>
        <w:lastRenderedPageBreak/>
        <w:t>Engagement Metric Correlations</w:t>
      </w:r>
    </w:p>
    <w:p w14:paraId="67124DF9" w14:textId="77777777" w:rsidR="005A2A42" w:rsidRDefault="00000000">
      <w:pPr>
        <w:spacing w:after="47" w:line="259" w:lineRule="auto"/>
        <w:ind w:left="1392" w:firstLine="0"/>
      </w:pPr>
      <w:r>
        <w:rPr>
          <w:noProof/>
        </w:rPr>
        <w:drawing>
          <wp:inline distT="0" distB="0" distL="0" distR="0" wp14:anchorId="1668B137" wp14:editId="49634640">
            <wp:extent cx="4572000" cy="3566160"/>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14"/>
                    <a:stretch>
                      <a:fillRect/>
                    </a:stretch>
                  </pic:blipFill>
                  <pic:spPr>
                    <a:xfrm>
                      <a:off x="0" y="0"/>
                      <a:ext cx="4572000" cy="3566160"/>
                    </a:xfrm>
                    <a:prstGeom prst="rect">
                      <a:avLst/>
                    </a:prstGeom>
                  </pic:spPr>
                </pic:pic>
              </a:graphicData>
            </a:graphic>
          </wp:inline>
        </w:drawing>
      </w:r>
    </w:p>
    <w:p w14:paraId="44463547" w14:textId="77777777" w:rsidR="005A2A42" w:rsidRDefault="00000000">
      <w:pPr>
        <w:spacing w:after="544" w:line="265" w:lineRule="auto"/>
        <w:ind w:left="2885"/>
      </w:pPr>
      <w:r>
        <w:rPr>
          <w:i/>
          <w:color w:val="6E6E6E"/>
          <w:sz w:val="17"/>
        </w:rPr>
        <w:t>Figure 10. Correlation matrix across engagement metrics.</w:t>
      </w:r>
    </w:p>
    <w:p w14:paraId="5476CD3E" w14:textId="77777777" w:rsidR="005A2A42" w:rsidRDefault="00000000">
      <w:pPr>
        <w:pStyle w:val="Heading1"/>
        <w:ind w:left="519" w:hanging="534"/>
      </w:pPr>
      <w:r>
        <w:t>Trend Type &amp; Seasonality</w:t>
      </w:r>
    </w:p>
    <w:p w14:paraId="6CACA54D" w14:textId="77777777" w:rsidR="005A2A42" w:rsidRDefault="00000000">
      <w:pPr>
        <w:spacing w:after="47" w:line="259" w:lineRule="auto"/>
        <w:ind w:left="384" w:firstLine="0"/>
      </w:pPr>
      <w:r>
        <w:rPr>
          <w:noProof/>
        </w:rPr>
        <w:drawing>
          <wp:inline distT="0" distB="0" distL="0" distR="0" wp14:anchorId="008AD2BB" wp14:editId="68C2FC5D">
            <wp:extent cx="5852160" cy="2377440"/>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5"/>
                    <a:stretch>
                      <a:fillRect/>
                    </a:stretch>
                  </pic:blipFill>
                  <pic:spPr>
                    <a:xfrm>
                      <a:off x="0" y="0"/>
                      <a:ext cx="5852160" cy="2377440"/>
                    </a:xfrm>
                    <a:prstGeom prst="rect">
                      <a:avLst/>
                    </a:prstGeom>
                  </pic:spPr>
                </pic:pic>
              </a:graphicData>
            </a:graphic>
          </wp:inline>
        </w:drawing>
      </w:r>
    </w:p>
    <w:p w14:paraId="364E7CC0" w14:textId="77777777" w:rsidR="005A2A42" w:rsidRDefault="00000000">
      <w:pPr>
        <w:spacing w:after="111" w:line="259" w:lineRule="auto"/>
        <w:ind w:right="2070"/>
        <w:jc w:val="right"/>
      </w:pPr>
      <w:r>
        <w:rPr>
          <w:i/>
          <w:color w:val="6E6E6E"/>
          <w:sz w:val="17"/>
        </w:rPr>
        <w:t>Figure 11. Engagement velocity by trend type and engagement rate by season.</w:t>
      </w:r>
    </w:p>
    <w:p w14:paraId="7C149C4D" w14:textId="77777777" w:rsidR="005A2A42" w:rsidRDefault="00000000">
      <w:pPr>
        <w:pStyle w:val="Heading1"/>
        <w:ind w:left="519" w:hanging="534"/>
      </w:pPr>
      <w:r>
        <w:t>Machine Learning — Viral Content Prediction</w:t>
      </w:r>
    </w:p>
    <w:p w14:paraId="3DBD2BE9" w14:textId="77777777" w:rsidR="005A2A42" w:rsidRDefault="00000000">
      <w:pPr>
        <w:spacing w:after="156"/>
      </w:pPr>
      <w:r>
        <w:rPr>
          <w:b/>
        </w:rPr>
        <w:t>Objective:</w:t>
      </w:r>
      <w:r>
        <w:t xml:space="preserve"> Predict whether a video will become 'viral', defined as the top 15% of videos by views (views </w:t>
      </w:r>
      <w:r>
        <w:rPr>
          <w:rFonts w:ascii="Segoe UI Symbol" w:eastAsia="Segoe UI Symbol" w:hAnsi="Segoe UI Symbol" w:cs="Segoe UI Symbol"/>
        </w:rPr>
        <w:t>≥</w:t>
      </w:r>
      <w:r>
        <w:t xml:space="preserve"> 170,018, n = 7,213 of 48,079 videos).</w:t>
      </w:r>
    </w:p>
    <w:p w14:paraId="1D4A5FE4" w14:textId="77777777" w:rsidR="005A2A42" w:rsidRDefault="00000000">
      <w:pPr>
        <w:spacing w:after="293"/>
      </w:pPr>
      <w:r>
        <w:rPr>
          <w:b/>
        </w:rPr>
        <w:t>Approach:</w:t>
      </w:r>
      <w:r>
        <w:t xml:space="preserve"> Only pre-publication features were used — platform, market, category, genre, sound type, duration, device, upload timing, season, trend type, creator tier/history, title length, and emoji usage. Post-publication engagement metrics (likes, shares, comments, </w:t>
      </w:r>
      <w:proofErr w:type="spellStart"/>
      <w:r>
        <w:t>engagement_rate</w:t>
      </w:r>
      <w:proofErr w:type="spellEnd"/>
      <w:r>
        <w:t>, etc.) were intentionally excluded to avoid data leakage, since these would not be known before a video is posted.</w:t>
      </w:r>
    </w:p>
    <w:p w14:paraId="494D63ED" w14:textId="77777777" w:rsidR="005A2A42" w:rsidRDefault="00000000">
      <w:pPr>
        <w:pStyle w:val="Heading2"/>
      </w:pPr>
      <w:r>
        <w:lastRenderedPageBreak/>
        <w:t>Model Results</w:t>
      </w:r>
    </w:p>
    <w:tbl>
      <w:tblPr>
        <w:tblStyle w:val="TableGrid"/>
        <w:tblW w:w="7920" w:type="dxa"/>
        <w:tblInd w:w="0" w:type="dxa"/>
        <w:tblCellMar>
          <w:top w:w="0" w:type="dxa"/>
          <w:left w:w="120" w:type="dxa"/>
          <w:bottom w:w="0" w:type="dxa"/>
          <w:right w:w="115" w:type="dxa"/>
        </w:tblCellMar>
        <w:tblLook w:val="04A0" w:firstRow="1" w:lastRow="0" w:firstColumn="1" w:lastColumn="0" w:noHBand="0" w:noVBand="1"/>
      </w:tblPr>
      <w:tblGrid>
        <w:gridCol w:w="2592"/>
        <w:gridCol w:w="1728"/>
        <w:gridCol w:w="1440"/>
        <w:gridCol w:w="2160"/>
      </w:tblGrid>
      <w:tr w:rsidR="005A2A42" w14:paraId="647377F0" w14:textId="77777777">
        <w:trPr>
          <w:trHeight w:val="480"/>
        </w:trPr>
        <w:tc>
          <w:tcPr>
            <w:tcW w:w="2592" w:type="dxa"/>
            <w:tcBorders>
              <w:top w:val="single" w:sz="4" w:space="0" w:color="DDDDDD"/>
              <w:left w:val="single" w:sz="4" w:space="0" w:color="DDDDDD"/>
              <w:bottom w:val="single" w:sz="4" w:space="0" w:color="DDDDDD"/>
              <w:right w:val="single" w:sz="4" w:space="0" w:color="DDDDDD"/>
            </w:tcBorders>
            <w:shd w:val="clear" w:color="auto" w:fill="111111"/>
            <w:vAlign w:val="center"/>
          </w:tcPr>
          <w:p w14:paraId="38FF5A7B" w14:textId="77777777" w:rsidR="005A2A42" w:rsidRDefault="00000000">
            <w:pPr>
              <w:spacing w:after="0" w:line="259" w:lineRule="auto"/>
              <w:ind w:left="0" w:firstLine="0"/>
            </w:pPr>
            <w:r>
              <w:rPr>
                <w:b/>
                <w:color w:val="FFFFFF"/>
              </w:rPr>
              <w:t>Model</w:t>
            </w:r>
          </w:p>
        </w:tc>
        <w:tc>
          <w:tcPr>
            <w:tcW w:w="1728" w:type="dxa"/>
            <w:tcBorders>
              <w:top w:val="single" w:sz="4" w:space="0" w:color="DDDDDD"/>
              <w:left w:val="single" w:sz="4" w:space="0" w:color="DDDDDD"/>
              <w:bottom w:val="single" w:sz="4" w:space="0" w:color="DDDDDD"/>
              <w:right w:val="single" w:sz="4" w:space="0" w:color="DDDDDD"/>
            </w:tcBorders>
            <w:shd w:val="clear" w:color="auto" w:fill="111111"/>
            <w:vAlign w:val="center"/>
          </w:tcPr>
          <w:p w14:paraId="373F034A" w14:textId="77777777" w:rsidR="005A2A42" w:rsidRDefault="00000000">
            <w:pPr>
              <w:spacing w:after="0" w:line="259" w:lineRule="auto"/>
              <w:ind w:left="0" w:firstLine="0"/>
            </w:pPr>
            <w:r>
              <w:rPr>
                <w:b/>
                <w:color w:val="FFFFFF"/>
              </w:rPr>
              <w:t>Accuracy</w:t>
            </w:r>
          </w:p>
        </w:tc>
        <w:tc>
          <w:tcPr>
            <w:tcW w:w="1440" w:type="dxa"/>
            <w:tcBorders>
              <w:top w:val="single" w:sz="4" w:space="0" w:color="DDDDDD"/>
              <w:left w:val="single" w:sz="4" w:space="0" w:color="DDDDDD"/>
              <w:bottom w:val="single" w:sz="4" w:space="0" w:color="DDDDDD"/>
              <w:right w:val="single" w:sz="4" w:space="0" w:color="DDDDDD"/>
            </w:tcBorders>
            <w:shd w:val="clear" w:color="auto" w:fill="111111"/>
            <w:vAlign w:val="center"/>
          </w:tcPr>
          <w:p w14:paraId="076E0939" w14:textId="77777777" w:rsidR="005A2A42" w:rsidRDefault="00000000">
            <w:pPr>
              <w:spacing w:after="0" w:line="259" w:lineRule="auto"/>
              <w:ind w:left="0" w:firstLine="0"/>
            </w:pPr>
            <w:r>
              <w:rPr>
                <w:b/>
                <w:color w:val="FFFFFF"/>
              </w:rPr>
              <w:t>AUC</w:t>
            </w:r>
          </w:p>
        </w:tc>
        <w:tc>
          <w:tcPr>
            <w:tcW w:w="2160" w:type="dxa"/>
            <w:tcBorders>
              <w:top w:val="single" w:sz="4" w:space="0" w:color="DDDDDD"/>
              <w:left w:val="single" w:sz="4" w:space="0" w:color="DDDDDD"/>
              <w:bottom w:val="single" w:sz="4" w:space="0" w:color="DDDDDD"/>
              <w:right w:val="single" w:sz="4" w:space="0" w:color="DDDDDD"/>
            </w:tcBorders>
            <w:shd w:val="clear" w:color="auto" w:fill="111111"/>
            <w:vAlign w:val="center"/>
          </w:tcPr>
          <w:p w14:paraId="2364934B" w14:textId="77777777" w:rsidR="005A2A42" w:rsidRDefault="00000000">
            <w:pPr>
              <w:spacing w:after="0" w:line="259" w:lineRule="auto"/>
              <w:ind w:left="0" w:firstLine="0"/>
            </w:pPr>
            <w:r>
              <w:rPr>
                <w:b/>
                <w:color w:val="FFFFFF"/>
              </w:rPr>
              <w:t>F1 (viral class)</w:t>
            </w:r>
          </w:p>
        </w:tc>
      </w:tr>
      <w:tr w:rsidR="005A2A42" w14:paraId="4512691E" w14:textId="77777777">
        <w:trPr>
          <w:trHeight w:val="480"/>
        </w:trPr>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CCD2E45" w14:textId="77777777" w:rsidR="005A2A42" w:rsidRDefault="00000000">
            <w:pPr>
              <w:spacing w:after="0" w:line="259" w:lineRule="auto"/>
              <w:ind w:left="0" w:firstLine="0"/>
            </w:pPr>
            <w:r>
              <w:rPr>
                <w:color w:val="000000"/>
              </w:rPr>
              <w:t>Random Forest</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674DF1D" w14:textId="77777777" w:rsidR="005A2A42" w:rsidRDefault="00000000">
            <w:pPr>
              <w:spacing w:after="0" w:line="259" w:lineRule="auto"/>
              <w:ind w:left="0" w:firstLine="0"/>
            </w:pPr>
            <w:r>
              <w:rPr>
                <w:color w:val="000000"/>
              </w:rPr>
              <w:t>66.6%</w:t>
            </w:r>
          </w:p>
        </w:tc>
        <w:tc>
          <w:tcPr>
            <w:tcW w:w="144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CA03167" w14:textId="77777777" w:rsidR="005A2A42" w:rsidRDefault="00000000">
            <w:pPr>
              <w:spacing w:after="0" w:line="259" w:lineRule="auto"/>
              <w:ind w:left="0" w:firstLine="0"/>
            </w:pPr>
            <w:r>
              <w:rPr>
                <w:color w:val="000000"/>
              </w:rPr>
              <w:t>0.557</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8941C66" w14:textId="77777777" w:rsidR="005A2A42" w:rsidRDefault="00000000">
            <w:pPr>
              <w:spacing w:after="0" w:line="259" w:lineRule="auto"/>
              <w:ind w:left="0" w:firstLine="0"/>
            </w:pPr>
            <w:r>
              <w:rPr>
                <w:color w:val="000000"/>
              </w:rPr>
              <w:t>0.24</w:t>
            </w:r>
          </w:p>
        </w:tc>
      </w:tr>
      <w:tr w:rsidR="005A2A42" w14:paraId="6FFB0E27" w14:textId="77777777">
        <w:trPr>
          <w:trHeight w:val="480"/>
        </w:trPr>
        <w:tc>
          <w:tcPr>
            <w:tcW w:w="2592" w:type="dxa"/>
            <w:tcBorders>
              <w:top w:val="single" w:sz="4" w:space="0" w:color="DDDDDD"/>
              <w:left w:val="single" w:sz="4" w:space="0" w:color="DDDDDD"/>
              <w:bottom w:val="single" w:sz="4" w:space="0" w:color="DDDDDD"/>
              <w:right w:val="single" w:sz="4" w:space="0" w:color="DDDDDD"/>
            </w:tcBorders>
            <w:shd w:val="clear" w:color="auto" w:fill="F0F0F0"/>
            <w:vAlign w:val="center"/>
          </w:tcPr>
          <w:p w14:paraId="6E578B99" w14:textId="77777777" w:rsidR="005A2A42" w:rsidRDefault="00000000">
            <w:pPr>
              <w:spacing w:after="0" w:line="259" w:lineRule="auto"/>
              <w:ind w:left="0" w:firstLine="0"/>
            </w:pPr>
            <w:r>
              <w:rPr>
                <w:color w:val="000000"/>
              </w:rPr>
              <w:t>Logistic Regression</w:t>
            </w:r>
          </w:p>
        </w:tc>
        <w:tc>
          <w:tcPr>
            <w:tcW w:w="1728" w:type="dxa"/>
            <w:tcBorders>
              <w:top w:val="single" w:sz="4" w:space="0" w:color="DDDDDD"/>
              <w:left w:val="single" w:sz="4" w:space="0" w:color="DDDDDD"/>
              <w:bottom w:val="single" w:sz="4" w:space="0" w:color="DDDDDD"/>
              <w:right w:val="single" w:sz="4" w:space="0" w:color="DDDDDD"/>
            </w:tcBorders>
            <w:shd w:val="clear" w:color="auto" w:fill="F0F0F0"/>
            <w:vAlign w:val="center"/>
          </w:tcPr>
          <w:p w14:paraId="2F935568" w14:textId="77777777" w:rsidR="005A2A42" w:rsidRDefault="00000000">
            <w:pPr>
              <w:spacing w:after="0" w:line="259" w:lineRule="auto"/>
              <w:ind w:left="0" w:firstLine="0"/>
            </w:pPr>
            <w:r>
              <w:rPr>
                <w:color w:val="000000"/>
              </w:rPr>
              <w:t>58.0%</w:t>
            </w:r>
          </w:p>
        </w:tc>
        <w:tc>
          <w:tcPr>
            <w:tcW w:w="1440" w:type="dxa"/>
            <w:tcBorders>
              <w:top w:val="single" w:sz="4" w:space="0" w:color="DDDDDD"/>
              <w:left w:val="single" w:sz="4" w:space="0" w:color="DDDDDD"/>
              <w:bottom w:val="single" w:sz="4" w:space="0" w:color="DDDDDD"/>
              <w:right w:val="single" w:sz="4" w:space="0" w:color="DDDDDD"/>
            </w:tcBorders>
            <w:shd w:val="clear" w:color="auto" w:fill="F0F0F0"/>
            <w:vAlign w:val="center"/>
          </w:tcPr>
          <w:p w14:paraId="4240551E" w14:textId="77777777" w:rsidR="005A2A42" w:rsidRDefault="00000000">
            <w:pPr>
              <w:spacing w:after="0" w:line="259" w:lineRule="auto"/>
              <w:ind w:left="0" w:firstLine="0"/>
            </w:pPr>
            <w:r>
              <w:rPr>
                <w:color w:val="000000"/>
              </w:rPr>
              <w:t>0.569</w:t>
            </w:r>
          </w:p>
        </w:tc>
        <w:tc>
          <w:tcPr>
            <w:tcW w:w="2160" w:type="dxa"/>
            <w:tcBorders>
              <w:top w:val="single" w:sz="4" w:space="0" w:color="DDDDDD"/>
              <w:left w:val="single" w:sz="4" w:space="0" w:color="DDDDDD"/>
              <w:bottom w:val="single" w:sz="4" w:space="0" w:color="DDDDDD"/>
              <w:right w:val="single" w:sz="4" w:space="0" w:color="DDDDDD"/>
            </w:tcBorders>
            <w:shd w:val="clear" w:color="auto" w:fill="F0F0F0"/>
            <w:vAlign w:val="center"/>
          </w:tcPr>
          <w:p w14:paraId="390E2DAD" w14:textId="77777777" w:rsidR="005A2A42" w:rsidRDefault="00000000">
            <w:pPr>
              <w:spacing w:after="0" w:line="259" w:lineRule="auto"/>
              <w:ind w:left="0" w:firstLine="0"/>
            </w:pPr>
            <w:r>
              <w:rPr>
                <w:color w:val="000000"/>
              </w:rPr>
              <w:t>—</w:t>
            </w:r>
          </w:p>
        </w:tc>
      </w:tr>
    </w:tbl>
    <w:p w14:paraId="0D5AD2E0" w14:textId="77777777" w:rsidR="005A2A42" w:rsidRDefault="00000000">
      <w:pPr>
        <w:shd w:val="clear" w:color="auto" w:fill="F0F0F0"/>
        <w:spacing w:after="12" w:line="269" w:lineRule="auto"/>
        <w:ind w:left="75"/>
      </w:pPr>
      <w:r>
        <w:rPr>
          <w:i/>
        </w:rPr>
        <w:t>An AUC of 0.50 represents random guessing; 1.00 represents perfect prediction. Both models score close to</w:t>
      </w:r>
    </w:p>
    <w:p w14:paraId="705893A5" w14:textId="77777777" w:rsidR="005A2A42" w:rsidRDefault="00000000">
      <w:pPr>
        <w:shd w:val="clear" w:color="auto" w:fill="F0F0F0"/>
        <w:spacing w:after="12" w:line="269" w:lineRule="auto"/>
        <w:ind w:left="75"/>
      </w:pPr>
      <w:r>
        <w:rPr>
          <w:i/>
        </w:rPr>
        <w:t>0.56–0.57 AUC — well above 0.50 but far below what would be considered a reliable production model (typically 0.75+). This indicates a real but weak relationship between pre-publication content attributes and viral outcomes in this dataset.</w:t>
      </w:r>
      <w:r>
        <w:br w:type="page"/>
      </w:r>
    </w:p>
    <w:p w14:paraId="11250A98" w14:textId="77777777" w:rsidR="005A2A42" w:rsidRDefault="00000000">
      <w:pPr>
        <w:spacing w:after="47" w:line="259" w:lineRule="auto"/>
        <w:ind w:left="672" w:firstLine="0"/>
      </w:pPr>
      <w:r>
        <w:rPr>
          <w:noProof/>
        </w:rPr>
        <w:lastRenderedPageBreak/>
        <w:drawing>
          <wp:inline distT="0" distB="0" distL="0" distR="0" wp14:anchorId="1B5870FA" wp14:editId="2AF2E90F">
            <wp:extent cx="5486400" cy="3383280"/>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6"/>
                    <a:stretch>
                      <a:fillRect/>
                    </a:stretch>
                  </pic:blipFill>
                  <pic:spPr>
                    <a:xfrm>
                      <a:off x="0" y="0"/>
                      <a:ext cx="5486400" cy="3383280"/>
                    </a:xfrm>
                    <a:prstGeom prst="rect">
                      <a:avLst/>
                    </a:prstGeom>
                  </pic:spPr>
                </pic:pic>
              </a:graphicData>
            </a:graphic>
          </wp:inline>
        </w:drawing>
      </w:r>
    </w:p>
    <w:p w14:paraId="55142130" w14:textId="77777777" w:rsidR="005A2A42" w:rsidRDefault="00000000">
      <w:pPr>
        <w:spacing w:after="337" w:line="265" w:lineRule="auto"/>
        <w:jc w:val="center"/>
      </w:pPr>
      <w:r>
        <w:rPr>
          <w:i/>
          <w:color w:val="6E6E6E"/>
          <w:sz w:val="17"/>
        </w:rPr>
        <w:t>Figure 12. Feature importance from the Random Forest model.</w:t>
      </w:r>
    </w:p>
    <w:p w14:paraId="004A2295" w14:textId="77777777" w:rsidR="005A2A42" w:rsidRDefault="00000000">
      <w:pPr>
        <w:spacing w:after="0"/>
      </w:pPr>
      <w:r>
        <w:t xml:space="preserve">Creator average historical views </w:t>
      </w:r>
      <w:proofErr w:type="gramStart"/>
      <w:r>
        <w:t>is</w:t>
      </w:r>
      <w:proofErr w:type="gramEnd"/>
      <w:r>
        <w:t xml:space="preserve"> by far the strongest available predictor (25% of model importance), more than double the next-ranked feature. Duration, category, title length, and upload hour follow with modest, roughly similar contributions.</w:t>
      </w:r>
    </w:p>
    <w:p w14:paraId="371D5013" w14:textId="77777777" w:rsidR="005A2A42" w:rsidRDefault="00000000">
      <w:pPr>
        <w:spacing w:after="47" w:line="259" w:lineRule="auto"/>
        <w:ind w:left="2400" w:firstLine="0"/>
      </w:pPr>
      <w:r>
        <w:rPr>
          <w:noProof/>
        </w:rPr>
        <w:drawing>
          <wp:inline distT="0" distB="0" distL="0" distR="0" wp14:anchorId="43E3ADCE" wp14:editId="108F8B02">
            <wp:extent cx="3291840" cy="3291840"/>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17"/>
                    <a:stretch>
                      <a:fillRect/>
                    </a:stretch>
                  </pic:blipFill>
                  <pic:spPr>
                    <a:xfrm>
                      <a:off x="0" y="0"/>
                      <a:ext cx="3291840" cy="3291840"/>
                    </a:xfrm>
                    <a:prstGeom prst="rect">
                      <a:avLst/>
                    </a:prstGeom>
                  </pic:spPr>
                </pic:pic>
              </a:graphicData>
            </a:graphic>
          </wp:inline>
        </w:drawing>
      </w:r>
    </w:p>
    <w:p w14:paraId="7A95A73E" w14:textId="77777777" w:rsidR="005A2A42" w:rsidRDefault="00000000">
      <w:pPr>
        <w:spacing w:after="337" w:line="265" w:lineRule="auto"/>
        <w:jc w:val="center"/>
      </w:pPr>
      <w:r>
        <w:rPr>
          <w:i/>
          <w:color w:val="6E6E6E"/>
          <w:sz w:val="17"/>
        </w:rPr>
        <w:t>Figure 13. ROC curve comparing both models against random chance.</w:t>
      </w:r>
    </w:p>
    <w:p w14:paraId="5A3DE28B" w14:textId="77777777" w:rsidR="005A2A42" w:rsidRDefault="00000000">
      <w:pPr>
        <w:spacing w:after="47" w:line="259" w:lineRule="auto"/>
        <w:ind w:left="2112" w:firstLine="0"/>
      </w:pPr>
      <w:r>
        <w:rPr>
          <w:noProof/>
        </w:rPr>
        <w:lastRenderedPageBreak/>
        <w:drawing>
          <wp:inline distT="0" distB="0" distL="0" distR="0" wp14:anchorId="6DD49707" wp14:editId="0FB2D671">
            <wp:extent cx="3657600" cy="329184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18"/>
                    <a:stretch>
                      <a:fillRect/>
                    </a:stretch>
                  </pic:blipFill>
                  <pic:spPr>
                    <a:xfrm>
                      <a:off x="0" y="0"/>
                      <a:ext cx="3657600" cy="3291840"/>
                    </a:xfrm>
                    <a:prstGeom prst="rect">
                      <a:avLst/>
                    </a:prstGeom>
                  </pic:spPr>
                </pic:pic>
              </a:graphicData>
            </a:graphic>
          </wp:inline>
        </w:drawing>
      </w:r>
    </w:p>
    <w:p w14:paraId="1328D36D" w14:textId="77777777" w:rsidR="005A2A42" w:rsidRDefault="00000000">
      <w:pPr>
        <w:spacing w:after="544" w:line="265" w:lineRule="auto"/>
        <w:jc w:val="center"/>
      </w:pPr>
      <w:r>
        <w:rPr>
          <w:i/>
          <w:color w:val="6E6E6E"/>
          <w:sz w:val="17"/>
        </w:rPr>
        <w:t>Figure 14. Confusion matrix — Random Forest predictions on test set.</w:t>
      </w:r>
    </w:p>
    <w:p w14:paraId="2043C9C7" w14:textId="77777777" w:rsidR="005A2A42" w:rsidRDefault="00000000">
      <w:pPr>
        <w:pStyle w:val="Heading1"/>
        <w:ind w:left="519" w:hanging="534"/>
      </w:pPr>
      <w:r>
        <w:t>Interpretation of Model Results</w:t>
      </w:r>
    </w:p>
    <w:p w14:paraId="63A08E37" w14:textId="77777777" w:rsidR="005A2A42" w:rsidRDefault="00000000">
      <w:pPr>
        <w:numPr>
          <w:ilvl w:val="0"/>
          <w:numId w:val="1"/>
        </w:numPr>
      </w:pPr>
      <w:r>
        <w:t xml:space="preserve">The weak model performance is itself a business finding, not a failure: virality in this dataset is not </w:t>
      </w:r>
      <w:proofErr w:type="spellStart"/>
      <w:r>
        <w:t>wellexplained</w:t>
      </w:r>
      <w:proofErr w:type="spellEnd"/>
      <w:r>
        <w:t xml:space="preserve"> by static, pre-publication content attributes alone.</w:t>
      </w:r>
    </w:p>
    <w:p w14:paraId="217CB34B" w14:textId="77777777" w:rsidR="005A2A42" w:rsidRDefault="00000000">
      <w:pPr>
        <w:numPr>
          <w:ilvl w:val="0"/>
          <w:numId w:val="1"/>
        </w:numPr>
      </w:pPr>
      <w:r>
        <w:t>The one meaningfully useful signal is creator history (</w:t>
      </w:r>
      <w:proofErr w:type="spellStart"/>
      <w:r>
        <w:t>creator_avg_views</w:t>
      </w:r>
      <w:proofErr w:type="spellEnd"/>
      <w:r>
        <w:t xml:space="preserve">) — an established audience base </w:t>
      </w:r>
      <w:proofErr w:type="spellStart"/>
      <w:r>
        <w:t>isthe</w:t>
      </w:r>
      <w:proofErr w:type="spellEnd"/>
      <w:r>
        <w:t xml:space="preserve"> closest thing to a reliable pre-publication predictor available here.</w:t>
      </w:r>
    </w:p>
    <w:p w14:paraId="47F6F985" w14:textId="77777777" w:rsidR="005A2A42" w:rsidRDefault="00000000">
      <w:pPr>
        <w:numPr>
          <w:ilvl w:val="0"/>
          <w:numId w:val="1"/>
        </w:numPr>
      </w:pPr>
      <w:r>
        <w:t xml:space="preserve">This suggests virality is likely driven more by factors not captured in this dataset — real-time audience </w:t>
      </w:r>
      <w:proofErr w:type="spellStart"/>
      <w:proofErr w:type="gramStart"/>
      <w:r>
        <w:t>reaction,algorithmic</w:t>
      </w:r>
      <w:proofErr w:type="spellEnd"/>
      <w:proofErr w:type="gramEnd"/>
      <w:r>
        <w:t xml:space="preserve"> distribution, external trend timing, and content quality/execution that static metadata cannot capture.</w:t>
      </w:r>
    </w:p>
    <w:p w14:paraId="68CF42C6" w14:textId="77777777" w:rsidR="005A2A42" w:rsidRDefault="00000000">
      <w:pPr>
        <w:numPr>
          <w:ilvl w:val="0"/>
          <w:numId w:val="1"/>
        </w:numPr>
      </w:pPr>
      <w:r>
        <w:t xml:space="preserve">A more effective future model would use early post-publication signals (e.g., engagement in the first 1-2 </w:t>
      </w:r>
      <w:proofErr w:type="gramStart"/>
      <w:r>
        <w:t>hours)as</w:t>
      </w:r>
      <w:proofErr w:type="gramEnd"/>
      <w:r>
        <w:t xml:space="preserve"> an early-warning system, rather than trying to predict virality purely before publishing.</w:t>
      </w:r>
    </w:p>
    <w:p w14:paraId="72418F80" w14:textId="77777777" w:rsidR="005A2A42" w:rsidRDefault="00000000">
      <w:pPr>
        <w:pStyle w:val="Heading1"/>
        <w:ind w:left="519" w:hanging="534"/>
      </w:pPr>
      <w:proofErr w:type="gramStart"/>
      <w:r>
        <w:t>Overall</w:t>
      </w:r>
      <w:proofErr w:type="gramEnd"/>
      <w:r>
        <w:t xml:space="preserve"> EDA Findings</w:t>
      </w:r>
    </w:p>
    <w:p w14:paraId="582B1F14" w14:textId="77777777" w:rsidR="005A2A42" w:rsidRDefault="00000000">
      <w:pPr>
        <w:numPr>
          <w:ilvl w:val="0"/>
          <w:numId w:val="2"/>
        </w:numPr>
        <w:ind w:hanging="122"/>
      </w:pPr>
      <w:r>
        <w:t>Views are highly right-skewed; median performance should be used when comparing groups.</w:t>
      </w:r>
    </w:p>
    <w:p w14:paraId="09542C98" w14:textId="77777777" w:rsidR="005A2A42" w:rsidRDefault="00000000">
      <w:pPr>
        <w:numPr>
          <w:ilvl w:val="0"/>
          <w:numId w:val="2"/>
        </w:numPr>
        <w:ind w:hanging="122"/>
      </w:pPr>
      <w:r>
        <w:t>Platform behaviour differs modestly between TikTok and YouTube Shorts in both reach and engagement.</w:t>
      </w:r>
    </w:p>
    <w:p w14:paraId="7D3F6D06" w14:textId="77777777" w:rsidR="005A2A42" w:rsidRDefault="00000000">
      <w:pPr>
        <w:numPr>
          <w:ilvl w:val="0"/>
          <w:numId w:val="2"/>
        </w:numPr>
        <w:ind w:hanging="122"/>
      </w:pPr>
      <w:r>
        <w:t>Content category and genre show measurable, though not dramatic, differences in average performance.</w:t>
      </w:r>
    </w:p>
    <w:p w14:paraId="05468D06" w14:textId="77777777" w:rsidR="005A2A42" w:rsidRDefault="00000000">
      <w:pPr>
        <w:numPr>
          <w:ilvl w:val="0"/>
          <w:numId w:val="2"/>
        </w:numPr>
        <w:ind w:hanging="122"/>
      </w:pPr>
      <w:r>
        <w:t xml:space="preserve">Creator tier data is heavily imbalanced (99.9% 'Mid') and should not be treated as a robust </w:t>
      </w:r>
      <w:proofErr w:type="spellStart"/>
      <w:r>
        <w:t>segmentationvariable</w:t>
      </w:r>
      <w:proofErr w:type="spellEnd"/>
      <w:r>
        <w:t xml:space="preserve"> without richer tier representation.</w:t>
      </w:r>
    </w:p>
    <w:p w14:paraId="7E9CCCCF" w14:textId="77777777" w:rsidR="005A2A42" w:rsidRDefault="00000000">
      <w:pPr>
        <w:numPr>
          <w:ilvl w:val="0"/>
          <w:numId w:val="2"/>
        </w:numPr>
        <w:ind w:hanging="122"/>
      </w:pPr>
      <w:r>
        <w:t xml:space="preserve">Publish day and upload hour provide actionable but modest scheduling signals — the best slots outperform </w:t>
      </w:r>
      <w:proofErr w:type="spellStart"/>
      <w:r>
        <w:t>theaverage</w:t>
      </w:r>
      <w:proofErr w:type="spellEnd"/>
      <w:r>
        <w:t xml:space="preserve"> by single-digit percentage points, not multiples.</w:t>
      </w:r>
    </w:p>
    <w:p w14:paraId="606A12CA" w14:textId="77777777" w:rsidR="005A2A42" w:rsidRDefault="00000000">
      <w:pPr>
        <w:numPr>
          <w:ilvl w:val="0"/>
          <w:numId w:val="2"/>
        </w:numPr>
        <w:ind w:hanging="122"/>
      </w:pPr>
      <w:r>
        <w:t>Regional differences in reach are small; no single region dominates performance in this dataset.</w:t>
      </w:r>
    </w:p>
    <w:p w14:paraId="605FB74F" w14:textId="77777777" w:rsidR="005A2A42" w:rsidRDefault="00000000">
      <w:pPr>
        <w:numPr>
          <w:ilvl w:val="0"/>
          <w:numId w:val="2"/>
        </w:numPr>
        <w:ind w:hanging="122"/>
      </w:pPr>
      <w:r>
        <w:t>Emoji usage correlates with higher engagement rate despite slightly lower raw views.</w:t>
      </w:r>
    </w:p>
    <w:p w14:paraId="53082911" w14:textId="77777777" w:rsidR="005A2A42" w:rsidRDefault="00000000">
      <w:pPr>
        <w:numPr>
          <w:ilvl w:val="0"/>
          <w:numId w:val="2"/>
        </w:numPr>
        <w:ind w:hanging="122"/>
      </w:pPr>
      <w:r>
        <w:t xml:space="preserve">Video duration should be evaluated against completion rate, not just watch time — longer videos are </w:t>
      </w:r>
      <w:proofErr w:type="spellStart"/>
      <w:r>
        <w:t>watchedlonger</w:t>
      </w:r>
      <w:proofErr w:type="spellEnd"/>
      <w:r>
        <w:t xml:space="preserve"> in absolute seconds but completed proportionally less often.</w:t>
      </w:r>
    </w:p>
    <w:p w14:paraId="7B1C4312" w14:textId="77777777" w:rsidR="005A2A42" w:rsidRDefault="00000000">
      <w:pPr>
        <w:numPr>
          <w:ilvl w:val="0"/>
          <w:numId w:val="2"/>
        </w:numPr>
        <w:spacing w:after="482"/>
        <w:ind w:hanging="122"/>
      </w:pPr>
      <w:r>
        <w:lastRenderedPageBreak/>
        <w:t xml:space="preserve">Pre-publication content attributes are weak predictors of virality (AUC </w:t>
      </w:r>
      <w:r>
        <w:rPr>
          <w:rFonts w:ascii="Segoe UI Symbol" w:eastAsia="Segoe UI Symbol" w:hAnsi="Segoe UI Symbol" w:cs="Segoe UI Symbol"/>
        </w:rPr>
        <w:t>≈</w:t>
      </w:r>
      <w:r>
        <w:t xml:space="preserve"> 0.56); creator history is the strongest available signal, but even it is far from sufficient alone.</w:t>
      </w:r>
    </w:p>
    <w:p w14:paraId="0645F7D6" w14:textId="77777777" w:rsidR="005A2A42" w:rsidRDefault="00000000">
      <w:pPr>
        <w:pStyle w:val="Heading1"/>
        <w:ind w:left="519" w:hanging="534"/>
      </w:pPr>
      <w:r>
        <w:t>Business Recommendations for Nike</w:t>
      </w:r>
    </w:p>
    <w:p w14:paraId="45418E9B" w14:textId="77777777" w:rsidR="005A2A42" w:rsidRDefault="00000000">
      <w:pPr>
        <w:numPr>
          <w:ilvl w:val="0"/>
          <w:numId w:val="3"/>
        </w:numPr>
      </w:pPr>
      <w:r>
        <w:rPr>
          <w:b/>
        </w:rPr>
        <w:t>Invest in creator relationships over content formulas.</w:t>
      </w:r>
      <w:r>
        <w:t xml:space="preserve"> Creator history is the strongest available predictor of reach — prioritize creator partnerships with proven historical performance, while continuing to test emerging creators to build a diversified pipeline.</w:t>
      </w:r>
    </w:p>
    <w:p w14:paraId="7F089D2E" w14:textId="77777777" w:rsidR="005A2A42" w:rsidRDefault="00000000">
      <w:pPr>
        <w:numPr>
          <w:ilvl w:val="0"/>
          <w:numId w:val="3"/>
        </w:numPr>
      </w:pPr>
      <w:r>
        <w:rPr>
          <w:b/>
        </w:rPr>
        <w:t>Treat scheduling as a modest optimization, not a strategy.</w:t>
      </w:r>
      <w:r>
        <w:t xml:space="preserve"> Best-performing day/hour combinations outperform average slots by only a few percentage points; use them as tie-breakers, not primary drivers of a content calendar.</w:t>
      </w:r>
    </w:p>
    <w:p w14:paraId="0882FBDB" w14:textId="77777777" w:rsidR="005A2A42" w:rsidRDefault="00000000">
      <w:pPr>
        <w:numPr>
          <w:ilvl w:val="0"/>
          <w:numId w:val="3"/>
        </w:numPr>
      </w:pPr>
      <w:r>
        <w:rPr>
          <w:b/>
        </w:rPr>
        <w:t>Optimize for completion rate, not just duration or watch time.</w:t>
      </w:r>
      <w:r>
        <w:t xml:space="preserve"> Favor pacing and editing that keeps proportional viewership high, rather than simply extending video length.</w:t>
      </w:r>
    </w:p>
    <w:p w14:paraId="2404A3B4" w14:textId="77777777" w:rsidR="005A2A42" w:rsidRDefault="00000000">
      <w:pPr>
        <w:numPr>
          <w:ilvl w:val="0"/>
          <w:numId w:val="3"/>
        </w:numPr>
      </w:pPr>
      <w:r>
        <w:rPr>
          <w:b/>
        </w:rPr>
        <w:t>Use emoji and stylistic title elements deliberately</w:t>
      </w:r>
      <w:r>
        <w:t xml:space="preserve"> — they correlate with engagement quality even where raw reach is flat or slightly lower.</w:t>
      </w:r>
    </w:p>
    <w:p w14:paraId="6108EB22" w14:textId="77777777" w:rsidR="005A2A42" w:rsidRDefault="00000000">
      <w:pPr>
        <w:numPr>
          <w:ilvl w:val="0"/>
          <w:numId w:val="3"/>
        </w:numPr>
      </w:pPr>
      <w:r>
        <w:rPr>
          <w:b/>
        </w:rPr>
        <w:t>Do not rely on static pre-publication prediction for virality decisions.</w:t>
      </w:r>
      <w:r>
        <w:t xml:space="preserve"> Given the model's limited accuracy, avoid using it as a gatekeeping tool for content approval. Use it only as one input among several.</w:t>
      </w:r>
    </w:p>
    <w:p w14:paraId="2E3160C7" w14:textId="77777777" w:rsidR="005A2A42" w:rsidRDefault="00000000">
      <w:pPr>
        <w:numPr>
          <w:ilvl w:val="0"/>
          <w:numId w:val="3"/>
        </w:numPr>
      </w:pPr>
      <w:r>
        <w:rPr>
          <w:b/>
        </w:rPr>
        <w:t>Build a real-time early-warning system instead.</w:t>
      </w:r>
      <w:r>
        <w:t xml:space="preserve"> Track engagement velocity in the first 1-2 hours post-publish and use that as a trigger to boost promising content with paid amplification — this is likely to be far more predictive than any pre-publication model.</w:t>
      </w:r>
    </w:p>
    <w:p w14:paraId="375A7B93" w14:textId="77777777" w:rsidR="005A2A42" w:rsidRDefault="00000000">
      <w:pPr>
        <w:numPr>
          <w:ilvl w:val="0"/>
          <w:numId w:val="3"/>
        </w:numPr>
      </w:pPr>
      <w:r>
        <w:rPr>
          <w:b/>
        </w:rPr>
        <w:t>Continue platform-specific execution</w:t>
      </w:r>
      <w:r>
        <w:t xml:space="preserve"> rather than a one-size-fits-all approach across TikTok and YouTube Shorts, given their differing engagement patterns.</w:t>
      </w:r>
    </w:p>
    <w:p w14:paraId="2543829B" w14:textId="77777777" w:rsidR="005A2A42" w:rsidRDefault="00000000">
      <w:pPr>
        <w:numPr>
          <w:ilvl w:val="0"/>
          <w:numId w:val="3"/>
        </w:numPr>
        <w:spacing w:after="483"/>
      </w:pPr>
      <w:r>
        <w:rPr>
          <w:b/>
        </w:rPr>
        <w:t>Localize where it matters</w:t>
      </w:r>
      <w:r>
        <w:t xml:space="preserve"> — while regional differences are modest at the aggregate level, country-level variation may still justify localized creative testing in top markets.</w:t>
      </w:r>
    </w:p>
    <w:p w14:paraId="29F643BC" w14:textId="77777777" w:rsidR="005A2A42" w:rsidRDefault="00000000">
      <w:pPr>
        <w:pStyle w:val="Heading1"/>
        <w:ind w:left="519" w:hanging="534"/>
      </w:pPr>
      <w:r>
        <w:t>Conclusion</w:t>
      </w:r>
    </w:p>
    <w:p w14:paraId="67914B73" w14:textId="77777777" w:rsidR="005A2A42" w:rsidRDefault="00000000">
      <w:r>
        <w:t>This analysis confirms that short-form content performance is shaped by a mix of platform, creator, timing, and content factors — but no single pre-publication attribute reliably predicts virality on its own. Creator history stands out as the most useful available signal. Nike's strongest path forward combines creator-first content strategy, disciplined but secondary use of scheduling optimization, completion-rate-focused creative editing, and a shift toward real-time, post-publication amplification triggers rather than pre-publication virality prediction.</w:t>
      </w:r>
    </w:p>
    <w:sectPr w:rsidR="005A2A42">
      <w:pgSz w:w="12240" w:h="15840"/>
      <w:pgMar w:top="984" w:right="1128" w:bottom="1244" w:left="11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9666B"/>
    <w:multiLevelType w:val="hybridMultilevel"/>
    <w:tmpl w:val="D834D406"/>
    <w:lvl w:ilvl="0" w:tplc="90BAA1FA">
      <w:start w:val="1"/>
      <w:numFmt w:val="decimal"/>
      <w:pStyle w:val="Heading1"/>
      <w:lvlText w:val="%1."/>
      <w:lvlJc w:val="left"/>
      <w:pPr>
        <w:ind w:left="0"/>
      </w:pPr>
      <w:rPr>
        <w:rFonts w:ascii="Arial" w:eastAsia="Arial" w:hAnsi="Arial" w:cs="Arial"/>
        <w:b/>
        <w:bCs/>
        <w:i w:val="0"/>
        <w:strike w:val="0"/>
        <w:dstrike w:val="0"/>
        <w:color w:val="111111"/>
        <w:sz w:val="32"/>
        <w:szCs w:val="32"/>
        <w:u w:val="none" w:color="000000"/>
        <w:bdr w:val="none" w:sz="0" w:space="0" w:color="auto"/>
        <w:shd w:val="clear" w:color="auto" w:fill="auto"/>
        <w:vertAlign w:val="baseline"/>
      </w:rPr>
    </w:lvl>
    <w:lvl w:ilvl="1" w:tplc="9D6CC8FC">
      <w:start w:val="1"/>
      <w:numFmt w:val="lowerLetter"/>
      <w:lvlText w:val="%2"/>
      <w:lvlJc w:val="left"/>
      <w:pPr>
        <w:ind w:left="1080"/>
      </w:pPr>
      <w:rPr>
        <w:rFonts w:ascii="Arial" w:eastAsia="Arial" w:hAnsi="Arial" w:cs="Arial"/>
        <w:b/>
        <w:bCs/>
        <w:i w:val="0"/>
        <w:strike w:val="0"/>
        <w:dstrike w:val="0"/>
        <w:color w:val="111111"/>
        <w:sz w:val="32"/>
        <w:szCs w:val="32"/>
        <w:u w:val="none" w:color="000000"/>
        <w:bdr w:val="none" w:sz="0" w:space="0" w:color="auto"/>
        <w:shd w:val="clear" w:color="auto" w:fill="auto"/>
        <w:vertAlign w:val="baseline"/>
      </w:rPr>
    </w:lvl>
    <w:lvl w:ilvl="2" w:tplc="24BE01A8">
      <w:start w:val="1"/>
      <w:numFmt w:val="lowerRoman"/>
      <w:lvlText w:val="%3"/>
      <w:lvlJc w:val="left"/>
      <w:pPr>
        <w:ind w:left="1800"/>
      </w:pPr>
      <w:rPr>
        <w:rFonts w:ascii="Arial" w:eastAsia="Arial" w:hAnsi="Arial" w:cs="Arial"/>
        <w:b/>
        <w:bCs/>
        <w:i w:val="0"/>
        <w:strike w:val="0"/>
        <w:dstrike w:val="0"/>
        <w:color w:val="111111"/>
        <w:sz w:val="32"/>
        <w:szCs w:val="32"/>
        <w:u w:val="none" w:color="000000"/>
        <w:bdr w:val="none" w:sz="0" w:space="0" w:color="auto"/>
        <w:shd w:val="clear" w:color="auto" w:fill="auto"/>
        <w:vertAlign w:val="baseline"/>
      </w:rPr>
    </w:lvl>
    <w:lvl w:ilvl="3" w:tplc="0D36379E">
      <w:start w:val="1"/>
      <w:numFmt w:val="decimal"/>
      <w:lvlText w:val="%4"/>
      <w:lvlJc w:val="left"/>
      <w:pPr>
        <w:ind w:left="2520"/>
      </w:pPr>
      <w:rPr>
        <w:rFonts w:ascii="Arial" w:eastAsia="Arial" w:hAnsi="Arial" w:cs="Arial"/>
        <w:b/>
        <w:bCs/>
        <w:i w:val="0"/>
        <w:strike w:val="0"/>
        <w:dstrike w:val="0"/>
        <w:color w:val="111111"/>
        <w:sz w:val="32"/>
        <w:szCs w:val="32"/>
        <w:u w:val="none" w:color="000000"/>
        <w:bdr w:val="none" w:sz="0" w:space="0" w:color="auto"/>
        <w:shd w:val="clear" w:color="auto" w:fill="auto"/>
        <w:vertAlign w:val="baseline"/>
      </w:rPr>
    </w:lvl>
    <w:lvl w:ilvl="4" w:tplc="0BFE9272">
      <w:start w:val="1"/>
      <w:numFmt w:val="lowerLetter"/>
      <w:lvlText w:val="%5"/>
      <w:lvlJc w:val="left"/>
      <w:pPr>
        <w:ind w:left="3240"/>
      </w:pPr>
      <w:rPr>
        <w:rFonts w:ascii="Arial" w:eastAsia="Arial" w:hAnsi="Arial" w:cs="Arial"/>
        <w:b/>
        <w:bCs/>
        <w:i w:val="0"/>
        <w:strike w:val="0"/>
        <w:dstrike w:val="0"/>
        <w:color w:val="111111"/>
        <w:sz w:val="32"/>
        <w:szCs w:val="32"/>
        <w:u w:val="none" w:color="000000"/>
        <w:bdr w:val="none" w:sz="0" w:space="0" w:color="auto"/>
        <w:shd w:val="clear" w:color="auto" w:fill="auto"/>
        <w:vertAlign w:val="baseline"/>
      </w:rPr>
    </w:lvl>
    <w:lvl w:ilvl="5" w:tplc="A56214D6">
      <w:start w:val="1"/>
      <w:numFmt w:val="lowerRoman"/>
      <w:lvlText w:val="%6"/>
      <w:lvlJc w:val="left"/>
      <w:pPr>
        <w:ind w:left="3960"/>
      </w:pPr>
      <w:rPr>
        <w:rFonts w:ascii="Arial" w:eastAsia="Arial" w:hAnsi="Arial" w:cs="Arial"/>
        <w:b/>
        <w:bCs/>
        <w:i w:val="0"/>
        <w:strike w:val="0"/>
        <w:dstrike w:val="0"/>
        <w:color w:val="111111"/>
        <w:sz w:val="32"/>
        <w:szCs w:val="32"/>
        <w:u w:val="none" w:color="000000"/>
        <w:bdr w:val="none" w:sz="0" w:space="0" w:color="auto"/>
        <w:shd w:val="clear" w:color="auto" w:fill="auto"/>
        <w:vertAlign w:val="baseline"/>
      </w:rPr>
    </w:lvl>
    <w:lvl w:ilvl="6" w:tplc="99781A5C">
      <w:start w:val="1"/>
      <w:numFmt w:val="decimal"/>
      <w:lvlText w:val="%7"/>
      <w:lvlJc w:val="left"/>
      <w:pPr>
        <w:ind w:left="4680"/>
      </w:pPr>
      <w:rPr>
        <w:rFonts w:ascii="Arial" w:eastAsia="Arial" w:hAnsi="Arial" w:cs="Arial"/>
        <w:b/>
        <w:bCs/>
        <w:i w:val="0"/>
        <w:strike w:val="0"/>
        <w:dstrike w:val="0"/>
        <w:color w:val="111111"/>
        <w:sz w:val="32"/>
        <w:szCs w:val="32"/>
        <w:u w:val="none" w:color="000000"/>
        <w:bdr w:val="none" w:sz="0" w:space="0" w:color="auto"/>
        <w:shd w:val="clear" w:color="auto" w:fill="auto"/>
        <w:vertAlign w:val="baseline"/>
      </w:rPr>
    </w:lvl>
    <w:lvl w:ilvl="7" w:tplc="8BFCAF04">
      <w:start w:val="1"/>
      <w:numFmt w:val="lowerLetter"/>
      <w:lvlText w:val="%8"/>
      <w:lvlJc w:val="left"/>
      <w:pPr>
        <w:ind w:left="5400"/>
      </w:pPr>
      <w:rPr>
        <w:rFonts w:ascii="Arial" w:eastAsia="Arial" w:hAnsi="Arial" w:cs="Arial"/>
        <w:b/>
        <w:bCs/>
        <w:i w:val="0"/>
        <w:strike w:val="0"/>
        <w:dstrike w:val="0"/>
        <w:color w:val="111111"/>
        <w:sz w:val="32"/>
        <w:szCs w:val="32"/>
        <w:u w:val="none" w:color="000000"/>
        <w:bdr w:val="none" w:sz="0" w:space="0" w:color="auto"/>
        <w:shd w:val="clear" w:color="auto" w:fill="auto"/>
        <w:vertAlign w:val="baseline"/>
      </w:rPr>
    </w:lvl>
    <w:lvl w:ilvl="8" w:tplc="AAF281AA">
      <w:start w:val="1"/>
      <w:numFmt w:val="lowerRoman"/>
      <w:lvlText w:val="%9"/>
      <w:lvlJc w:val="left"/>
      <w:pPr>
        <w:ind w:left="6120"/>
      </w:pPr>
      <w:rPr>
        <w:rFonts w:ascii="Arial" w:eastAsia="Arial" w:hAnsi="Arial" w:cs="Arial"/>
        <w:b/>
        <w:bCs/>
        <w:i w:val="0"/>
        <w:strike w:val="0"/>
        <w:dstrike w:val="0"/>
        <w:color w:val="111111"/>
        <w:sz w:val="32"/>
        <w:szCs w:val="32"/>
        <w:u w:val="none" w:color="000000"/>
        <w:bdr w:val="none" w:sz="0" w:space="0" w:color="auto"/>
        <w:shd w:val="clear" w:color="auto" w:fill="auto"/>
        <w:vertAlign w:val="baseline"/>
      </w:rPr>
    </w:lvl>
  </w:abstractNum>
  <w:abstractNum w:abstractNumId="1" w15:restartNumberingAfterBreak="0">
    <w:nsid w:val="18483413"/>
    <w:multiLevelType w:val="hybridMultilevel"/>
    <w:tmpl w:val="1B063632"/>
    <w:lvl w:ilvl="0" w:tplc="ACD8841C">
      <w:start w:val="1"/>
      <w:numFmt w:val="bullet"/>
      <w:lvlText w:val="•"/>
      <w:lvlJc w:val="left"/>
      <w:pPr>
        <w:ind w:left="275"/>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1" w:tplc="A5124B36">
      <w:start w:val="1"/>
      <w:numFmt w:val="bullet"/>
      <w:lvlText w:val="o"/>
      <w:lvlJc w:val="left"/>
      <w:pPr>
        <w:ind w:left="136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2" w:tplc="E1C497C8">
      <w:start w:val="1"/>
      <w:numFmt w:val="bullet"/>
      <w:lvlText w:val="▪"/>
      <w:lvlJc w:val="left"/>
      <w:pPr>
        <w:ind w:left="208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3" w:tplc="7C0E82BE">
      <w:start w:val="1"/>
      <w:numFmt w:val="bullet"/>
      <w:lvlText w:val="•"/>
      <w:lvlJc w:val="left"/>
      <w:pPr>
        <w:ind w:left="280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4" w:tplc="1BE0C6F2">
      <w:start w:val="1"/>
      <w:numFmt w:val="bullet"/>
      <w:lvlText w:val="o"/>
      <w:lvlJc w:val="left"/>
      <w:pPr>
        <w:ind w:left="352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5" w:tplc="D7C67B84">
      <w:start w:val="1"/>
      <w:numFmt w:val="bullet"/>
      <w:lvlText w:val="▪"/>
      <w:lvlJc w:val="left"/>
      <w:pPr>
        <w:ind w:left="424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6" w:tplc="05A00B4C">
      <w:start w:val="1"/>
      <w:numFmt w:val="bullet"/>
      <w:lvlText w:val="•"/>
      <w:lvlJc w:val="left"/>
      <w:pPr>
        <w:ind w:left="496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7" w:tplc="ADFC41FC">
      <w:start w:val="1"/>
      <w:numFmt w:val="bullet"/>
      <w:lvlText w:val="o"/>
      <w:lvlJc w:val="left"/>
      <w:pPr>
        <w:ind w:left="568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8" w:tplc="C1D247E4">
      <w:start w:val="1"/>
      <w:numFmt w:val="bullet"/>
      <w:lvlText w:val="▪"/>
      <w:lvlJc w:val="left"/>
      <w:pPr>
        <w:ind w:left="640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abstractNum>
  <w:abstractNum w:abstractNumId="2" w15:restartNumberingAfterBreak="0">
    <w:nsid w:val="2CB305C6"/>
    <w:multiLevelType w:val="hybridMultilevel"/>
    <w:tmpl w:val="40EAC474"/>
    <w:lvl w:ilvl="0" w:tplc="0B62FBE2">
      <w:start w:val="1"/>
      <w:numFmt w:val="bullet"/>
      <w:lvlText w:val="•"/>
      <w:lvlJc w:val="left"/>
      <w:pPr>
        <w:ind w:left="387"/>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1" w:tplc="AA8C7062">
      <w:start w:val="1"/>
      <w:numFmt w:val="bullet"/>
      <w:lvlText w:val="o"/>
      <w:lvlJc w:val="left"/>
      <w:pPr>
        <w:ind w:left="136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2" w:tplc="D50A67FE">
      <w:start w:val="1"/>
      <w:numFmt w:val="bullet"/>
      <w:lvlText w:val="▪"/>
      <w:lvlJc w:val="left"/>
      <w:pPr>
        <w:ind w:left="208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3" w:tplc="EC2007AC">
      <w:start w:val="1"/>
      <w:numFmt w:val="bullet"/>
      <w:lvlText w:val="•"/>
      <w:lvlJc w:val="left"/>
      <w:pPr>
        <w:ind w:left="280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4" w:tplc="C7FEE72E">
      <w:start w:val="1"/>
      <w:numFmt w:val="bullet"/>
      <w:lvlText w:val="o"/>
      <w:lvlJc w:val="left"/>
      <w:pPr>
        <w:ind w:left="352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5" w:tplc="7ECE20B6">
      <w:start w:val="1"/>
      <w:numFmt w:val="bullet"/>
      <w:lvlText w:val="▪"/>
      <w:lvlJc w:val="left"/>
      <w:pPr>
        <w:ind w:left="424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6" w:tplc="338CDC4E">
      <w:start w:val="1"/>
      <w:numFmt w:val="bullet"/>
      <w:lvlText w:val="•"/>
      <w:lvlJc w:val="left"/>
      <w:pPr>
        <w:ind w:left="496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7" w:tplc="6038CE4E">
      <w:start w:val="1"/>
      <w:numFmt w:val="bullet"/>
      <w:lvlText w:val="o"/>
      <w:lvlJc w:val="left"/>
      <w:pPr>
        <w:ind w:left="568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8" w:tplc="084EFA58">
      <w:start w:val="1"/>
      <w:numFmt w:val="bullet"/>
      <w:lvlText w:val="▪"/>
      <w:lvlJc w:val="left"/>
      <w:pPr>
        <w:ind w:left="640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abstractNum>
  <w:abstractNum w:abstractNumId="3" w15:restartNumberingAfterBreak="0">
    <w:nsid w:val="400413EC"/>
    <w:multiLevelType w:val="hybridMultilevel"/>
    <w:tmpl w:val="1A7A15FC"/>
    <w:lvl w:ilvl="0" w:tplc="AA24A46E">
      <w:start w:val="1"/>
      <w:numFmt w:val="bullet"/>
      <w:lvlText w:val="•"/>
      <w:lvlJc w:val="left"/>
      <w:pPr>
        <w:ind w:left="275"/>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1" w:tplc="A4E6AD38">
      <w:start w:val="1"/>
      <w:numFmt w:val="bullet"/>
      <w:lvlText w:val="o"/>
      <w:lvlJc w:val="left"/>
      <w:pPr>
        <w:ind w:left="136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2" w:tplc="BD2A867C">
      <w:start w:val="1"/>
      <w:numFmt w:val="bullet"/>
      <w:lvlText w:val="▪"/>
      <w:lvlJc w:val="left"/>
      <w:pPr>
        <w:ind w:left="208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3" w:tplc="E65AC4B4">
      <w:start w:val="1"/>
      <w:numFmt w:val="bullet"/>
      <w:lvlText w:val="•"/>
      <w:lvlJc w:val="left"/>
      <w:pPr>
        <w:ind w:left="280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4" w:tplc="A17A3604">
      <w:start w:val="1"/>
      <w:numFmt w:val="bullet"/>
      <w:lvlText w:val="o"/>
      <w:lvlJc w:val="left"/>
      <w:pPr>
        <w:ind w:left="352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5" w:tplc="BA1A115A">
      <w:start w:val="1"/>
      <w:numFmt w:val="bullet"/>
      <w:lvlText w:val="▪"/>
      <w:lvlJc w:val="left"/>
      <w:pPr>
        <w:ind w:left="424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6" w:tplc="0B3073B2">
      <w:start w:val="1"/>
      <w:numFmt w:val="bullet"/>
      <w:lvlText w:val="•"/>
      <w:lvlJc w:val="left"/>
      <w:pPr>
        <w:ind w:left="496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7" w:tplc="14509EA8">
      <w:start w:val="1"/>
      <w:numFmt w:val="bullet"/>
      <w:lvlText w:val="o"/>
      <w:lvlJc w:val="left"/>
      <w:pPr>
        <w:ind w:left="568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lvl w:ilvl="8" w:tplc="43E6305E">
      <w:start w:val="1"/>
      <w:numFmt w:val="bullet"/>
      <w:lvlText w:val="▪"/>
      <w:lvlJc w:val="left"/>
      <w:pPr>
        <w:ind w:left="6400"/>
      </w:pPr>
      <w:rPr>
        <w:rFonts w:ascii="Arial" w:eastAsia="Arial" w:hAnsi="Arial" w:cs="Arial"/>
        <w:b w:val="0"/>
        <w:i w:val="0"/>
        <w:strike w:val="0"/>
        <w:dstrike w:val="0"/>
        <w:color w:val="111111"/>
        <w:sz w:val="19"/>
        <w:szCs w:val="19"/>
        <w:u w:val="none" w:color="000000"/>
        <w:bdr w:val="none" w:sz="0" w:space="0" w:color="auto"/>
        <w:shd w:val="clear" w:color="auto" w:fill="auto"/>
        <w:vertAlign w:val="baseline"/>
      </w:rPr>
    </w:lvl>
  </w:abstractNum>
  <w:num w:numId="1" w16cid:durableId="608467811">
    <w:abstractNumId w:val="3"/>
  </w:num>
  <w:num w:numId="2" w16cid:durableId="1740908839">
    <w:abstractNumId w:val="2"/>
  </w:num>
  <w:num w:numId="3" w16cid:durableId="329603205">
    <w:abstractNumId w:val="1"/>
  </w:num>
  <w:num w:numId="4" w16cid:durableId="3238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A42"/>
    <w:rsid w:val="001B2C9F"/>
    <w:rsid w:val="005A2A42"/>
    <w:rsid w:val="009269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7639"/>
  <w15:docId w15:val="{32C20755-8568-4E66-B607-4EEFE4AB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9" w:line="305" w:lineRule="auto"/>
      <w:ind w:left="10" w:hanging="10"/>
    </w:pPr>
    <w:rPr>
      <w:rFonts w:ascii="Arial" w:eastAsia="Arial" w:hAnsi="Arial" w:cs="Arial"/>
      <w:color w:val="111111"/>
      <w:sz w:val="19"/>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Arial" w:eastAsia="Arial" w:hAnsi="Arial" w:cs="Arial"/>
      <w:b/>
      <w:color w:val="111111"/>
      <w:sz w:val="32"/>
    </w:rPr>
  </w:style>
  <w:style w:type="paragraph" w:styleId="Heading2">
    <w:name w:val="heading 2"/>
    <w:next w:val="Normal"/>
    <w:link w:val="Heading2Char"/>
    <w:uiPriority w:val="9"/>
    <w:unhideWhenUsed/>
    <w:qFormat/>
    <w:pPr>
      <w:keepNext/>
      <w:keepLines/>
      <w:spacing w:after="0" w:line="259" w:lineRule="auto"/>
      <w:outlineLvl w:val="1"/>
    </w:pPr>
    <w:rPr>
      <w:rFonts w:ascii="Arial" w:eastAsia="Arial" w:hAnsi="Arial" w:cs="Arial"/>
      <w:b/>
      <w:color w:val="FA54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FA5400"/>
      <w:sz w:val="25"/>
    </w:rPr>
  </w:style>
  <w:style w:type="character" w:customStyle="1" w:styleId="Heading1Char">
    <w:name w:val="Heading 1 Char"/>
    <w:link w:val="Heading1"/>
    <w:rPr>
      <w:rFonts w:ascii="Arial" w:eastAsia="Arial" w:hAnsi="Arial" w:cs="Arial"/>
      <w:b/>
      <w:color w:val="111111"/>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1413</Words>
  <Characters>8056</Characters>
  <Application>Microsoft Office Word</Application>
  <DocSecurity>0</DocSecurity>
  <Lines>67</Lines>
  <Paragraphs>18</Paragraphs>
  <ScaleCrop>false</ScaleCrop>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manvendrabhati330@gmail.com</cp:lastModifiedBy>
  <cp:revision>2</cp:revision>
  <dcterms:created xsi:type="dcterms:W3CDTF">2026-09-08T08:18:00Z</dcterms:created>
  <dcterms:modified xsi:type="dcterms:W3CDTF">2026-09-08T08:18:00Z</dcterms:modified>
</cp:coreProperties>
</file>